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5"/>
        <w:ind w:left="1933" w:right="0" w:firstLine="0"/>
        <w:jc w:val="left"/>
        <w:rPr>
          <w:rFonts w:ascii="宋体" w:hAnsi="宋体" w:cs="宋体" w:eastAsia="宋体" w:hint="default"/>
          <w:sz w:val="52"/>
          <w:szCs w:val="52"/>
        </w:rPr>
      </w:pPr>
      <w:r>
        <w:rPr>
          <w:rFonts w:ascii="宋体" w:hAnsi="宋体" w:cs="宋体" w:eastAsia="宋体" w:hint="default"/>
          <w:b/>
          <w:bCs/>
          <w:sz w:val="52"/>
          <w:szCs w:val="52"/>
        </w:rPr>
        <w:t>苏宁电器股份有限公司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line="1239" w:lineRule="exact"/>
        <w:ind w:left="2701"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2238673" cy="7869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8673" cy="786955"/>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line="620" w:lineRule="exact" w:before="0"/>
        <w:ind w:left="1905" w:right="1901" w:firstLine="0"/>
        <w:jc w:val="center"/>
        <w:rPr>
          <w:rFonts w:ascii="宋体" w:hAnsi="宋体" w:cs="宋体" w:eastAsia="宋体" w:hint="default"/>
          <w:sz w:val="52"/>
          <w:szCs w:val="52"/>
        </w:rPr>
      </w:pPr>
      <w:r>
        <w:rPr>
          <w:rFonts w:ascii="宋体" w:hAnsi="宋体" w:cs="宋体" w:eastAsia="宋体" w:hint="default"/>
          <w:b/>
          <w:bCs/>
          <w:sz w:val="52"/>
          <w:szCs w:val="52"/>
        </w:rPr>
        <w:t>二○○八年年度报告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2"/>
        <w:rPr>
          <w:rFonts w:ascii="宋体" w:hAnsi="宋体" w:cs="宋体" w:eastAsia="宋体" w:hint="default"/>
          <w:b/>
          <w:bCs/>
          <w:sz w:val="62"/>
          <w:szCs w:val="62"/>
        </w:rPr>
      </w:pPr>
    </w:p>
    <w:p>
      <w:pPr>
        <w:spacing w:before="0"/>
        <w:ind w:left="1903" w:right="1901" w:firstLine="0"/>
        <w:jc w:val="center"/>
        <w:rPr>
          <w:rFonts w:ascii="宋体" w:hAnsi="宋体" w:cs="宋体" w:eastAsia="宋体" w:hint="default"/>
          <w:sz w:val="52"/>
          <w:szCs w:val="52"/>
        </w:rPr>
      </w:pPr>
      <w:r>
        <w:rPr>
          <w:rFonts w:ascii="宋体" w:hAnsi="宋体" w:cs="宋体" w:eastAsia="宋体" w:hint="default"/>
          <w:b/>
          <w:bCs/>
          <w:sz w:val="52"/>
          <w:szCs w:val="52"/>
        </w:rPr>
        <w:t>二○○九年二月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1"/>
        <w:ind w:left="3812" w:right="0" w:firstLine="0"/>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1"/>
          <w:szCs w:val="31"/>
        </w:rPr>
      </w:pPr>
    </w:p>
    <w:p>
      <w:pPr>
        <w:spacing w:line="357" w:lineRule="auto" w:before="0"/>
        <w:ind w:left="143" w:right="17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载资料不存在任何虚假记载、误导性陈述或者重大遗漏，并对其内容的</w:t>
      </w:r>
      <w:r>
        <w:rPr>
          <w:rFonts w:ascii="宋体" w:hAnsi="宋体" w:cs="宋体" w:eastAsia="宋体" w:hint="default"/>
          <w:b/>
          <w:bCs/>
          <w:spacing w:val="20"/>
          <w:w w:val="95"/>
          <w:sz w:val="28"/>
          <w:szCs w:val="28"/>
        </w:rPr>
        <w:t> </w:t>
      </w:r>
      <w:r>
        <w:rPr>
          <w:rFonts w:ascii="宋体" w:hAnsi="宋体" w:cs="宋体" w:eastAsia="宋体" w:hint="default"/>
          <w:b/>
          <w:bCs/>
          <w:spacing w:val="20"/>
          <w:w w:val="95"/>
          <w:sz w:val="28"/>
          <w:szCs w:val="28"/>
        </w:rPr>
      </w:r>
      <w:r>
        <w:rPr>
          <w:rFonts w:ascii="宋体" w:hAnsi="宋体" w:cs="宋体" w:eastAsia="宋体" w:hint="default"/>
          <w:b/>
          <w:bCs/>
          <w:sz w:val="28"/>
          <w:szCs w:val="28"/>
        </w:rPr>
        <w:t>真实性、准确性和完整性承担个别及连带责任。</w:t>
      </w:r>
      <w:r>
        <w:rPr>
          <w:rFonts w:ascii="宋体" w:hAnsi="宋体" w:cs="宋体" w:eastAsia="宋体" w:hint="default"/>
          <w:sz w:val="28"/>
          <w:szCs w:val="28"/>
        </w:rPr>
      </w:r>
    </w:p>
    <w:p>
      <w:pPr>
        <w:spacing w:line="357" w:lineRule="auto" w:before="42"/>
        <w:ind w:left="143" w:right="178"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公司董事金明先生因其他公务安排，未能现场出席本次审议年度报</w:t>
      </w:r>
      <w:r>
        <w:rPr>
          <w:rFonts w:ascii="宋体" w:hAnsi="宋体" w:cs="宋体" w:eastAsia="宋体" w:hint="default"/>
          <w:b/>
          <w:bCs/>
          <w:w w:val="99"/>
          <w:sz w:val="28"/>
          <w:szCs w:val="28"/>
        </w:rPr>
        <w:t> </w:t>
      </w:r>
      <w:r>
        <w:rPr>
          <w:rFonts w:ascii="宋体" w:hAnsi="宋体" w:cs="宋体" w:eastAsia="宋体" w:hint="default"/>
          <w:b/>
          <w:bCs/>
          <w:sz w:val="28"/>
          <w:szCs w:val="28"/>
        </w:rPr>
        <w:t>告的董事会，以通讯方式参加会议。</w:t>
      </w:r>
      <w:r>
        <w:rPr>
          <w:rFonts w:ascii="宋体" w:hAnsi="宋体" w:cs="宋体" w:eastAsia="宋体" w:hint="default"/>
          <w:sz w:val="28"/>
          <w:szCs w:val="28"/>
        </w:rPr>
      </w:r>
    </w:p>
    <w:p>
      <w:pPr>
        <w:spacing w:line="357" w:lineRule="auto" w:before="42"/>
        <w:ind w:left="143" w:right="111" w:firstLine="561"/>
        <w:jc w:val="both"/>
        <w:rPr>
          <w:rFonts w:ascii="宋体" w:hAnsi="宋体" w:cs="宋体" w:eastAsia="宋体" w:hint="default"/>
          <w:sz w:val="28"/>
          <w:szCs w:val="28"/>
        </w:rPr>
      </w:pPr>
      <w:r>
        <w:rPr>
          <w:rFonts w:ascii="宋体" w:hAnsi="宋体" w:cs="宋体" w:eastAsia="宋体" w:hint="default"/>
          <w:b/>
          <w:bCs/>
          <w:w w:val="95"/>
          <w:sz w:val="28"/>
          <w:szCs w:val="28"/>
        </w:rPr>
        <w:t>没有董事、监事、高级管理人员对本报告内容的真实性、准确性、</w:t>
      </w:r>
      <w:r>
        <w:rPr>
          <w:rFonts w:ascii="宋体" w:hAnsi="宋体" w:cs="宋体" w:eastAsia="宋体" w:hint="default"/>
          <w:b/>
          <w:bCs/>
          <w:w w:val="99"/>
          <w:sz w:val="28"/>
          <w:szCs w:val="28"/>
        </w:rPr>
        <w:t> </w:t>
      </w:r>
      <w:r>
        <w:rPr>
          <w:rFonts w:ascii="宋体" w:hAnsi="宋体" w:cs="宋体" w:eastAsia="宋体" w:hint="default"/>
          <w:b/>
          <w:bCs/>
          <w:sz w:val="28"/>
          <w:szCs w:val="28"/>
        </w:rPr>
        <w:t>完整性无法保证或存在异议。</w:t>
      </w:r>
      <w:r>
        <w:rPr>
          <w:rFonts w:ascii="宋体" w:hAnsi="宋体" w:cs="宋体" w:eastAsia="宋体" w:hint="default"/>
          <w:sz w:val="28"/>
          <w:szCs w:val="28"/>
        </w:rPr>
      </w:r>
    </w:p>
    <w:p>
      <w:pPr>
        <w:spacing w:line="357" w:lineRule="auto" w:before="42"/>
        <w:ind w:left="143" w:right="179" w:firstLine="561"/>
        <w:jc w:val="both"/>
        <w:rPr>
          <w:rFonts w:ascii="宋体" w:hAnsi="宋体" w:cs="宋体" w:eastAsia="宋体" w:hint="default"/>
          <w:sz w:val="28"/>
          <w:szCs w:val="28"/>
        </w:rPr>
      </w:pPr>
      <w:r>
        <w:rPr>
          <w:rFonts w:ascii="宋体" w:hAnsi="宋体" w:cs="宋体" w:eastAsia="宋体" w:hint="default"/>
          <w:b/>
          <w:bCs/>
          <w:spacing w:val="7"/>
          <w:w w:val="95"/>
          <w:sz w:val="28"/>
          <w:szCs w:val="28"/>
        </w:rPr>
        <w:t>普华永道中天会计师事务所有限公司为本公司出具了标准无保留</w:t>
      </w:r>
      <w:r>
        <w:rPr>
          <w:rFonts w:ascii="宋体" w:hAnsi="宋体" w:cs="宋体" w:eastAsia="宋体" w:hint="default"/>
          <w:b/>
          <w:bCs/>
          <w:w w:val="99"/>
          <w:sz w:val="28"/>
          <w:szCs w:val="28"/>
        </w:rPr>
        <w:t> </w:t>
      </w:r>
      <w:r>
        <w:rPr>
          <w:rFonts w:ascii="宋体" w:hAnsi="宋体" w:cs="宋体" w:eastAsia="宋体" w:hint="default"/>
          <w:b/>
          <w:bCs/>
          <w:sz w:val="28"/>
          <w:szCs w:val="28"/>
        </w:rPr>
        <w:t>意见的审计报告。</w:t>
      </w:r>
      <w:r>
        <w:rPr>
          <w:rFonts w:ascii="宋体" w:hAnsi="宋体" w:cs="宋体" w:eastAsia="宋体" w:hint="default"/>
          <w:sz w:val="28"/>
          <w:szCs w:val="28"/>
        </w:rPr>
      </w:r>
    </w:p>
    <w:p>
      <w:pPr>
        <w:spacing w:line="357" w:lineRule="auto" w:before="42"/>
        <w:ind w:left="143" w:right="178"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公司董事长张近东先生、财务负责人朱华女士及会计机构负责人肖</w:t>
      </w:r>
      <w:r>
        <w:rPr>
          <w:rFonts w:ascii="宋体" w:hAnsi="宋体" w:cs="宋体" w:eastAsia="宋体" w:hint="default"/>
          <w:b/>
          <w:bCs/>
          <w:w w:val="99"/>
          <w:sz w:val="28"/>
          <w:szCs w:val="28"/>
        </w:rPr>
        <w:t> </w:t>
      </w:r>
      <w:r>
        <w:rPr>
          <w:rFonts w:ascii="宋体" w:hAnsi="宋体" w:cs="宋体" w:eastAsia="宋体" w:hint="default"/>
          <w:b/>
          <w:bCs/>
          <w:sz w:val="28"/>
          <w:szCs w:val="28"/>
        </w:rPr>
        <w:t>忠祥先生声明：保证本年度报告中财务报告的真实、完整。</w:t>
      </w:r>
      <w:r>
        <w:rPr>
          <w:rFonts w:ascii="宋体" w:hAnsi="宋体" w:cs="宋体" w:eastAsia="宋体" w:hint="default"/>
          <w:sz w:val="28"/>
          <w:szCs w:val="28"/>
        </w:rPr>
      </w:r>
    </w:p>
    <w:p>
      <w:pPr>
        <w:spacing w:after="0" w:line="357" w:lineRule="auto"/>
        <w:jc w:val="both"/>
        <w:rPr>
          <w:rFonts w:ascii="宋体" w:hAnsi="宋体" w:cs="宋体" w:eastAsia="宋体" w:hint="default"/>
          <w:sz w:val="28"/>
          <w:szCs w:val="28"/>
        </w:rPr>
        <w:sectPr>
          <w:headerReference w:type="default" r:id="rId6"/>
          <w:footerReference w:type="default" r:id="rId7"/>
          <w:pgSz w:w="11910" w:h="16840"/>
          <w:pgMar w:header="826" w:footer="900" w:top="1100" w:bottom="1100" w:left="1500" w:right="146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tabs>
          <w:tab w:pos="944" w:val="left" w:leader="none"/>
        </w:tabs>
        <w:spacing w:before="1"/>
        <w:ind w:left="144"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80" w:val="left" w:leader="none"/>
              <w:tab w:pos="8891" w:val="right" w:leader="dot"/>
            </w:tabs>
            <w:spacing w:line="240" w:lineRule="auto" w:before="40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董事、监事、高级管理人员和员工的情况</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8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1320" w:val="left" w:leader="none"/>
              <w:tab w:pos="889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备查文件目录</w:t>
            </w:r>
            <w:r>
              <w:rPr>
                <w:rFonts w:ascii="Times New Roman" w:hAnsi="Times New Roman" w:cs="Times New Roman" w:eastAsia="Times New Roman" w:hint="default"/>
              </w:rPr>
              <w:tab/>
              <w:t>155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26" w:footer="900" w:top="1100" w:bottom="1100" w:left="1360" w:right="1500"/>
        </w:sectPr>
      </w:pPr>
    </w:p>
    <w:p>
      <w:pPr>
        <w:pStyle w:val="Heading1"/>
        <w:tabs>
          <w:tab w:pos="3892" w:val="left" w:leader="none"/>
        </w:tabs>
        <w:spacing w:line="240" w:lineRule="auto"/>
        <w:ind w:left="2612" w:right="2568"/>
        <w:jc w:val="left"/>
        <w:rPr>
          <w:b w:val="0"/>
          <w:bCs w:val="0"/>
        </w:rPr>
      </w:pPr>
      <w:bookmarkStart w:name="_TOC_250010" w:id="1"/>
      <w:r>
        <w:rPr>
          <w:w w:val="95"/>
        </w:rPr>
        <w:t>第一节</w:t>
        <w:tab/>
      </w:r>
      <w:r>
        <w:rPr/>
        <w:t>公司基本情况简介</w:t>
      </w:r>
      <w:bookmarkEnd w:id="1"/>
      <w:r>
        <w:rPr>
          <w:b w:val="0"/>
          <w:bCs w:val="0"/>
        </w:rPr>
      </w:r>
    </w:p>
    <w:p>
      <w:pPr>
        <w:pStyle w:val="BodyText"/>
        <w:spacing w:line="314" w:lineRule="auto" w:before="217"/>
        <w:ind w:left="1063" w:right="2568" w:hanging="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、公司法定中文名称：苏宁电器股份有限公司 公司法定英文名称：</w:t>
      </w:r>
      <w:r>
        <w:rPr>
          <w:rFonts w:ascii="Times New Roman" w:hAnsi="Times New Roman" w:cs="Times New Roman" w:eastAsia="Times New Roman" w:hint="default"/>
        </w:rPr>
        <w:t>SUNING APPLIANCE</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33" w:lineRule="auto" w:before="22"/>
        <w:ind w:left="1063" w:right="4063"/>
        <w:jc w:val="left"/>
        <w:rPr>
          <w:rFonts w:ascii="Times New Roman" w:hAnsi="Times New Roman" w:cs="Times New Roman" w:eastAsia="Times New Roman" w:hint="default"/>
        </w:rPr>
      </w:pPr>
      <w:r>
        <w:rPr/>
        <w:t>中文名称缩写：苏宁电器 英文名称缩写：</w:t>
      </w:r>
      <w:r>
        <w:rPr>
          <w:rFonts w:ascii="Times New Roman" w:hAnsi="Times New Roman" w:cs="Times New Roman" w:eastAsia="Times New Roman" w:hint="default"/>
        </w:rPr>
        <w:t>SUNING</w:t>
      </w:r>
      <w:r>
        <w:rPr>
          <w:rFonts w:ascii="Times New Roman" w:hAnsi="Times New Roman" w:cs="Times New Roman" w:eastAsia="Times New Roman" w:hint="default"/>
          <w:spacing w:val="-29"/>
        </w:rPr>
        <w:t> </w:t>
      </w:r>
      <w:r>
        <w:rPr>
          <w:rFonts w:ascii="Times New Roman" w:hAnsi="Times New Roman" w:cs="Times New Roman" w:eastAsia="Times New Roman" w:hint="default"/>
        </w:rPr>
        <w:t>APPLIANCE</w:t>
      </w:r>
    </w:p>
    <w:p>
      <w:pPr>
        <w:pStyle w:val="BodyText"/>
        <w:spacing w:line="240" w:lineRule="auto" w:before="1"/>
        <w:ind w:left="703" w:right="2568"/>
        <w:jc w:val="left"/>
      </w:pPr>
      <w:r>
        <w:rPr>
          <w:rFonts w:ascii="Times New Roman" w:hAnsi="Times New Roman" w:cs="Times New Roman" w:eastAsia="Times New Roman" w:hint="default"/>
        </w:rPr>
        <w:t>2</w:t>
      </w:r>
      <w:r>
        <w:rPr/>
        <w:t>、公司法定代表人：张近东</w:t>
      </w:r>
    </w:p>
    <w:p>
      <w:pPr>
        <w:pStyle w:val="BodyText"/>
        <w:spacing w:line="240" w:lineRule="auto" w:before="104"/>
        <w:ind w:left="703" w:right="2568"/>
        <w:jc w:val="left"/>
      </w:pPr>
      <w:r>
        <w:rPr>
          <w:rFonts w:ascii="Times New Roman" w:hAnsi="Times New Roman" w:cs="Times New Roman" w:eastAsia="Times New Roman" w:hint="default"/>
        </w:rPr>
        <w:t>3</w:t>
      </w:r>
      <w:r>
        <w:rPr/>
        <w:t>、公司联系人和联系方式</w:t>
      </w:r>
    </w:p>
    <w:p>
      <w:pPr>
        <w:spacing w:line="240" w:lineRule="auto" w:before="1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159"/>
        <w:gridCol w:w="2560"/>
        <w:gridCol w:w="2560"/>
        <w:gridCol w:w="2558"/>
      </w:tblGrid>
      <w:tr>
        <w:trPr>
          <w:trHeight w:val="330" w:hRule="exact"/>
        </w:trPr>
        <w:tc>
          <w:tcPr>
            <w:tcW w:w="1159" w:type="dxa"/>
            <w:tcBorders>
              <w:top w:val="single" w:sz="12" w:space="0" w:color="000000"/>
              <w:left w:val="single" w:sz="12" w:space="0" w:color="000000"/>
              <w:bottom w:val="single" w:sz="4" w:space="0" w:color="000000"/>
              <w:right w:val="single" w:sz="4" w:space="0" w:color="000000"/>
            </w:tcBorders>
          </w:tcPr>
          <w:p>
            <w:pPr/>
          </w:p>
        </w:tc>
        <w:tc>
          <w:tcPr>
            <w:tcW w:w="2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c>
          <w:tcPr>
            <w:tcW w:w="255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41" w:hRule="exact"/>
        </w:trPr>
        <w:tc>
          <w:tcPr>
            <w:tcW w:w="1159" w:type="dxa"/>
            <w:tcBorders>
              <w:top w:val="single" w:sz="4" w:space="0" w:color="000000"/>
              <w:left w:val="single" w:sz="12" w:space="0" w:color="000000"/>
              <w:bottom w:val="single" w:sz="4" w:space="0" w:color="000000"/>
              <w:right w:val="single" w:sz="4" w:space="0" w:color="000000"/>
            </w:tcBorders>
          </w:tcPr>
          <w:p>
            <w:pPr>
              <w:pStyle w:val="TableParagraph"/>
              <w:tabs>
                <w:tab w:pos="633" w:val="left" w:leader="none"/>
              </w:tabs>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姓</w:t>
              <w:tab/>
              <w:t>名</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90"/>
                <w:sz w:val="18"/>
                <w:szCs w:val="18"/>
              </w:rPr>
              <w:t> </w:t>
            </w:r>
            <w:r>
              <w:rPr>
                <w:rFonts w:ascii="宋体" w:hAnsi="宋体" w:cs="宋体" w:eastAsia="宋体" w:hint="default"/>
                <w:sz w:val="18"/>
                <w:szCs w:val="18"/>
              </w:rPr>
              <w:t>峻</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韩</w:t>
            </w:r>
            <w:r>
              <w:rPr>
                <w:rFonts w:ascii="宋体" w:hAnsi="宋体" w:cs="宋体" w:eastAsia="宋体" w:hint="default"/>
                <w:spacing w:val="90"/>
                <w:sz w:val="18"/>
                <w:szCs w:val="18"/>
              </w:rPr>
              <w:t> </w:t>
            </w:r>
            <w:r>
              <w:rPr>
                <w:rFonts w:ascii="宋体" w:hAnsi="宋体" w:cs="宋体" w:eastAsia="宋体" w:hint="default"/>
                <w:sz w:val="18"/>
                <w:szCs w:val="18"/>
              </w:rPr>
              <w:t>枫</w:t>
            </w:r>
          </w:p>
        </w:tc>
        <w:tc>
          <w:tcPr>
            <w:tcW w:w="2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任  峻</w:t>
            </w:r>
          </w:p>
        </w:tc>
      </w:tr>
      <w:tr>
        <w:trPr>
          <w:trHeight w:val="340" w:hRule="exact"/>
        </w:trPr>
        <w:tc>
          <w:tcPr>
            <w:tcW w:w="11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江苏省南京市淮海路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40" w:hRule="exact"/>
        </w:trPr>
        <w:tc>
          <w:tcPr>
            <w:tcW w:w="1159" w:type="dxa"/>
            <w:tcBorders>
              <w:top w:val="single" w:sz="4" w:space="0" w:color="000000"/>
              <w:left w:val="single" w:sz="12" w:space="0" w:color="000000"/>
              <w:bottom w:val="single" w:sz="4" w:space="0" w:color="000000"/>
              <w:right w:val="single" w:sz="4" w:space="0" w:color="000000"/>
            </w:tcBorders>
          </w:tcPr>
          <w:p>
            <w:pPr>
              <w:pStyle w:val="TableParagraph"/>
              <w:tabs>
                <w:tab w:pos="633" w:val="left" w:leader="none"/>
              </w:tabs>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电</w:t>
              <w:tab/>
              <w:t>话</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025-84418888-888155</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025-84418888-888122</w:t>
            </w:r>
          </w:p>
        </w:tc>
        <w:tc>
          <w:tcPr>
            <w:tcW w:w="2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7" w:right="0"/>
              <w:jc w:val="center"/>
              <w:rPr>
                <w:rFonts w:ascii="Times New Roman" w:hAnsi="Times New Roman" w:cs="Times New Roman" w:eastAsia="Times New Roman" w:hint="default"/>
                <w:sz w:val="18"/>
                <w:szCs w:val="18"/>
              </w:rPr>
            </w:pPr>
            <w:r>
              <w:rPr>
                <w:rFonts w:ascii="Times New Roman"/>
                <w:sz w:val="18"/>
              </w:rPr>
              <w:t>025-84418888-888155</w:t>
            </w:r>
          </w:p>
        </w:tc>
      </w:tr>
      <w:tr>
        <w:trPr>
          <w:trHeight w:val="341" w:hRule="exact"/>
        </w:trPr>
        <w:tc>
          <w:tcPr>
            <w:tcW w:w="1159" w:type="dxa"/>
            <w:tcBorders>
              <w:top w:val="single" w:sz="4" w:space="0" w:color="000000"/>
              <w:left w:val="single" w:sz="12" w:space="0" w:color="000000"/>
              <w:bottom w:val="single" w:sz="4" w:space="0" w:color="000000"/>
              <w:right w:val="single" w:sz="4" w:space="0" w:color="000000"/>
            </w:tcBorders>
          </w:tcPr>
          <w:p>
            <w:pPr>
              <w:pStyle w:val="TableParagraph"/>
              <w:tabs>
                <w:tab w:pos="633" w:val="left" w:leader="none"/>
              </w:tabs>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传</w:t>
              <w:tab/>
              <w:t>真</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025-84467008</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025-84467008</w:t>
            </w:r>
          </w:p>
        </w:tc>
        <w:tc>
          <w:tcPr>
            <w:tcW w:w="2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left="8" w:right="0"/>
              <w:jc w:val="center"/>
              <w:rPr>
                <w:rFonts w:ascii="Times New Roman" w:hAnsi="Times New Roman" w:cs="Times New Roman" w:eastAsia="Times New Roman" w:hint="default"/>
                <w:sz w:val="18"/>
                <w:szCs w:val="18"/>
              </w:rPr>
            </w:pPr>
            <w:r>
              <w:rPr>
                <w:rFonts w:ascii="Times New Roman"/>
                <w:sz w:val="18"/>
              </w:rPr>
              <w:t>025-84467008</w:t>
            </w:r>
          </w:p>
        </w:tc>
      </w:tr>
      <w:tr>
        <w:trPr>
          <w:trHeight w:val="350" w:hRule="exact"/>
        </w:trPr>
        <w:tc>
          <w:tcPr>
            <w:tcW w:w="11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c>
          <w:tcPr>
            <w:tcW w:w="2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c>
          <w:tcPr>
            <w:tcW w:w="25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left="10" w:right="0"/>
              <w:jc w:val="center"/>
              <w:rPr>
                <w:rFonts w:ascii="Times New Roman" w:hAnsi="Times New Roman" w:cs="Times New Roman" w:eastAsia="Times New Roman" w:hint="default"/>
                <w:sz w:val="18"/>
                <w:szCs w:val="18"/>
              </w:rPr>
            </w:pPr>
            <w:r>
              <w:rPr>
                <w:rFonts w:ascii="Times New Roman"/>
                <w:w w:val="99"/>
                <w:sz w:val="18"/>
              </w:rPr>
            </w:r>
            <w:hyperlink r:id="rId8">
              <w:r>
                <w:rPr>
                  <w:rFonts w:ascii="Times New Roman"/>
                  <w:sz w:val="18"/>
                  <w:u w:val="single" w:color="000000"/>
                </w:rPr>
                <w:t>stock@cnsuning.com</w:t>
              </w:r>
              <w:r>
                <w:rPr>
                  <w:rFonts w:ascii="Times New Roman"/>
                  <w:sz w:val="18"/>
                </w:rPr>
              </w:r>
            </w:hyperlink>
          </w:p>
        </w:tc>
      </w:tr>
    </w:tbl>
    <w:p>
      <w:pPr>
        <w:pStyle w:val="BodyText"/>
        <w:spacing w:line="293" w:lineRule="exact"/>
        <w:ind w:left="704" w:right="1778"/>
        <w:jc w:val="left"/>
      </w:pPr>
      <w:r>
        <w:rPr>
          <w:rFonts w:ascii="Times New Roman" w:hAnsi="Times New Roman" w:cs="Times New Roman" w:eastAsia="Times New Roman" w:hint="default"/>
        </w:rPr>
        <w:t>4</w:t>
      </w:r>
      <w:r>
        <w:rPr/>
        <w:t>、公司注册地址：江苏省南京市山西路</w:t>
      </w:r>
      <w:r>
        <w:rPr>
          <w:spacing w:val="-60"/>
        </w:rPr>
        <w:t> </w:t>
      </w:r>
      <w:r>
        <w:rPr>
          <w:rFonts w:ascii="Times New Roman" w:hAnsi="Times New Roman" w:cs="Times New Roman" w:eastAsia="Times New Roman" w:hint="default"/>
        </w:rPr>
        <w:t>8 </w:t>
      </w:r>
      <w:r>
        <w:rPr/>
        <w:t>号金山大厦</w:t>
      </w:r>
      <w:r>
        <w:rPr>
          <w:spacing w:val="-60"/>
        </w:rPr>
        <w:t> </w:t>
      </w:r>
      <w:r>
        <w:rPr>
          <w:rFonts w:ascii="Times New Roman" w:hAnsi="Times New Roman" w:cs="Times New Roman" w:eastAsia="Times New Roman" w:hint="default"/>
        </w:rPr>
        <w:t>1-5 </w:t>
      </w:r>
      <w:r>
        <w:rPr/>
        <w:t>层</w:t>
      </w:r>
    </w:p>
    <w:p>
      <w:pPr>
        <w:spacing w:line="316" w:lineRule="auto" w:before="104"/>
        <w:ind w:left="1063" w:right="3561" w:firstLine="0"/>
        <w:jc w:val="left"/>
        <w:rPr>
          <w:rFonts w:ascii="Times New Roman" w:hAnsi="Times New Roman" w:cs="Times New Roman" w:eastAsia="Times New Roman" w:hint="default"/>
          <w:sz w:val="21"/>
          <w:szCs w:val="21"/>
        </w:rPr>
      </w:pPr>
      <w:r>
        <w:rPr>
          <w:rFonts w:ascii="宋体" w:hAnsi="宋体" w:cs="宋体" w:eastAsia="宋体" w:hint="default"/>
          <w:sz w:val="24"/>
          <w:szCs w:val="24"/>
        </w:rPr>
        <w:t>公司办公地址：江苏省南京市淮海路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68 </w:t>
      </w:r>
      <w:r>
        <w:rPr>
          <w:rFonts w:ascii="宋体" w:hAnsi="宋体" w:cs="宋体" w:eastAsia="宋体" w:hint="default"/>
          <w:sz w:val="24"/>
          <w:szCs w:val="24"/>
        </w:rPr>
        <w:t>号 邮政编码：</w:t>
      </w:r>
      <w:r>
        <w:rPr>
          <w:rFonts w:ascii="Times New Roman" w:hAnsi="Times New Roman" w:cs="Times New Roman" w:eastAsia="Times New Roman" w:hint="default"/>
          <w:sz w:val="24"/>
          <w:szCs w:val="24"/>
        </w:rPr>
        <w:t>210005 </w:t>
      </w:r>
      <w:r>
        <w:rPr>
          <w:rFonts w:ascii="宋体" w:hAnsi="宋体" w:cs="宋体" w:eastAsia="宋体" w:hint="default"/>
          <w:sz w:val="24"/>
          <w:szCs w:val="24"/>
        </w:rPr>
        <w:t>互联网网址：</w:t>
      </w:r>
      <w:hyperlink r:id="rId9">
        <w:r>
          <w:rPr>
            <w:rFonts w:ascii="Times New Roman" w:hAnsi="Times New Roman" w:cs="Times New Roman" w:eastAsia="Times New Roman" w:hint="default"/>
            <w:sz w:val="21"/>
            <w:szCs w:val="21"/>
          </w:rPr>
          <w:t>http://www.cnsuning.com</w:t>
        </w:r>
      </w:hyperlink>
      <w:r>
        <w:rPr>
          <w:rFonts w:ascii="Times New Roman" w:hAnsi="Times New Roman" w:cs="Times New Roman" w:eastAsia="Times New Roman" w:hint="default"/>
          <w:sz w:val="21"/>
          <w:szCs w:val="21"/>
        </w:rPr>
        <w:t> </w:t>
      </w:r>
      <w:r>
        <w:rPr>
          <w:rFonts w:ascii="宋体" w:hAnsi="宋体" w:cs="宋体" w:eastAsia="宋体" w:hint="default"/>
          <w:sz w:val="24"/>
          <w:szCs w:val="24"/>
        </w:rPr>
        <w:t>电子信箱：</w:t>
      </w:r>
      <w:hyperlink r:id="rId8">
        <w:r>
          <w:rPr>
            <w:rFonts w:ascii="Times New Roman" w:hAnsi="Times New Roman" w:cs="Times New Roman" w:eastAsia="Times New Roman" w:hint="default"/>
            <w:sz w:val="21"/>
            <w:szCs w:val="21"/>
          </w:rPr>
          <w:t>stock@cnsuning.com</w:t>
        </w:r>
      </w:hyperlink>
    </w:p>
    <w:p>
      <w:pPr>
        <w:pStyle w:val="BodyText"/>
        <w:spacing w:line="240" w:lineRule="auto" w:before="30"/>
        <w:ind w:left="702" w:right="1778"/>
        <w:jc w:val="left"/>
      </w:pPr>
      <w:r>
        <w:rPr>
          <w:rFonts w:ascii="Times New Roman" w:hAnsi="Times New Roman" w:cs="Times New Roman" w:eastAsia="Times New Roman" w:hint="default"/>
        </w:rPr>
        <w:t>5</w:t>
      </w:r>
      <w:r>
        <w:rPr/>
        <w:t>、公司选定的信息披露报纸</w:t>
      </w:r>
      <w:r>
        <w:rPr>
          <w:spacing w:val="-120"/>
        </w:rPr>
        <w:t>：</w:t>
      </w:r>
      <w:r>
        <w:rPr/>
        <w:t>《证券时报</w:t>
      </w:r>
      <w:r>
        <w:rPr>
          <w:spacing w:val="-120"/>
        </w:rPr>
        <w:t>》、</w:t>
      </w:r>
      <w:r>
        <w:rPr/>
        <w:t>《中国证券报》</w:t>
      </w:r>
    </w:p>
    <w:p>
      <w:pPr>
        <w:spacing w:line="328" w:lineRule="auto" w:before="104"/>
        <w:ind w:left="1063" w:right="2142" w:firstLine="2751"/>
        <w:jc w:val="left"/>
        <w:rPr>
          <w:rFonts w:ascii="宋体" w:hAnsi="宋体" w:cs="宋体" w:eastAsia="宋体" w:hint="default"/>
          <w:sz w:val="24"/>
          <w:szCs w:val="24"/>
        </w:rPr>
      </w:pPr>
      <w:r>
        <w:rPr>
          <w:rFonts w:ascii="宋体" w:hAnsi="宋体" w:cs="宋体" w:eastAsia="宋体" w:hint="default"/>
          <w:spacing w:val="-18"/>
          <w:sz w:val="24"/>
          <w:szCs w:val="24"/>
        </w:rPr>
        <w:t>《上海证券报》、《证券日报》</w:t>
      </w:r>
      <w:r>
        <w:rPr>
          <w:rFonts w:ascii="宋体" w:hAnsi="宋体" w:cs="宋体" w:eastAsia="宋体" w:hint="default"/>
          <w:sz w:val="24"/>
          <w:szCs w:val="24"/>
        </w:rPr>
        <w:t> 指定信息披露网址：</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z w:val="21"/>
          <w:szCs w:val="21"/>
        </w:rPr>
        <w:t> </w:t>
      </w:r>
      <w:r>
        <w:rPr>
          <w:rFonts w:ascii="宋体" w:hAnsi="宋体" w:cs="宋体" w:eastAsia="宋体" w:hint="default"/>
          <w:sz w:val="24"/>
          <w:szCs w:val="24"/>
        </w:rPr>
        <w:t>公司年度报告备置地点：公司董事会秘书办公室</w:t>
      </w:r>
    </w:p>
    <w:p>
      <w:pPr>
        <w:pStyle w:val="BodyText"/>
        <w:spacing w:line="324" w:lineRule="auto" w:before="34"/>
        <w:ind w:left="1063" w:right="4401" w:hanging="36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、股票上市交易所：深圳证券交易所 股票简称：苏宁电器 股票代码：</w:t>
      </w:r>
      <w:r>
        <w:rPr>
          <w:rFonts w:ascii="Times New Roman" w:hAnsi="Times New Roman" w:cs="Times New Roman" w:eastAsia="Times New Roman" w:hint="default"/>
        </w:rPr>
        <w:t>002024</w:t>
      </w:r>
    </w:p>
    <w:p>
      <w:pPr>
        <w:pStyle w:val="BodyText"/>
        <w:spacing w:line="240" w:lineRule="auto" w:before="11"/>
        <w:ind w:left="703" w:right="2568"/>
        <w:jc w:val="left"/>
      </w:pPr>
      <w:r>
        <w:rPr>
          <w:rFonts w:ascii="Times New Roman" w:hAnsi="Times New Roman" w:cs="Times New Roman" w:eastAsia="Times New Roman" w:hint="default"/>
        </w:rPr>
        <w:t>7</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29 </w:t>
      </w:r>
      <w:r>
        <w:rPr/>
        <w:t>日</w:t>
      </w:r>
    </w:p>
    <w:p>
      <w:pPr>
        <w:pStyle w:val="BodyText"/>
        <w:spacing w:line="314" w:lineRule="auto" w:before="104"/>
        <w:ind w:left="1063" w:right="2901"/>
        <w:jc w:val="left"/>
      </w:pPr>
      <w:r>
        <w:rPr/>
        <w:t>最近一次变更注册登记日期：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21 </w:t>
      </w:r>
      <w:r>
        <w:rPr/>
        <w:t>日 注册登记地点：江苏省工商行政管理局</w:t>
      </w:r>
    </w:p>
    <w:p>
      <w:pPr>
        <w:pStyle w:val="BodyText"/>
        <w:spacing w:line="319" w:lineRule="auto" w:before="48"/>
        <w:ind w:left="1063" w:right="1778" w:hanging="360"/>
        <w:jc w:val="left"/>
      </w:pPr>
      <w:r>
        <w:rPr>
          <w:rFonts w:ascii="Times New Roman" w:hAnsi="Times New Roman" w:cs="Times New Roman" w:eastAsia="Times New Roman" w:hint="default"/>
        </w:rPr>
        <w:t>8</w:t>
      </w:r>
      <w:r>
        <w:rPr/>
        <w:t>、企业法人营业执照注册号：</w:t>
      </w:r>
      <w:r>
        <w:rPr>
          <w:rFonts w:ascii="Times New Roman" w:hAnsi="Times New Roman" w:cs="Times New Roman" w:eastAsia="Times New Roman" w:hint="default"/>
        </w:rPr>
        <w:t>320000000035248 </w:t>
      </w:r>
      <w:r>
        <w:rPr/>
        <w:t>税务登记号码：苏宁税苏字</w:t>
      </w:r>
      <w:r>
        <w:rPr>
          <w:spacing w:val="-60"/>
        </w:rPr>
        <w:t> </w:t>
      </w:r>
      <w:r>
        <w:rPr>
          <w:rFonts w:ascii="Times New Roman" w:hAnsi="Times New Roman" w:cs="Times New Roman" w:eastAsia="Times New Roman" w:hint="default"/>
        </w:rPr>
        <w:t>320106608950987 </w:t>
      </w:r>
      <w:r>
        <w:rPr/>
        <w:t>组织机构代码证号码：</w:t>
      </w:r>
      <w:r>
        <w:rPr>
          <w:rFonts w:ascii="Times New Roman" w:hAnsi="Times New Roman" w:cs="Times New Roman" w:eastAsia="Times New Roman" w:hint="default"/>
        </w:rPr>
        <w:t>60895098-7 </w:t>
      </w:r>
      <w:r>
        <w:rPr/>
        <w:t>聘请的会计师事务所：普华永道中天会计师事务所有限公司 会计师事务所地址：中国上海市湖滨路</w:t>
      </w:r>
      <w:r>
        <w:rPr>
          <w:spacing w:val="-60"/>
        </w:rPr>
        <w:t> </w:t>
      </w:r>
      <w:r>
        <w:rPr>
          <w:rFonts w:ascii="Times New Roman" w:hAnsi="Times New Roman" w:cs="Times New Roman" w:eastAsia="Times New Roman" w:hint="default"/>
        </w:rPr>
        <w:t>202 </w:t>
      </w:r>
      <w:r>
        <w:rPr/>
        <w:t>号</w:t>
      </w:r>
    </w:p>
    <w:p>
      <w:pPr>
        <w:spacing w:after="0" w:line="319" w:lineRule="auto"/>
        <w:jc w:val="left"/>
        <w:sectPr>
          <w:pgSz w:w="11910" w:h="16840"/>
          <w:pgMar w:header="826" w:footer="900" w:top="1100" w:bottom="1100" w:left="1420" w:right="1400"/>
        </w:sectPr>
      </w:pPr>
    </w:p>
    <w:p>
      <w:pPr>
        <w:pStyle w:val="Heading1"/>
        <w:tabs>
          <w:tab w:pos="3411" w:val="left" w:leader="none"/>
        </w:tabs>
        <w:spacing w:line="240" w:lineRule="auto"/>
        <w:ind w:left="2130" w:right="1778"/>
        <w:jc w:val="left"/>
        <w:rPr>
          <w:b w:val="0"/>
          <w:bCs w:val="0"/>
        </w:rPr>
      </w:pPr>
      <w:bookmarkStart w:name="_TOC_250009" w:id="2"/>
      <w:r>
        <w:rPr>
          <w:w w:val="95"/>
        </w:rPr>
        <w:t>第二节</w:t>
        <w:tab/>
      </w:r>
      <w:r>
        <w:rPr/>
        <w:t>会计数据和业务数据摘要</w:t>
      </w:r>
      <w:bookmarkEnd w:id="2"/>
      <w:r>
        <w:rPr>
          <w:b w:val="0"/>
          <w:bCs w:val="0"/>
        </w:rPr>
      </w:r>
    </w:p>
    <w:p>
      <w:pPr>
        <w:tabs>
          <w:tab w:pos="7423" w:val="left" w:leader="none"/>
        </w:tabs>
        <w:spacing w:before="217"/>
        <w:ind w:left="704" w:right="0" w:firstLine="0"/>
        <w:jc w:val="left"/>
        <w:rPr>
          <w:rFonts w:ascii="宋体" w:hAnsi="宋体" w:cs="宋体" w:eastAsia="宋体" w:hint="default"/>
          <w:sz w:val="21"/>
          <w:szCs w:val="21"/>
        </w:rPr>
      </w:pPr>
      <w:r>
        <w:rPr>
          <w:rFonts w:ascii="宋体" w:hAnsi="宋体" w:cs="宋体" w:eastAsia="宋体" w:hint="default"/>
          <w:sz w:val="24"/>
          <w:szCs w:val="24"/>
        </w:rPr>
        <w:t>一、公司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年度主要利润指标：</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588"/>
        <w:gridCol w:w="4249"/>
      </w:tblGrid>
      <w:tr>
        <w:trPr>
          <w:trHeight w:val="302" w:hRule="exact"/>
        </w:trPr>
        <w:tc>
          <w:tcPr>
            <w:tcW w:w="4588" w:type="dxa"/>
            <w:tcBorders>
              <w:top w:val="single" w:sz="12" w:space="0" w:color="000000"/>
              <w:left w:val="single" w:sz="12" w:space="0" w:color="000000"/>
              <w:bottom w:val="single" w:sz="4" w:space="0" w:color="000000"/>
              <w:right w:val="single" w:sz="4" w:space="0" w:color="000000"/>
            </w:tcBorders>
          </w:tcPr>
          <w:p>
            <w:pPr>
              <w:pStyle w:val="TableParagraph"/>
              <w:spacing w:line="231" w:lineRule="exact"/>
              <w:ind w:right="8"/>
              <w:jc w:val="center"/>
              <w:rPr>
                <w:rFonts w:ascii="宋体" w:hAnsi="宋体" w:cs="宋体" w:eastAsia="宋体" w:hint="default"/>
                <w:sz w:val="18"/>
                <w:szCs w:val="18"/>
              </w:rPr>
            </w:pPr>
            <w:r>
              <w:rPr>
                <w:rFonts w:ascii="宋体" w:hAnsi="宋体" w:cs="宋体" w:eastAsia="宋体" w:hint="default"/>
                <w:sz w:val="18"/>
                <w:szCs w:val="18"/>
              </w:rPr>
              <w:t>指标</w:t>
            </w:r>
          </w:p>
        </w:tc>
        <w:tc>
          <w:tcPr>
            <w:tcW w:w="4249" w:type="dxa"/>
            <w:tcBorders>
              <w:top w:val="single" w:sz="12" w:space="0" w:color="000000"/>
              <w:left w:val="single" w:sz="4" w:space="0" w:color="000000"/>
              <w:bottom w:val="single" w:sz="4" w:space="0" w:color="000000"/>
              <w:right w:val="single" w:sz="12"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18"/>
                <w:szCs w:val="18"/>
              </w:rPr>
            </w:pPr>
            <w:r>
              <w:rPr>
                <w:rFonts w:ascii="Times New Roman"/>
                <w:sz w:val="18"/>
              </w:rPr>
              <w:t>49,896,709</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2,964,374</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w w:val="95"/>
                <w:sz w:val="18"/>
              </w:rPr>
              <w:t>-13,501</w:t>
            </w:r>
            <w:r>
              <w:rPr>
                <w:rFonts w:ascii="Times New Roman"/>
                <w:sz w:val="18"/>
              </w:rPr>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2,950,873</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2,170,189</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扣除非经常性损益后归属于上市公司股东的净利润（注）</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2,179,913</w:t>
            </w:r>
          </w:p>
        </w:tc>
      </w:tr>
      <w:tr>
        <w:trPr>
          <w:trHeight w:val="312" w:hRule="exact"/>
        </w:trPr>
        <w:tc>
          <w:tcPr>
            <w:tcW w:w="45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2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3,819,141</w:t>
            </w:r>
          </w:p>
        </w:tc>
      </w:tr>
      <w:tr>
        <w:trPr>
          <w:trHeight w:val="323" w:hRule="exact"/>
        </w:trPr>
        <w:tc>
          <w:tcPr>
            <w:tcW w:w="45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42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3,392,518</w:t>
            </w:r>
          </w:p>
        </w:tc>
      </w:tr>
    </w:tbl>
    <w:p>
      <w:pPr>
        <w:spacing w:line="248" w:lineRule="exact" w:before="0"/>
        <w:ind w:left="704" w:right="0" w:firstLine="0"/>
        <w:jc w:val="left"/>
        <w:rPr>
          <w:rFonts w:ascii="宋体" w:hAnsi="宋体" w:cs="宋体" w:eastAsia="宋体" w:hint="default"/>
          <w:sz w:val="21"/>
          <w:szCs w:val="21"/>
        </w:rPr>
      </w:pPr>
      <w:r>
        <w:rPr>
          <w:rFonts w:ascii="宋体" w:hAnsi="宋体" w:cs="宋体" w:eastAsia="宋体" w:hint="default"/>
          <w:sz w:val="21"/>
          <w:szCs w:val="21"/>
        </w:rPr>
        <w:t>注：根据《公开发行证券的公司信息披露解释性公告第</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号——非经常性损益（</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72" w:lineRule="exact" w:before="19"/>
        <w:ind w:left="224" w:right="218" w:firstLine="0"/>
        <w:jc w:val="left"/>
        <w:rPr>
          <w:rFonts w:ascii="宋体" w:hAnsi="宋体" w:cs="宋体" w:eastAsia="宋体" w:hint="default"/>
          <w:sz w:val="21"/>
          <w:szCs w:val="21"/>
        </w:rPr>
      </w:pPr>
      <w:r>
        <w:rPr>
          <w:rFonts w:ascii="宋体" w:hAnsi="宋体" w:cs="宋体" w:eastAsia="宋体" w:hint="default"/>
          <w:spacing w:val="-6"/>
          <w:sz w:val="21"/>
          <w:szCs w:val="21"/>
        </w:rPr>
        <w:t>的要求，公司在计算</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年与非经常性损益相关的财务指标时，已扣除少数股东权益和所得税 影响。</w:t>
      </w:r>
    </w:p>
    <w:p>
      <w:pPr>
        <w:pStyle w:val="BodyText"/>
        <w:spacing w:line="283" w:lineRule="exact"/>
        <w:ind w:left="704" w:right="2568"/>
        <w:jc w:val="left"/>
      </w:pPr>
      <w:r>
        <w:rPr/>
        <w:t>报告期内扣除非经常性损益的项目及涉及金额如下：</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687"/>
        <w:gridCol w:w="3150"/>
      </w:tblGrid>
      <w:tr>
        <w:trPr>
          <w:trHeight w:val="302" w:hRule="exact"/>
        </w:trPr>
        <w:tc>
          <w:tcPr>
            <w:tcW w:w="5687" w:type="dxa"/>
            <w:tcBorders>
              <w:top w:val="single" w:sz="12" w:space="0" w:color="000000"/>
              <w:left w:val="single" w:sz="12" w:space="0" w:color="000000"/>
              <w:bottom w:val="single" w:sz="4" w:space="0" w:color="000000"/>
              <w:right w:val="single" w:sz="4" w:space="0" w:color="000000"/>
            </w:tcBorders>
          </w:tcPr>
          <w:p>
            <w:pPr>
              <w:pStyle w:val="TableParagraph"/>
              <w:spacing w:line="231" w:lineRule="exact"/>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tcBorders>
              <w:top w:val="single" w:sz="12" w:space="0" w:color="000000"/>
              <w:left w:val="single" w:sz="4" w:space="0" w:color="000000"/>
              <w:bottom w:val="single" w:sz="4" w:space="0" w:color="000000"/>
              <w:right w:val="single" w:sz="12"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12" w:hRule="exact"/>
        </w:trPr>
        <w:tc>
          <w:tcPr>
            <w:tcW w:w="56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-912</w:t>
            </w:r>
          </w:p>
        </w:tc>
      </w:tr>
      <w:tr>
        <w:trPr>
          <w:trHeight w:val="478" w:hRule="exact"/>
        </w:trPr>
        <w:tc>
          <w:tcPr>
            <w:tcW w:w="5687" w:type="dxa"/>
            <w:tcBorders>
              <w:top w:val="single" w:sz="4" w:space="0" w:color="000000"/>
              <w:left w:val="single" w:sz="12" w:space="0" w:color="000000"/>
              <w:bottom w:val="single" w:sz="4" w:space="0" w:color="000000"/>
              <w:right w:val="single" w:sz="4"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与公司正常经营业务密切相关，符合国家政</w:t>
            </w:r>
          </w:p>
          <w:p>
            <w:pPr>
              <w:pStyle w:val="TableParagraph"/>
              <w:spacing w:line="242" w:lineRule="exact"/>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策规定、按照一定标准定额或定量持续享受的政府补助除外</w:t>
            </w:r>
            <w:r>
              <w:rPr>
                <w:rFonts w:ascii="Times New Roman" w:hAnsi="Times New Roman" w:cs="Times New Roman" w:eastAsia="Times New Roman" w:hint="default"/>
                <w:sz w:val="18"/>
                <w:szCs w:val="18"/>
              </w:rPr>
              <w:t>)</w:t>
            </w:r>
          </w:p>
        </w:tc>
        <w:tc>
          <w:tcPr>
            <w:tcW w:w="31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Times New Roman" w:hAnsi="Times New Roman" w:cs="Times New Roman" w:eastAsia="Times New Roman" w:hint="default"/>
                <w:sz w:val="18"/>
                <w:szCs w:val="18"/>
              </w:rPr>
            </w:pPr>
            <w:r>
              <w:rPr>
                <w:rFonts w:ascii="Times New Roman"/>
                <w:sz w:val="18"/>
              </w:rPr>
              <w:t>22,833</w:t>
            </w:r>
          </w:p>
        </w:tc>
      </w:tr>
      <w:tr>
        <w:trPr>
          <w:trHeight w:val="312" w:hRule="exact"/>
        </w:trPr>
        <w:tc>
          <w:tcPr>
            <w:tcW w:w="56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非经常性损益的所得税影响数</w:t>
            </w:r>
          </w:p>
        </w:tc>
        <w:tc>
          <w:tcPr>
            <w:tcW w:w="31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3,375</w:t>
            </w:r>
          </w:p>
        </w:tc>
      </w:tr>
      <w:tr>
        <w:trPr>
          <w:trHeight w:val="312" w:hRule="exact"/>
        </w:trPr>
        <w:tc>
          <w:tcPr>
            <w:tcW w:w="56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31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w w:val="95"/>
                <w:sz w:val="18"/>
              </w:rPr>
              <w:t>-35,422</w:t>
            </w:r>
            <w:r>
              <w:rPr>
                <w:rFonts w:ascii="Times New Roman"/>
                <w:sz w:val="18"/>
              </w:rPr>
            </w:r>
          </w:p>
        </w:tc>
      </w:tr>
      <w:tr>
        <w:trPr>
          <w:trHeight w:val="312" w:hRule="exact"/>
        </w:trPr>
        <w:tc>
          <w:tcPr>
            <w:tcW w:w="56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少数股东权益影响数</w:t>
            </w:r>
          </w:p>
        </w:tc>
        <w:tc>
          <w:tcPr>
            <w:tcW w:w="31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402</w:t>
            </w:r>
          </w:p>
        </w:tc>
      </w:tr>
      <w:tr>
        <w:trPr>
          <w:trHeight w:val="323" w:hRule="exact"/>
        </w:trPr>
        <w:tc>
          <w:tcPr>
            <w:tcW w:w="568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31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z w:val="18"/>
              </w:rPr>
              <w:t>-9,724</w:t>
            </w:r>
          </w:p>
        </w:tc>
      </w:tr>
    </w:tbl>
    <w:p>
      <w:pPr>
        <w:spacing w:line="240" w:lineRule="auto" w:before="9"/>
        <w:rPr>
          <w:rFonts w:ascii="宋体" w:hAnsi="宋体" w:cs="宋体" w:eastAsia="宋体" w:hint="default"/>
          <w:sz w:val="26"/>
          <w:szCs w:val="26"/>
        </w:rPr>
      </w:pPr>
    </w:p>
    <w:p>
      <w:pPr>
        <w:pStyle w:val="BodyText"/>
        <w:spacing w:line="240" w:lineRule="auto" w:before="26"/>
        <w:ind w:left="706" w:right="2568"/>
        <w:jc w:val="left"/>
      </w:pPr>
      <w:r>
        <w:rPr/>
        <w:t>二、公司前三年主要会计数据和财务指标：</w:t>
      </w:r>
    </w:p>
    <w:p>
      <w:pPr>
        <w:tabs>
          <w:tab w:pos="7495" w:val="left" w:leader="none"/>
        </w:tabs>
        <w:spacing w:before="154"/>
        <w:ind w:left="703"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、主要会计数据</w:t>
        <w:tab/>
      </w:r>
      <w:r>
        <w:rPr>
          <w:rFonts w:ascii="宋体" w:hAnsi="宋体" w:cs="宋体" w:eastAsia="宋体" w:hint="default"/>
          <w:spacing w:val="-3"/>
          <w:sz w:val="21"/>
          <w:szCs w:val="21"/>
        </w:rPr>
        <w:t>（单位：千元）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28"/>
        <w:gridCol w:w="1421"/>
        <w:gridCol w:w="1596"/>
        <w:gridCol w:w="1596"/>
        <w:gridCol w:w="1596"/>
      </w:tblGrid>
      <w:tr>
        <w:trPr>
          <w:trHeight w:val="476" w:hRule="exact"/>
        </w:trPr>
        <w:tc>
          <w:tcPr>
            <w:tcW w:w="2628"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4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0"/>
              <w:ind w:left="4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0"/>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12"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6" w:type="dxa"/>
            <w:tcBorders>
              <w:top w:val="single" w:sz="12" w:space="0" w:color="000000"/>
              <w:left w:val="single" w:sz="8" w:space="0" w:color="000000"/>
              <w:bottom w:val="single" w:sz="8" w:space="0" w:color="000000"/>
              <w:right w:val="single" w:sz="12" w:space="0" w:color="000000"/>
            </w:tcBorders>
          </w:tcPr>
          <w:p>
            <w:pPr>
              <w:pStyle w:val="TableParagraph"/>
              <w:spacing w:line="213" w:lineRule="exact"/>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41"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49,896,709</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40,152,371</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24.27%</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26,161,252</w:t>
            </w:r>
          </w:p>
        </w:tc>
      </w:tr>
      <w:tr>
        <w:trPr>
          <w:trHeight w:val="340"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2,950,873</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2,241,358</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31.66%</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1,147,478</w:t>
            </w:r>
          </w:p>
        </w:tc>
      </w:tr>
      <w:tr>
        <w:trPr>
          <w:trHeight w:val="340"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2,170,189</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1,465,426</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w w:val="95"/>
                <w:sz w:val="18"/>
              </w:rPr>
              <w:t>48.09%</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z w:val="18"/>
              </w:rPr>
              <w:t>757,636</w:t>
            </w:r>
          </w:p>
        </w:tc>
      </w:tr>
      <w:tr>
        <w:trPr>
          <w:trHeight w:val="492"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归属于上市公司股东的扣除非</w:t>
            </w:r>
            <w:r>
              <w:rPr>
                <w:rFonts w:ascii="宋体" w:hAnsi="宋体" w:cs="宋体" w:eastAsia="宋体" w:hint="default"/>
                <w:sz w:val="18"/>
                <w:szCs w:val="18"/>
              </w:rPr>
            </w:r>
          </w:p>
          <w:p>
            <w:pPr>
              <w:pStyle w:val="TableParagraph"/>
              <w:spacing w:line="248" w:lineRule="exact"/>
              <w:ind w:left="93" w:right="0"/>
              <w:jc w:val="left"/>
              <w:rPr>
                <w:rFonts w:ascii="宋体" w:hAnsi="宋体" w:cs="宋体" w:eastAsia="宋体" w:hint="default"/>
                <w:sz w:val="18"/>
                <w:szCs w:val="18"/>
              </w:rPr>
            </w:pPr>
            <w:r>
              <w:rPr>
                <w:rFonts w:ascii="宋体" w:hAnsi="宋体" w:cs="宋体" w:eastAsia="宋体" w:hint="default"/>
                <w:sz w:val="18"/>
                <w:szCs w:val="18"/>
              </w:rPr>
              <w:t>经常性损益的净利润（注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z w:val="18"/>
              </w:rPr>
              <w:t>2,179,913</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z w:val="18"/>
              </w:rPr>
              <w:t>1,491,036</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w w:val="95"/>
                <w:sz w:val="18"/>
              </w:rPr>
              <w:t>46.20%</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8"/>
              <w:ind w:right="92"/>
              <w:jc w:val="right"/>
              <w:rPr>
                <w:rFonts w:ascii="Times New Roman" w:hAnsi="Times New Roman" w:cs="Times New Roman" w:eastAsia="Times New Roman" w:hint="default"/>
                <w:sz w:val="18"/>
                <w:szCs w:val="18"/>
              </w:rPr>
            </w:pPr>
            <w:r>
              <w:rPr>
                <w:rFonts w:ascii="Times New Roman"/>
                <w:sz w:val="18"/>
              </w:rPr>
              <w:t>757,497</w:t>
            </w:r>
          </w:p>
        </w:tc>
      </w:tr>
      <w:tr>
        <w:trPr>
          <w:trHeight w:val="341"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3,819,141</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3,496,476</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z w:val="18"/>
              </w:rPr>
              <w:t>150,751</w:t>
            </w:r>
          </w:p>
        </w:tc>
      </w:tr>
      <w:tr>
        <w:trPr>
          <w:trHeight w:val="568"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7"/>
              <w:ind w:left="93"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8" w:right="156" w:hanging="18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7"/>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40"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21,618,527</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16,229,651</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33.20%</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8,829,047</w:t>
            </w:r>
          </w:p>
        </w:tc>
      </w:tr>
      <w:tr>
        <w:trPr>
          <w:trHeight w:val="341" w:hRule="exact"/>
        </w:trPr>
        <w:tc>
          <w:tcPr>
            <w:tcW w:w="262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8,775,957</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4,623,562</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89.81%</w:t>
            </w:r>
            <w:r>
              <w:rPr>
                <w:rFonts w:ascii="Times New Roman"/>
                <w:sz w:val="18"/>
              </w:rPr>
            </w:r>
          </w:p>
        </w:tc>
        <w:tc>
          <w:tcPr>
            <w:tcW w:w="159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z w:val="18"/>
              </w:rPr>
              <w:t>3,158,136</w:t>
            </w:r>
          </w:p>
        </w:tc>
      </w:tr>
      <w:tr>
        <w:trPr>
          <w:trHeight w:val="346" w:hRule="exact"/>
        </w:trPr>
        <w:tc>
          <w:tcPr>
            <w:tcW w:w="262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2,991,008</w:t>
            </w:r>
          </w:p>
        </w:tc>
        <w:tc>
          <w:tcPr>
            <w:tcW w:w="15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1,441,504</w:t>
            </w:r>
          </w:p>
        </w:tc>
        <w:tc>
          <w:tcPr>
            <w:tcW w:w="15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5"/>
                <w:sz w:val="18"/>
              </w:rPr>
              <w:t>107.49%</w:t>
            </w:r>
            <w:r>
              <w:rPr>
                <w:rFonts w:ascii="Times New Roman"/>
                <w:sz w:val="18"/>
              </w:rPr>
            </w:r>
          </w:p>
        </w:tc>
        <w:tc>
          <w:tcPr>
            <w:tcW w:w="1596"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z w:val="18"/>
              </w:rPr>
              <w:t>720,752</w:t>
            </w:r>
          </w:p>
        </w:tc>
      </w:tr>
    </w:tbl>
    <w:p>
      <w:pPr>
        <w:spacing w:line="248" w:lineRule="exact" w:before="0"/>
        <w:ind w:left="70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9"/>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39"/>
          <w:sz w:val="21"/>
          <w:szCs w:val="21"/>
        </w:rPr>
        <w:t>、</w:t>
      </w:r>
      <w:r>
        <w:rPr>
          <w:rFonts w:ascii="宋体" w:hAnsi="宋体" w:cs="宋体" w:eastAsia="宋体" w:hint="default"/>
          <w:sz w:val="21"/>
          <w:szCs w:val="21"/>
        </w:rPr>
        <w:t>根</w:t>
      </w:r>
      <w:r>
        <w:rPr>
          <w:rFonts w:ascii="宋体" w:hAnsi="宋体" w:cs="宋体" w:eastAsia="宋体" w:hint="default"/>
          <w:spacing w:val="-40"/>
          <w:sz w:val="21"/>
          <w:szCs w:val="21"/>
        </w:rPr>
        <w:t>据</w:t>
      </w:r>
      <w:r>
        <w:rPr>
          <w:rFonts w:ascii="宋体" w:hAnsi="宋体" w:cs="宋体" w:eastAsia="宋体" w:hint="default"/>
          <w:sz w:val="21"/>
          <w:szCs w:val="21"/>
        </w:rPr>
        <w:t>《公开发行证券的公司信息披露解释性公告第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号——非经常性损</w:t>
      </w:r>
      <w:r>
        <w:rPr>
          <w:rFonts w:ascii="宋体" w:hAnsi="宋体" w:cs="宋体" w:eastAsia="宋体" w:hint="default"/>
          <w:spacing w:val="-39"/>
          <w:sz w:val="21"/>
          <w:szCs w:val="21"/>
        </w:rPr>
        <w:t>益</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72" w:lineRule="exact" w:before="19"/>
        <w:ind w:left="224" w:right="218" w:firstLine="0"/>
        <w:jc w:val="left"/>
        <w:rPr>
          <w:rFonts w:ascii="宋体" w:hAnsi="宋体" w:cs="宋体" w:eastAsia="宋体" w:hint="default"/>
          <w:sz w:val="21"/>
          <w:szCs w:val="21"/>
        </w:rPr>
      </w:pPr>
      <w:r>
        <w:rPr>
          <w:rFonts w:ascii="宋体" w:hAnsi="宋体" w:cs="宋体" w:eastAsia="宋体" w:hint="default"/>
          <w:spacing w:val="-6"/>
          <w:sz w:val="21"/>
          <w:szCs w:val="21"/>
        </w:rPr>
        <w:t>的要求，公司在计算</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年与非经常性损益相关的财务指标时，已扣除少数股东权益和所得税 影响；</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年列示数据相应调整，下同。</w:t>
      </w:r>
    </w:p>
    <w:p>
      <w:pPr>
        <w:spacing w:line="265" w:lineRule="exact" w:before="0"/>
        <w:ind w:left="1018" w:right="256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年末列示数据为调整后数据，下同。</w:t>
      </w:r>
    </w:p>
    <w:p>
      <w:pPr>
        <w:spacing w:after="0" w:line="265" w:lineRule="exact"/>
        <w:jc w:val="left"/>
        <w:rPr>
          <w:rFonts w:ascii="宋体" w:hAnsi="宋体" w:cs="宋体" w:eastAsia="宋体" w:hint="default"/>
          <w:sz w:val="21"/>
          <w:szCs w:val="21"/>
        </w:rPr>
        <w:sectPr>
          <w:pgSz w:w="11910" w:h="16840"/>
          <w:pgMar w:header="826" w:footer="900" w:top="1100" w:bottom="1100" w:left="1420" w:right="1400"/>
        </w:sectPr>
      </w:pPr>
    </w:p>
    <w:p>
      <w:pPr>
        <w:tabs>
          <w:tab w:pos="7663" w:val="left" w:leader="none"/>
        </w:tabs>
        <w:spacing w:before="106"/>
        <w:ind w:left="704"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宋体" w:hAnsi="宋体" w:cs="宋体" w:eastAsia="宋体" w:hint="default"/>
          <w:sz w:val="24"/>
          <w:szCs w:val="24"/>
        </w:rPr>
        <w:t>、主要财务指标</w:t>
        <w:tab/>
      </w:r>
      <w:r>
        <w:rPr>
          <w:rFonts w:ascii="宋体" w:hAnsi="宋体" w:cs="宋体" w:eastAsia="宋体" w:hint="default"/>
          <w:sz w:val="21"/>
          <w:szCs w:val="21"/>
        </w:rPr>
        <w:t>（单位：元）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88"/>
        <w:gridCol w:w="1331"/>
        <w:gridCol w:w="1506"/>
        <w:gridCol w:w="1506"/>
        <w:gridCol w:w="1506"/>
      </w:tblGrid>
      <w:tr>
        <w:trPr>
          <w:trHeight w:val="800" w:hRule="exact"/>
        </w:trPr>
        <w:tc>
          <w:tcPr>
            <w:tcW w:w="29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指标</w:t>
            </w:r>
          </w:p>
        </w:tc>
        <w:tc>
          <w:tcPr>
            <w:tcW w:w="1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before="127"/>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5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70"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0.74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0.51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45.10%</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z w:val="18"/>
              </w:rPr>
              <w:t>0.27</w:t>
            </w:r>
          </w:p>
        </w:tc>
      </w:tr>
      <w:tr>
        <w:trPr>
          <w:trHeight w:val="3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0.74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0.51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45.10%</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z w:val="18"/>
              </w:rPr>
              <w:t>0.27</w:t>
            </w:r>
          </w:p>
        </w:tc>
      </w:tr>
      <w:tr>
        <w:trPr>
          <w:trHeight w:val="552"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扣除非经常性损益后的每股收益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42.31%</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0.27</w:t>
            </w:r>
          </w:p>
        </w:tc>
      </w:tr>
      <w:tr>
        <w:trPr>
          <w:trHeight w:val="370"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24.73%</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31.69%</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-6.96%</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23.99%</w:t>
            </w:r>
            <w:r>
              <w:rPr>
                <w:rFonts w:ascii="Times New Roman"/>
                <w:sz w:val="18"/>
              </w:rPr>
            </w:r>
          </w:p>
        </w:tc>
      </w:tr>
      <w:tr>
        <w:trPr>
          <w:trHeight w:val="3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31.60%</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37.66%</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-6.06%</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34.73%</w:t>
            </w:r>
            <w:r>
              <w:rPr>
                <w:rFonts w:ascii="Times New Roman"/>
                <w:sz w:val="18"/>
              </w:rPr>
            </w:r>
          </w:p>
        </w:tc>
      </w:tr>
      <w:tr>
        <w:trPr>
          <w:trHeight w:val="484"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扣除非经常性损益后的全面摊薄净</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24.84%</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32.25%</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-7.41%</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right="91"/>
              <w:jc w:val="right"/>
              <w:rPr>
                <w:rFonts w:ascii="Times New Roman" w:hAnsi="Times New Roman" w:cs="Times New Roman" w:eastAsia="Times New Roman" w:hint="default"/>
                <w:sz w:val="18"/>
                <w:szCs w:val="18"/>
              </w:rPr>
            </w:pPr>
            <w:r>
              <w:rPr>
                <w:rFonts w:ascii="Times New Roman"/>
                <w:w w:val="95"/>
                <w:sz w:val="18"/>
              </w:rPr>
              <w:t>23.99%</w:t>
            </w:r>
            <w:r>
              <w:rPr>
                <w:rFonts w:ascii="Times New Roman"/>
                <w:sz w:val="18"/>
              </w:rPr>
            </w:r>
          </w:p>
        </w:tc>
      </w:tr>
      <w:tr>
        <w:trPr>
          <w:trHeight w:val="476"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扣除非经常性损益后的加权平均净</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31.75%</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38.20%</w:t>
            </w:r>
            <w:r>
              <w:rPr>
                <w:rFonts w:ascii="Times New Roman"/>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-6.45%</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91"/>
              <w:jc w:val="right"/>
              <w:rPr>
                <w:rFonts w:ascii="Times New Roman" w:hAnsi="Times New Roman" w:cs="Times New Roman" w:eastAsia="Times New Roman" w:hint="default"/>
                <w:sz w:val="18"/>
                <w:szCs w:val="18"/>
              </w:rPr>
            </w:pPr>
            <w:r>
              <w:rPr>
                <w:rFonts w:ascii="Times New Roman"/>
                <w:w w:val="95"/>
                <w:sz w:val="18"/>
              </w:rPr>
              <w:t>34.72%</w:t>
            </w:r>
            <w:r>
              <w:rPr>
                <w:rFonts w:ascii="Times New Roman"/>
                <w:sz w:val="18"/>
              </w:rPr>
            </w:r>
          </w:p>
        </w:tc>
      </w:tr>
      <w:tr>
        <w:trPr>
          <w:trHeight w:val="4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1"/>
              <w:ind w:left="9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1.28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2.43</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-47.33%</w:t>
            </w:r>
            <w:r>
              <w:rPr>
                <w:rFonts w:ascii="Times New Roman"/>
                <w:sz w:val="18"/>
              </w:rPr>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3"/>
              <w:jc w:val="right"/>
              <w:rPr>
                <w:rFonts w:ascii="Times New Roman" w:hAnsi="Times New Roman" w:cs="Times New Roman" w:eastAsia="Times New Roman" w:hint="default"/>
                <w:sz w:val="18"/>
                <w:szCs w:val="18"/>
              </w:rPr>
            </w:pPr>
            <w:r>
              <w:rPr>
                <w:rFonts w:ascii="Times New Roman"/>
                <w:sz w:val="18"/>
              </w:rPr>
              <w:t>0.21</w:t>
            </w:r>
          </w:p>
        </w:tc>
      </w:tr>
      <w:tr>
        <w:trPr>
          <w:trHeight w:val="4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指标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5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79" w:hRule="exact"/>
        </w:trPr>
        <w:tc>
          <w:tcPr>
            <w:tcW w:w="29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1"/>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2.93</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3.21</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-8.72%</w:t>
            </w:r>
            <w:r>
              <w:rPr>
                <w:rFonts w:ascii="Times New Roman"/>
                <w:sz w:val="18"/>
              </w:rPr>
            </w:r>
          </w:p>
        </w:tc>
        <w:tc>
          <w:tcPr>
            <w:tcW w:w="15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1"/>
              <w:ind w:right="91"/>
              <w:jc w:val="right"/>
              <w:rPr>
                <w:rFonts w:ascii="Times New Roman" w:hAnsi="Times New Roman" w:cs="Times New Roman" w:eastAsia="Times New Roman" w:hint="default"/>
                <w:sz w:val="18"/>
                <w:szCs w:val="18"/>
              </w:rPr>
            </w:pPr>
            <w:r>
              <w:rPr>
                <w:rFonts w:ascii="Times New Roman"/>
                <w:sz w:val="18"/>
              </w:rPr>
              <w:t>4.38</w:t>
            </w:r>
          </w:p>
        </w:tc>
      </w:tr>
    </w:tbl>
    <w:p>
      <w:pPr>
        <w:pStyle w:val="BodyText"/>
        <w:spacing w:line="293" w:lineRule="exact"/>
        <w:ind w:left="704" w:right="0"/>
        <w:jc w:val="left"/>
      </w:pPr>
      <w:r>
        <w:rPr>
          <w:rFonts w:ascii="Times New Roman" w:hAnsi="Times New Roman" w:cs="Times New Roman" w:eastAsia="Times New Roman" w:hint="default"/>
        </w:rPr>
        <w:t>3</w:t>
      </w:r>
      <w:r>
        <w:rPr/>
        <w:t>、按照中国证监会《公开发行证券的公司信息披露编报规则第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40"/>
        </w:rPr>
        <w:t> </w:t>
      </w:r>
      <w:r>
        <w:rPr/>
        <w:t>号》的要求</w:t>
      </w:r>
    </w:p>
    <w:p>
      <w:pPr>
        <w:pStyle w:val="BodyText"/>
        <w:spacing w:line="240" w:lineRule="auto" w:before="135"/>
        <w:ind w:left="223" w:right="2568"/>
        <w:jc w:val="left"/>
      </w:pPr>
      <w:r>
        <w:rPr/>
        <w:t>计算的净资产收益率和每股收益</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90"/>
        <w:gridCol w:w="868"/>
        <w:gridCol w:w="875"/>
        <w:gridCol w:w="868"/>
        <w:gridCol w:w="870"/>
        <w:gridCol w:w="868"/>
        <w:gridCol w:w="870"/>
        <w:gridCol w:w="869"/>
        <w:gridCol w:w="860"/>
      </w:tblGrid>
      <w:tr>
        <w:trPr>
          <w:trHeight w:val="360" w:hRule="exact"/>
        </w:trPr>
        <w:tc>
          <w:tcPr>
            <w:tcW w:w="1890"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2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48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467"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8" w:hRule="exact"/>
        </w:trPr>
        <w:tc>
          <w:tcPr>
            <w:tcW w:w="1890" w:type="dxa"/>
            <w:vMerge/>
            <w:tcBorders>
              <w:left w:val="single" w:sz="12" w:space="0" w:color="000000"/>
              <w:right w:val="single" w:sz="4" w:space="0" w:color="000000"/>
            </w:tcBorders>
          </w:tcPr>
          <w:p>
            <w:pP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6"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8"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72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114"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74" w:hRule="exact"/>
        </w:trPr>
        <w:tc>
          <w:tcPr>
            <w:tcW w:w="1890" w:type="dxa"/>
            <w:vMerge/>
            <w:tcBorders>
              <w:left w:val="single" w:sz="12"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全面摊</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薄</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加权平</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均</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全面摊</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加权平</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均</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全面摊</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加权平</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全面摊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薄</w:t>
            </w:r>
          </w:p>
        </w:tc>
        <w:tc>
          <w:tcPr>
            <w:tcW w:w="860"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加权平</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均</w:t>
            </w:r>
          </w:p>
        </w:tc>
      </w:tr>
      <w:tr>
        <w:trPr>
          <w:trHeight w:val="564" w:hRule="exact"/>
        </w:trPr>
        <w:tc>
          <w:tcPr>
            <w:tcW w:w="18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92"/>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东的净利润</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24.73%</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31.60%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0.74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0.51</w:t>
            </w:r>
          </w:p>
        </w:tc>
        <w:tc>
          <w:tcPr>
            <w:tcW w:w="8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0.51</w:t>
            </w:r>
          </w:p>
        </w:tc>
      </w:tr>
      <w:tr>
        <w:trPr>
          <w:trHeight w:val="766" w:hRule="exact"/>
        </w:trPr>
        <w:tc>
          <w:tcPr>
            <w:tcW w:w="1890" w:type="dxa"/>
            <w:tcBorders>
              <w:top w:val="single" w:sz="4" w:space="0" w:color="000000"/>
              <w:left w:val="single" w:sz="12" w:space="0" w:color="000000"/>
              <w:bottom w:val="single" w:sz="12" w:space="0" w:color="000000"/>
              <w:right w:val="single" w:sz="4" w:space="0" w:color="000000"/>
            </w:tcBorders>
          </w:tcPr>
          <w:p>
            <w:pPr>
              <w:pStyle w:val="TableParagraph"/>
              <w:spacing w:line="234" w:lineRule="exact" w:before="14"/>
              <w:ind w:left="93" w:right="92"/>
              <w:jc w:val="both"/>
              <w:rPr>
                <w:rFonts w:ascii="宋体" w:hAnsi="宋体" w:cs="宋体" w:eastAsia="宋体" w:hint="default"/>
                <w:sz w:val="18"/>
                <w:szCs w:val="18"/>
              </w:rPr>
            </w:pPr>
            <w:r>
              <w:rPr>
                <w:rFonts w:ascii="宋体" w:hAnsi="宋体" w:cs="宋体" w:eastAsia="宋体" w:hint="default"/>
                <w:spacing w:val="6"/>
                <w:sz w:val="18"/>
                <w:szCs w:val="18"/>
              </w:rPr>
              <w:t>扣除非经常性损益后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归属于公司普通股股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东的净利润</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24.84%</w:t>
            </w:r>
          </w:p>
        </w:tc>
        <w:tc>
          <w:tcPr>
            <w:tcW w:w="8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31.75%</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0.73</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0.74</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32.25%</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38.20%</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0.52</w:t>
            </w:r>
          </w:p>
        </w:tc>
        <w:tc>
          <w:tcPr>
            <w:tcW w:w="8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0.52</w:t>
            </w:r>
          </w:p>
        </w:tc>
      </w:tr>
    </w:tbl>
    <w:p>
      <w:pPr>
        <w:spacing w:line="240" w:lineRule="auto" w:before="9"/>
        <w:rPr>
          <w:rFonts w:ascii="宋体" w:hAnsi="宋体" w:cs="宋体" w:eastAsia="宋体" w:hint="default"/>
          <w:sz w:val="26"/>
          <w:szCs w:val="26"/>
        </w:rPr>
      </w:pPr>
    </w:p>
    <w:p>
      <w:pPr>
        <w:tabs>
          <w:tab w:pos="7487" w:val="left" w:leader="none"/>
        </w:tabs>
        <w:spacing w:before="26"/>
        <w:ind w:left="704" w:right="0" w:firstLine="0"/>
        <w:jc w:val="left"/>
        <w:rPr>
          <w:rFonts w:ascii="宋体" w:hAnsi="宋体" w:cs="宋体" w:eastAsia="宋体" w:hint="default"/>
          <w:sz w:val="21"/>
          <w:szCs w:val="21"/>
        </w:rPr>
      </w:pPr>
      <w:r>
        <w:rPr>
          <w:rFonts w:ascii="宋体" w:hAnsi="宋体" w:cs="宋体" w:eastAsia="宋体" w:hint="default"/>
          <w:spacing w:val="-2"/>
          <w:sz w:val="24"/>
          <w:szCs w:val="24"/>
        </w:rPr>
        <w:t>三、报告期内归属于母公司所有者权益变动情况：</w:t>
        <w:tab/>
      </w:r>
      <w:r>
        <w:rPr>
          <w:rFonts w:ascii="宋体" w:hAnsi="宋体" w:cs="宋体" w:eastAsia="宋体" w:hint="default"/>
          <w:spacing w:val="-2"/>
          <w:sz w:val="21"/>
          <w:szCs w:val="21"/>
        </w:rPr>
        <w:t>（单位：千元）</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346"/>
        <w:gridCol w:w="1447"/>
        <w:gridCol w:w="1447"/>
        <w:gridCol w:w="1448"/>
        <w:gridCol w:w="1554"/>
        <w:gridCol w:w="1594"/>
      </w:tblGrid>
      <w:tr>
        <w:trPr>
          <w:trHeight w:val="488" w:hRule="exact"/>
        </w:trPr>
        <w:tc>
          <w:tcPr>
            <w:tcW w:w="134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94" w:type="dxa"/>
            <w:tcBorders>
              <w:top w:val="single" w:sz="12" w:space="0" w:color="000000"/>
              <w:left w:val="single" w:sz="4" w:space="0" w:color="000000"/>
              <w:bottom w:val="single" w:sz="4" w:space="0" w:color="000000"/>
              <w:right w:val="single" w:sz="12" w:space="0" w:color="000000"/>
            </w:tcBorders>
          </w:tcPr>
          <w:p>
            <w:pPr>
              <w:pStyle w:val="TableParagraph"/>
              <w:spacing w:line="206" w:lineRule="exact"/>
              <w:ind w:left="252" w:right="0" w:hanging="90"/>
              <w:jc w:val="left"/>
              <w:rPr>
                <w:rFonts w:ascii="宋体" w:hAnsi="宋体" w:cs="宋体" w:eastAsia="宋体" w:hint="default"/>
                <w:sz w:val="18"/>
                <w:szCs w:val="18"/>
              </w:rPr>
            </w:pPr>
            <w:r>
              <w:rPr>
                <w:rFonts w:ascii="宋体" w:hAnsi="宋体" w:cs="宋体" w:eastAsia="宋体" w:hint="default"/>
                <w:sz w:val="18"/>
                <w:szCs w:val="18"/>
              </w:rPr>
              <w:t>归属于母公司所</w:t>
            </w:r>
          </w:p>
          <w:p>
            <w:pPr>
              <w:pStyle w:val="TableParagraph"/>
              <w:spacing w:line="235" w:lineRule="exact"/>
              <w:ind w:left="252" w:right="0"/>
              <w:jc w:val="left"/>
              <w:rPr>
                <w:rFonts w:ascii="宋体" w:hAnsi="宋体" w:cs="宋体" w:eastAsia="宋体" w:hint="default"/>
                <w:sz w:val="18"/>
                <w:szCs w:val="18"/>
              </w:rPr>
            </w:pPr>
            <w:r>
              <w:rPr>
                <w:rFonts w:ascii="宋体" w:hAnsi="宋体" w:cs="宋体" w:eastAsia="宋体" w:hint="default"/>
                <w:sz w:val="18"/>
                <w:szCs w:val="18"/>
              </w:rPr>
              <w:t>有者权益合计</w:t>
            </w:r>
          </w:p>
        </w:tc>
      </w:tr>
      <w:tr>
        <w:trPr>
          <w:trHeight w:val="370" w:hRule="exact"/>
        </w:trPr>
        <w:tc>
          <w:tcPr>
            <w:tcW w:w="134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1,441,504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215,639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223,870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2,742,549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z w:val="18"/>
              </w:rPr>
              <w:t>4,623,562</w:t>
            </w:r>
          </w:p>
        </w:tc>
      </w:tr>
      <w:tr>
        <w:trPr>
          <w:trHeight w:val="368" w:hRule="exact"/>
        </w:trPr>
        <w:tc>
          <w:tcPr>
            <w:tcW w:w="134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1,549,504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2,366,056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140,400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2,170,189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z w:val="18"/>
              </w:rPr>
              <w:t>6,226,149</w:t>
            </w:r>
          </w:p>
        </w:tc>
      </w:tr>
      <w:tr>
        <w:trPr>
          <w:trHeight w:val="370" w:hRule="exact"/>
        </w:trPr>
        <w:tc>
          <w:tcPr>
            <w:tcW w:w="134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1,495,504</w:t>
            </w:r>
          </w:p>
        </w:tc>
        <w:tc>
          <w:tcPr>
            <w:tcW w:w="1448"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578,250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2"/>
              <w:jc w:val="right"/>
              <w:rPr>
                <w:rFonts w:ascii="Times New Roman" w:hAnsi="Times New Roman" w:cs="Times New Roman" w:eastAsia="Times New Roman" w:hint="default"/>
                <w:sz w:val="18"/>
                <w:szCs w:val="18"/>
              </w:rPr>
            </w:pPr>
            <w:r>
              <w:rPr>
                <w:rFonts w:ascii="Times New Roman"/>
                <w:sz w:val="18"/>
              </w:rPr>
              <w:t>2,073,754</w:t>
            </w:r>
          </w:p>
        </w:tc>
      </w:tr>
      <w:tr>
        <w:trPr>
          <w:trHeight w:val="368" w:hRule="exact"/>
        </w:trPr>
        <w:tc>
          <w:tcPr>
            <w:tcW w:w="134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2,991,008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1,086,191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z w:val="18"/>
              </w:rPr>
              <w:t>364,270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4,334,488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z w:val="18"/>
              </w:rPr>
              <w:t>8,775,957</w:t>
            </w:r>
          </w:p>
        </w:tc>
      </w:tr>
      <w:tr>
        <w:trPr>
          <w:trHeight w:val="956" w:hRule="exact"/>
        </w:trPr>
        <w:tc>
          <w:tcPr>
            <w:tcW w:w="134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101"/>
              <w:jc w:val="center"/>
              <w:rPr>
                <w:rFonts w:ascii="宋体" w:hAnsi="宋体" w:cs="宋体" w:eastAsia="宋体" w:hint="default"/>
                <w:sz w:val="18"/>
                <w:szCs w:val="18"/>
              </w:rPr>
            </w:pPr>
            <w:r>
              <w:rPr>
                <w:rFonts w:ascii="宋体" w:hAnsi="宋体" w:cs="宋体" w:eastAsia="宋体" w:hint="default"/>
                <w:sz w:val="18"/>
                <w:szCs w:val="18"/>
              </w:rPr>
              <w:t>非公开发行股 </w:t>
            </w:r>
            <w:r>
              <w:rPr>
                <w:rFonts w:ascii="宋体" w:hAnsi="宋体" w:cs="宋体" w:eastAsia="宋体" w:hint="default"/>
                <w:spacing w:val="-5"/>
                <w:sz w:val="18"/>
                <w:szCs w:val="18"/>
              </w:rPr>
              <w:t>票；资本公积金</w:t>
            </w:r>
            <w:r>
              <w:rPr>
                <w:rFonts w:ascii="宋体" w:hAnsi="宋体" w:cs="宋体" w:eastAsia="宋体" w:hint="default"/>
                <w:sz w:val="18"/>
                <w:szCs w:val="18"/>
              </w:rPr>
              <w:t> 转增股本；</w:t>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101"/>
              <w:jc w:val="center"/>
              <w:rPr>
                <w:rFonts w:ascii="宋体" w:hAnsi="宋体" w:cs="宋体" w:eastAsia="宋体" w:hint="default"/>
                <w:sz w:val="18"/>
                <w:szCs w:val="18"/>
              </w:rPr>
            </w:pPr>
            <w:r>
              <w:rPr>
                <w:rFonts w:ascii="宋体" w:hAnsi="宋体" w:cs="宋体" w:eastAsia="宋体" w:hint="default"/>
                <w:spacing w:val="-4"/>
                <w:sz w:val="18"/>
                <w:szCs w:val="18"/>
              </w:rPr>
              <w:t>股本溢价；资本</w:t>
            </w:r>
            <w:r>
              <w:rPr>
                <w:rFonts w:ascii="宋体" w:hAnsi="宋体" w:cs="宋体" w:eastAsia="宋体" w:hint="default"/>
                <w:sz w:val="18"/>
                <w:szCs w:val="18"/>
              </w:rPr>
              <w:t> 公积金转增股 本；</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按规定计提；</w:t>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本期利润增加；</w:t>
            </w:r>
          </w:p>
          <w:p>
            <w:pPr>
              <w:pStyle w:val="TableParagraph"/>
              <w:spacing w:line="240" w:lineRule="auto"/>
              <w:ind w:left="141" w:right="140"/>
              <w:jc w:val="both"/>
              <w:rPr>
                <w:rFonts w:ascii="宋体" w:hAnsi="宋体" w:cs="宋体" w:eastAsia="宋体" w:hint="default"/>
                <w:sz w:val="18"/>
                <w:szCs w:val="18"/>
              </w:rPr>
            </w:pPr>
            <w:r>
              <w:rPr>
                <w:rFonts w:ascii="宋体" w:hAnsi="宋体" w:cs="宋体" w:eastAsia="宋体" w:hint="default"/>
                <w:sz w:val="18"/>
                <w:szCs w:val="18"/>
              </w:rPr>
              <w:t>按规定计提盈余 公积；报告期内 实施现金分红；</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前述因素。</w:t>
            </w:r>
          </w:p>
        </w:tc>
      </w:tr>
    </w:tbl>
    <w:p>
      <w:pPr>
        <w:spacing w:after="0" w:line="240" w:lineRule="auto"/>
        <w:jc w:val="left"/>
        <w:rPr>
          <w:rFonts w:ascii="宋体" w:hAnsi="宋体" w:cs="宋体" w:eastAsia="宋体" w:hint="default"/>
          <w:sz w:val="18"/>
          <w:szCs w:val="18"/>
        </w:rPr>
        <w:sectPr>
          <w:pgSz w:w="11910" w:h="16840"/>
          <w:pgMar w:header="826" w:footer="900" w:top="1100" w:bottom="1100" w:left="1420" w:right="1400"/>
        </w:sectPr>
      </w:pPr>
    </w:p>
    <w:p>
      <w:pPr>
        <w:pStyle w:val="Heading1"/>
        <w:tabs>
          <w:tab w:pos="4611" w:val="left" w:leader="none"/>
        </w:tabs>
        <w:spacing w:line="240" w:lineRule="auto"/>
        <w:ind w:left="3331" w:right="997"/>
        <w:jc w:val="left"/>
        <w:rPr>
          <w:b w:val="0"/>
          <w:bCs w:val="0"/>
        </w:rPr>
      </w:pPr>
      <w:bookmarkStart w:name="_TOC_250008" w:id="3"/>
      <w:r>
        <w:rPr>
          <w:w w:val="95"/>
        </w:rPr>
        <w:t>第三节</w:t>
        <w:tab/>
      </w:r>
      <w:r>
        <w:rPr/>
        <w:t>股本变动及股东情况</w:t>
      </w:r>
      <w:bookmarkEnd w:id="3"/>
      <w:r>
        <w:rPr>
          <w:b w:val="0"/>
          <w:bCs w:val="0"/>
        </w:rPr>
      </w:r>
    </w:p>
    <w:p>
      <w:pPr>
        <w:pStyle w:val="BodyText"/>
        <w:spacing w:line="240" w:lineRule="auto" w:before="217"/>
        <w:ind w:left="1584" w:right="997"/>
        <w:jc w:val="left"/>
      </w:pPr>
      <w:r>
        <w:rPr/>
        <w:t>一、股本变动情况</w:t>
      </w:r>
    </w:p>
    <w:p>
      <w:pPr>
        <w:tabs>
          <w:tab w:pos="8543" w:val="left" w:leader="none"/>
        </w:tabs>
        <w:spacing w:before="154"/>
        <w:ind w:left="1583" w:right="997"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、股本变动情况表</w:t>
        <w:tab/>
      </w:r>
      <w:r>
        <w:rPr>
          <w:rFonts w:ascii="宋体" w:hAnsi="宋体" w:cs="宋体" w:eastAsia="宋体" w:hint="default"/>
          <w:sz w:val="21"/>
          <w:szCs w:val="21"/>
        </w:rPr>
        <w:t>（单位：股）</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070"/>
        <w:gridCol w:w="1260"/>
        <w:gridCol w:w="720"/>
        <w:gridCol w:w="900"/>
        <w:gridCol w:w="253"/>
        <w:gridCol w:w="1187"/>
        <w:gridCol w:w="1080"/>
        <w:gridCol w:w="1260"/>
        <w:gridCol w:w="1146"/>
        <w:gridCol w:w="720"/>
      </w:tblGrid>
      <w:tr>
        <w:trPr>
          <w:trHeight w:val="486" w:hRule="exact"/>
        </w:trPr>
        <w:tc>
          <w:tcPr>
            <w:tcW w:w="2070" w:type="dxa"/>
            <w:vMerge w:val="restart"/>
            <w:tcBorders>
              <w:top w:val="single" w:sz="12" w:space="0" w:color="000000"/>
              <w:left w:val="single" w:sz="12" w:space="0" w:color="000000"/>
              <w:right w:val="single" w:sz="4" w:space="0" w:color="000000"/>
            </w:tcBorders>
          </w:tcPr>
          <w:p>
            <w:pPr/>
          </w:p>
        </w:tc>
        <w:tc>
          <w:tcPr>
            <w:tcW w:w="19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53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8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38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66"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6"/>
              <w:ind w:left="47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2070" w:type="dxa"/>
            <w:vMerge/>
            <w:tcBorders>
              <w:left w:val="single" w:sz="12"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3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公积金转股</w:t>
            </w:r>
          </w:p>
          <w:p>
            <w:pPr>
              <w:pStyle w:val="TableParagraph"/>
              <w:spacing w:line="248" w:lineRule="exact"/>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465,386,040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32.28%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54,000,000</w:t>
            </w: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395,000,280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89,575,200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538,575,480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1,003,961,520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sz w:val="18"/>
              </w:rPr>
              <w:t>33.57%</w:t>
            </w: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5,000,000</w:t>
            </w: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10,000,000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10,000,000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r>
      <w:tr>
        <w:trPr>
          <w:trHeight w:val="474"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382,497,120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26.53%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49,000,000</w:t>
            </w: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342,771,520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179,575,200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571,346,720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953,843,840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2"/>
              <w:jc w:val="right"/>
              <w:rPr>
                <w:rFonts w:ascii="Times New Roman" w:hAnsi="Times New Roman" w:cs="Times New Roman" w:eastAsia="Times New Roman" w:hint="default"/>
                <w:sz w:val="18"/>
                <w:szCs w:val="18"/>
              </w:rPr>
            </w:pPr>
            <w:r>
              <w:rPr>
                <w:rFonts w:ascii="Times New Roman"/>
                <w:sz w:val="18"/>
              </w:rPr>
              <w:t>31.89%</w:t>
            </w:r>
          </w:p>
        </w:tc>
      </w:tr>
      <w:tr>
        <w:trPr>
          <w:trHeight w:val="479"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6"/>
                <w:sz w:val="18"/>
                <w:szCs w:val="18"/>
              </w:rPr>
              <w:t>其中：境内非国有法人持</w:t>
            </w:r>
          </w:p>
          <w:p>
            <w:pPr>
              <w:pStyle w:val="TableParagraph"/>
              <w:spacing w:line="248" w:lineRule="exact"/>
              <w:ind w:left="14" w:right="0"/>
              <w:jc w:val="left"/>
              <w:rPr>
                <w:rFonts w:ascii="宋体" w:hAnsi="宋体" w:cs="宋体" w:eastAsia="宋体" w:hint="default"/>
                <w:sz w:val="18"/>
                <w:szCs w:val="18"/>
              </w:rPr>
            </w:pPr>
            <w:r>
              <w:rPr>
                <w:rFonts w:ascii="宋体" w:hAnsi="宋体" w:cs="宋体" w:eastAsia="宋体" w:hint="default"/>
                <w:sz w:val="18"/>
                <w:szCs w:val="18"/>
              </w:rPr>
              <w:t>股（注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88,725,600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49,000,000</w:t>
            </w: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49,000,000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-88,725,600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9,274,400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98,000,000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12"/>
              <w:jc w:val="right"/>
              <w:rPr>
                <w:rFonts w:ascii="Times New Roman" w:hAnsi="Times New Roman" w:cs="Times New Roman" w:eastAsia="Times New Roman" w:hint="default"/>
                <w:sz w:val="18"/>
                <w:szCs w:val="18"/>
              </w:rPr>
            </w:pPr>
            <w:r>
              <w:rPr>
                <w:rFonts w:ascii="Times New Roman"/>
                <w:w w:val="95"/>
                <w:sz w:val="18"/>
              </w:rPr>
              <w:t>3.28%</w:t>
            </w:r>
            <w:r>
              <w:rPr>
                <w:rFonts w:ascii="Times New Roman"/>
                <w:sz w:val="18"/>
              </w:rPr>
            </w:r>
          </w:p>
        </w:tc>
      </w:tr>
      <w:tr>
        <w:trPr>
          <w:trHeight w:val="474"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right="14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293,771,520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20.38%</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293,771,520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268,300,800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562,072,320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855,843,840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sz w:val="18"/>
              </w:rPr>
              <w:t>28.61%</w:t>
            </w: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right="14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82,888,920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47,228,760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-90,000,000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-42,771,240</w:t>
            </w:r>
            <w:r>
              <w:rPr>
                <w:rFonts w:ascii="Times New Roman"/>
                <w:sz w:val="18"/>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40,117,680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w w:val="95"/>
                <w:sz w:val="18"/>
              </w:rPr>
              <w:t>1.34%</w:t>
            </w:r>
            <w:r>
              <w:rPr>
                <w:rFonts w:ascii="Times New Roman"/>
                <w:sz w:val="18"/>
              </w:rPr>
            </w: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976,117,960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67.72%</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1,100,503,720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-89,575,200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1,010,928,520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1,987,046,480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sz w:val="18"/>
              </w:rPr>
              <w:t>66.43%</w:t>
            </w:r>
          </w:p>
        </w:tc>
      </w:tr>
      <w:tr>
        <w:trPr>
          <w:trHeight w:val="474"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976,117,960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67.72%</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1,100,503,720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-89,575,200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1,010,928,520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1,987,046,480</w:t>
            </w:r>
          </w:p>
        </w:tc>
        <w:tc>
          <w:tcPr>
            <w:tcW w:w="7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sz w:val="18"/>
              </w:rPr>
              <w:t>66.43%</w:t>
            </w: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86" w:hRule="exact"/>
        </w:trPr>
        <w:tc>
          <w:tcPr>
            <w:tcW w:w="207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1,441,504,000</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54,000,000</w:t>
            </w:r>
          </w:p>
        </w:tc>
        <w:tc>
          <w:tcPr>
            <w:tcW w:w="253" w:type="dxa"/>
            <w:tcBorders>
              <w:top w:val="single" w:sz="4" w:space="0" w:color="000000"/>
              <w:left w:val="single" w:sz="4" w:space="0" w:color="000000"/>
              <w:bottom w:val="single" w:sz="12" w:space="0" w:color="000000"/>
              <w:right w:val="single" w:sz="4" w:space="0" w:color="000000"/>
            </w:tcBorders>
          </w:tcPr>
          <w:p>
            <w:pPr/>
          </w:p>
        </w:tc>
        <w:tc>
          <w:tcPr>
            <w:tcW w:w="1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1,495,504,000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1,549,504,000</w:t>
            </w:r>
          </w:p>
        </w:tc>
        <w:tc>
          <w:tcPr>
            <w:tcW w:w="11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2,991,008,000</w:t>
            </w:r>
          </w:p>
        </w:tc>
        <w:tc>
          <w:tcPr>
            <w:tcW w:w="7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4"/>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42"/>
        <w:ind w:left="1508" w:right="99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：境内非国有法人持股含机构投资者配售股份；</w:t>
      </w:r>
    </w:p>
    <w:p>
      <w:pPr>
        <w:spacing w:line="297" w:lineRule="auto" w:before="69"/>
        <w:ind w:left="1500" w:right="997" w:firstLine="15"/>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：公积金转增股本变动是因为公司实施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年半年度资本公积金转增股本方案所致； 注</w:t>
      </w:r>
      <w:r>
        <w:rPr>
          <w:rFonts w:ascii="宋体" w:hAnsi="宋体" w:cs="宋体" w:eastAsia="宋体" w:hint="default"/>
          <w:spacing w:val="-43"/>
          <w:sz w:val="21"/>
          <w:szCs w:val="21"/>
        </w:rPr>
        <w:t> </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：其他变动是公司部分股东有限售条件股份限售期满可上市流通，公司历任董事、监事、</w:t>
      </w:r>
    </w:p>
    <w:p>
      <w:pPr>
        <w:spacing w:before="13"/>
        <w:ind w:left="1104" w:right="997" w:firstLine="0"/>
        <w:jc w:val="left"/>
        <w:rPr>
          <w:rFonts w:ascii="宋体" w:hAnsi="宋体" w:cs="宋体" w:eastAsia="宋体" w:hint="default"/>
          <w:sz w:val="21"/>
          <w:szCs w:val="21"/>
        </w:rPr>
      </w:pPr>
      <w:r>
        <w:rPr>
          <w:rFonts w:ascii="宋体" w:hAnsi="宋体" w:cs="宋体" w:eastAsia="宋体" w:hint="default"/>
          <w:sz w:val="21"/>
          <w:szCs w:val="21"/>
        </w:rPr>
        <w:t>高级管理人员所持股份按照国家相关法律规定锁定或解锁以及公司股东追加限售承诺所致。</w:t>
      </w:r>
    </w:p>
    <w:p>
      <w:pPr>
        <w:pStyle w:val="BodyText"/>
        <w:spacing w:line="240" w:lineRule="auto" w:before="3"/>
        <w:ind w:left="1584" w:right="997"/>
        <w:jc w:val="left"/>
      </w:pPr>
      <w:r>
        <w:rPr>
          <w:rFonts w:ascii="Times New Roman" w:hAnsi="Times New Roman" w:cs="Times New Roman" w:eastAsia="Times New Roman" w:hint="default"/>
        </w:rPr>
        <w:t>2</w:t>
      </w:r>
      <w:r>
        <w:rPr/>
        <w:t>、股票发行与上市情况：</w:t>
      </w:r>
    </w:p>
    <w:p>
      <w:pPr>
        <w:pStyle w:val="BodyText"/>
        <w:spacing w:line="240" w:lineRule="auto" w:before="135"/>
        <w:ind w:left="1583" w:right="997"/>
        <w:jc w:val="left"/>
      </w:pPr>
      <w:r>
        <w:rPr/>
        <w:t>（</w:t>
      </w:r>
      <w:r>
        <w:rPr>
          <w:rFonts w:ascii="Times New Roman" w:hAnsi="Times New Roman" w:cs="Times New Roman" w:eastAsia="Times New Roman" w:hint="default"/>
        </w:rPr>
        <w:t>1</w:t>
      </w:r>
      <w:r>
        <w:rPr/>
        <w:t>）公司前三年历次股票发行及上市情况</w:t>
      </w:r>
    </w:p>
    <w:p>
      <w:pPr>
        <w:pStyle w:val="BodyText"/>
        <w:spacing w:line="338" w:lineRule="auto" w:before="135"/>
        <w:ind w:left="1103" w:right="1111" w:firstLine="480"/>
        <w:jc w:val="both"/>
      </w:pPr>
      <w:r>
        <w:rPr>
          <w:spacing w:val="-3"/>
        </w:rPr>
        <w:t>①经中国证监会证监发行字〔</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21</w:t>
      </w:r>
      <w:r>
        <w:rPr>
          <w:rFonts w:ascii="Times New Roman" w:hAnsi="Times New Roman" w:cs="Times New Roman" w:eastAsia="Times New Roman" w:hint="default"/>
          <w:spacing w:val="1"/>
        </w:rPr>
        <w:t> </w:t>
      </w:r>
      <w:r>
        <w:rPr>
          <w:spacing w:val="-4"/>
        </w:rPr>
        <w:t>号文核准，公司于</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日以 </w:t>
      </w:r>
      <w:r>
        <w:rPr>
          <w:spacing w:val="4"/>
        </w:rPr>
        <w:t>非公开发行股票的方式向证券投资基金等特定投资者发行人民币普通股（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24"/>
        </w:rPr>
        <w:t> </w:t>
      </w:r>
      <w:r>
        <w:rPr>
          <w:spacing w:val="4"/>
        </w:rPr>
        <w:t>股）</w:t>
      </w:r>
      <w:r>
        <w:rPr>
          <w:spacing w:val="-118"/>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4"/>
        </w:rPr>
        <w:t> </w:t>
      </w:r>
      <w:r>
        <w:rPr/>
        <w:t>万股。经深圳证券交易所同意，该部分股份于</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日上市。发行</w:t>
      </w:r>
    </w:p>
    <w:p>
      <w:pPr>
        <w:pStyle w:val="BodyText"/>
        <w:spacing w:line="240" w:lineRule="auto" w:before="27"/>
        <w:ind w:left="1104" w:right="997"/>
        <w:jc w:val="left"/>
      </w:pPr>
      <w:r>
        <w:rPr/>
        <w:t>后，公司股份总数为</w:t>
      </w:r>
      <w:r>
        <w:rPr>
          <w:spacing w:val="-60"/>
        </w:rPr>
        <w:t> </w:t>
      </w:r>
      <w:r>
        <w:rPr>
          <w:rFonts w:ascii="Times New Roman" w:hAnsi="Times New Roman" w:cs="Times New Roman" w:eastAsia="Times New Roman" w:hint="default"/>
        </w:rPr>
        <w:t>360,376,000 </w:t>
      </w:r>
      <w:r>
        <w:rPr/>
        <w:t>股。</w:t>
      </w:r>
    </w:p>
    <w:p>
      <w:pPr>
        <w:spacing w:after="0" w:line="240" w:lineRule="auto"/>
        <w:jc w:val="left"/>
        <w:sectPr>
          <w:pgSz w:w="11910" w:h="16840"/>
          <w:pgMar w:header="826" w:footer="900" w:top="1100" w:bottom="1100" w:left="540" w:right="520"/>
        </w:sectPr>
      </w:pPr>
    </w:p>
    <w:p>
      <w:pPr>
        <w:pStyle w:val="BodyText"/>
        <w:spacing w:line="338" w:lineRule="auto" w:before="106"/>
        <w:ind w:left="203" w:right="217" w:firstLine="480"/>
        <w:jc w:val="both"/>
      </w:pPr>
      <w:r>
        <w:rPr>
          <w:spacing w:val="-3"/>
        </w:rPr>
        <w:t>②经中国证监会证监发行字〔</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647</w:t>
      </w:r>
      <w:r>
        <w:rPr>
          <w:rFonts w:ascii="Times New Roman" w:hAnsi="Times New Roman" w:cs="Times New Roman" w:eastAsia="Times New Roman" w:hint="default"/>
          <w:spacing w:val="2"/>
        </w:rPr>
        <w:t> </w:t>
      </w:r>
      <w:r>
        <w:rPr>
          <w:spacing w:val="-4"/>
        </w:rPr>
        <w:t>号文核准，公司于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月以非公 开发行股票的方式向特定投资者发行人民币普通股（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5,400</w:t>
      </w:r>
      <w:r>
        <w:rPr>
          <w:rFonts w:ascii="Times New Roman" w:hAnsi="Times New Roman" w:cs="Times New Roman" w:eastAsia="Times New Roman" w:hint="default"/>
          <w:spacing w:val="46"/>
        </w:rPr>
        <w:t> </w:t>
      </w:r>
      <w:r>
        <w:rPr/>
        <w:t>万股。该部分股 份于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日上市。发行后，公司股份总数为</w:t>
      </w:r>
      <w:r>
        <w:rPr>
          <w:spacing w:val="-60"/>
        </w:rPr>
        <w:t> </w:t>
      </w:r>
      <w:r>
        <w:rPr>
          <w:rFonts w:ascii="Times New Roman" w:hAnsi="Times New Roman" w:cs="Times New Roman" w:eastAsia="Times New Roman" w:hint="default"/>
        </w:rPr>
        <w:t>1,495,504,000 </w:t>
      </w:r>
      <w:r>
        <w:rPr/>
        <w:t>股。</w:t>
      </w:r>
    </w:p>
    <w:p>
      <w:pPr>
        <w:pStyle w:val="BodyText"/>
        <w:spacing w:line="240" w:lineRule="auto" w:before="27"/>
        <w:ind w:left="683" w:right="0"/>
        <w:jc w:val="left"/>
      </w:pPr>
      <w:r>
        <w:rPr/>
        <w:t>（</w:t>
      </w:r>
      <w:r>
        <w:rPr>
          <w:rFonts w:ascii="Times New Roman" w:hAnsi="Times New Roman" w:cs="Times New Roman" w:eastAsia="Times New Roman" w:hint="default"/>
        </w:rPr>
        <w:t>2</w:t>
      </w:r>
      <w:r>
        <w:rPr/>
        <w:t>）报告期内公司实施资本公积金转增股本情况</w:t>
      </w:r>
    </w:p>
    <w:p>
      <w:pPr>
        <w:pStyle w:val="BodyText"/>
        <w:spacing w:line="240" w:lineRule="auto" w:before="135"/>
        <w:ind w:left="683" w:right="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5"/>
        </w:rPr>
        <w:t>日，公司召开</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年第一次临时股东大会，审议通过了《</w:t>
      </w:r>
      <w:r>
        <w:rPr>
          <w:rFonts w:ascii="Times New Roman" w:hAnsi="Times New Roman" w:cs="Times New Roman" w:eastAsia="Times New Roman" w:hint="default"/>
          <w:spacing w:val="-3"/>
        </w:rPr>
        <w:t>2008</w:t>
      </w:r>
    </w:p>
    <w:p>
      <w:pPr>
        <w:pStyle w:val="BodyText"/>
        <w:spacing w:line="240" w:lineRule="auto" w:before="135"/>
        <w:ind w:left="203" w:right="0"/>
        <w:jc w:val="left"/>
        <w:rPr>
          <w:rFonts w:ascii="Times New Roman" w:hAnsi="Times New Roman" w:cs="Times New Roman" w:eastAsia="Times New Roman" w:hint="default"/>
        </w:rPr>
      </w:pPr>
      <w:r>
        <w:rPr/>
        <w:t>年半年度利润分配预案</w:t>
      </w:r>
      <w:r>
        <w:rPr>
          <w:spacing w:val="-120"/>
        </w:rPr>
        <w:t>》</w:t>
      </w:r>
      <w:r>
        <w:rPr>
          <w:spacing w:val="-70"/>
        </w:rPr>
        <w:t>。</w:t>
      </w:r>
      <w:r>
        <w:rPr/>
        <w:t>根据决议</w:t>
      </w:r>
      <w:r>
        <w:rPr>
          <w:spacing w:val="-70"/>
        </w:rPr>
        <w:t>，</w:t>
      </w:r>
      <w:r>
        <w:rPr/>
        <w:t>公司以</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日总股本</w:t>
      </w:r>
      <w:r>
        <w:rPr>
          <w:spacing w:val="-60"/>
        </w:rPr>
        <w:t> </w:t>
      </w:r>
      <w:r>
        <w:rPr>
          <w:rFonts w:ascii="Times New Roman" w:hAnsi="Times New Roman" w:cs="Times New Roman" w:eastAsia="Times New Roman" w:hint="default"/>
        </w:rPr>
        <w:t>1,495,504,000</w:t>
      </w:r>
    </w:p>
    <w:p>
      <w:pPr>
        <w:pStyle w:val="BodyText"/>
        <w:spacing w:line="240" w:lineRule="auto" w:before="135"/>
        <w:ind w:left="203" w:right="0"/>
        <w:jc w:val="left"/>
      </w:pPr>
      <w:r>
        <w:rPr/>
        <w:t>股为基数，以资本公积金转增股本方式向全体股东每</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股，转增后公司</w:t>
      </w:r>
    </w:p>
    <w:p>
      <w:pPr>
        <w:pStyle w:val="BodyText"/>
        <w:spacing w:line="240" w:lineRule="auto" w:before="135"/>
        <w:ind w:left="203" w:right="0"/>
        <w:jc w:val="left"/>
      </w:pPr>
      <w:r>
        <w:rPr/>
        <w:t>总股本由</w:t>
      </w:r>
      <w:r>
        <w:rPr>
          <w:spacing w:val="-60"/>
        </w:rPr>
        <w:t> </w:t>
      </w:r>
      <w:r>
        <w:rPr>
          <w:rFonts w:ascii="Times New Roman" w:hAnsi="Times New Roman" w:cs="Times New Roman" w:eastAsia="Times New Roman" w:hint="default"/>
        </w:rPr>
        <w:t>1,495,504,000 </w:t>
      </w:r>
      <w:r>
        <w:rPr/>
        <w:t>股增加至</w:t>
      </w:r>
      <w:r>
        <w:rPr>
          <w:spacing w:val="-60"/>
        </w:rPr>
        <w:t> </w:t>
      </w:r>
      <w:r>
        <w:rPr>
          <w:rFonts w:ascii="Times New Roman" w:hAnsi="Times New Roman" w:cs="Times New Roman" w:eastAsia="Times New Roman" w:hint="default"/>
        </w:rPr>
        <w:t>2,991,008,000 </w:t>
      </w:r>
      <w:r>
        <w:rPr/>
        <w:t>股。</w:t>
      </w:r>
    </w:p>
    <w:p>
      <w:pPr>
        <w:pStyle w:val="BodyText"/>
        <w:spacing w:line="338" w:lineRule="auto" w:before="135"/>
        <w:ind w:left="683" w:right="215"/>
        <w:jc w:val="left"/>
      </w:pPr>
      <w:r>
        <w:rPr/>
        <w:t>（</w:t>
      </w:r>
      <w:r>
        <w:rPr>
          <w:rFonts w:ascii="Times New Roman" w:hAnsi="Times New Roman" w:cs="Times New Roman" w:eastAsia="Times New Roman" w:hint="default"/>
        </w:rPr>
        <w:t>3</w:t>
      </w:r>
      <w:r>
        <w:rPr/>
        <w:t>）报告期内限售股份上市流通情况 </w:t>
      </w:r>
      <w:r>
        <w:rPr>
          <w:spacing w:val="-1"/>
        </w:rPr>
        <w:t>根据公司《股权分置改革方案》及原非流通股股东做出的相关承诺，公司原非</w:t>
      </w:r>
    </w:p>
    <w:p>
      <w:pPr>
        <w:pStyle w:val="BodyText"/>
        <w:spacing w:line="240" w:lineRule="auto" w:before="55"/>
        <w:ind w:left="203" w:right="0"/>
        <w:jc w:val="left"/>
      </w:pPr>
      <w:r>
        <w:rPr/>
        <w:t>流通股股东江苏苏宁电器集团有限公司履行了相关承诺，其持有的</w:t>
      </w:r>
      <w:r>
        <w:rPr>
          <w:spacing w:val="-70"/>
        </w:rPr>
        <w:t> </w:t>
      </w:r>
      <w:r>
        <w:rPr>
          <w:rFonts w:ascii="Times New Roman" w:hAnsi="Times New Roman" w:cs="Times New Roman" w:eastAsia="Times New Roman" w:hint="default"/>
        </w:rPr>
        <w:t>88,725,600</w:t>
      </w:r>
      <w:r>
        <w:rPr>
          <w:rFonts w:ascii="Times New Roman" w:hAnsi="Times New Roman" w:cs="Times New Roman" w:eastAsia="Times New Roman" w:hint="default"/>
          <w:spacing w:val="-10"/>
        </w:rPr>
        <w:t> </w:t>
      </w:r>
      <w:r>
        <w:rPr/>
        <w:t>股限</w:t>
      </w:r>
    </w:p>
    <w:p>
      <w:pPr>
        <w:pStyle w:val="BodyText"/>
        <w:spacing w:line="240" w:lineRule="auto" w:before="135"/>
        <w:ind w:left="203" w:right="0"/>
        <w:jc w:val="left"/>
      </w:pPr>
      <w:r>
        <w:rPr/>
        <w:t>售股份于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日上市流通。</w:t>
      </w:r>
    </w:p>
    <w:p>
      <w:pPr>
        <w:pStyle w:val="BodyText"/>
        <w:spacing w:line="240" w:lineRule="auto" w:before="135"/>
        <w:ind w:left="683" w:right="0"/>
        <w:jc w:val="left"/>
      </w:pPr>
      <w:r>
        <w:rPr/>
        <w:t>（</w:t>
      </w:r>
      <w:r>
        <w:rPr>
          <w:rFonts w:ascii="Times New Roman" w:hAnsi="Times New Roman" w:cs="Times New Roman" w:eastAsia="Times New Roman" w:hint="default"/>
        </w:rPr>
        <w:t>4</w:t>
      </w:r>
      <w:r>
        <w:rPr/>
        <w:t>）报告期内控股股东追加股份限售承诺情况</w:t>
      </w:r>
    </w:p>
    <w:p>
      <w:pPr>
        <w:pStyle w:val="BodyText"/>
        <w:spacing w:line="345" w:lineRule="auto" w:before="135"/>
        <w:ind w:left="203" w:right="216"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8"/>
        </w:rPr>
        <w:t>日，控股股东张近东先生出具《承诺书》，基于对苏宁电器未来</w:t>
      </w:r>
      <w:r>
        <w:rPr/>
        <w:t> </w:t>
      </w:r>
      <w:r>
        <w:rPr>
          <w:spacing w:val="-1"/>
        </w:rPr>
        <w:t>发展的信心，为促进公司长期稳定发展，张近东先生在原股权分置改革承诺的基础</w:t>
      </w:r>
      <w:r>
        <w:rPr>
          <w:spacing w:val="-104"/>
        </w:rPr>
        <w:t> </w:t>
      </w:r>
      <w:r>
        <w:rPr>
          <w:spacing w:val="-104"/>
        </w:rPr>
      </w:r>
      <w:r>
        <w:rPr/>
        <w:t>上，追加股份限售承诺如下：于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日前，张近东先生持有的所有苏宁 电器股份不通过证券交易系统（含大宗交易系统）挂牌交易的方式减持。</w:t>
      </w:r>
    </w:p>
    <w:p>
      <w:pPr>
        <w:spacing w:line="240" w:lineRule="auto" w:before="4"/>
        <w:rPr>
          <w:rFonts w:ascii="宋体" w:hAnsi="宋体" w:cs="宋体" w:eastAsia="宋体" w:hint="default"/>
          <w:sz w:val="35"/>
          <w:szCs w:val="35"/>
        </w:rPr>
      </w:pPr>
    </w:p>
    <w:p>
      <w:pPr>
        <w:pStyle w:val="BodyText"/>
        <w:spacing w:line="240" w:lineRule="auto"/>
        <w:ind w:left="683" w:right="0"/>
        <w:jc w:val="left"/>
      </w:pPr>
      <w:r>
        <w:rPr/>
        <w:t>二、股东情况介绍：</w:t>
      </w:r>
    </w:p>
    <w:p>
      <w:pPr>
        <w:pStyle w:val="BodyText"/>
        <w:spacing w:line="240" w:lineRule="auto" w:before="154"/>
        <w:ind w:left="683" w:right="0"/>
        <w:jc w:val="left"/>
      </w:pPr>
      <w:r>
        <w:rPr>
          <w:rFonts w:ascii="Times New Roman" w:hAnsi="Times New Roman" w:cs="Times New Roman" w:eastAsia="Times New Roman" w:hint="default"/>
        </w:rPr>
        <w:t>1</w:t>
      </w:r>
      <w:r>
        <w:rPr/>
        <w:t>、股东情况</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627"/>
        <w:gridCol w:w="1588"/>
        <w:gridCol w:w="823"/>
        <w:gridCol w:w="1130"/>
        <w:gridCol w:w="1648"/>
        <w:gridCol w:w="949"/>
      </w:tblGrid>
      <w:tr>
        <w:trPr>
          <w:trHeight w:val="474" w:hRule="exact"/>
        </w:trPr>
        <w:tc>
          <w:tcPr>
            <w:tcW w:w="26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92" w:right="0"/>
              <w:jc w:val="left"/>
              <w:rPr>
                <w:rFonts w:ascii="宋体" w:hAnsi="宋体" w:cs="宋体" w:eastAsia="宋体" w:hint="default"/>
                <w:sz w:val="18"/>
                <w:szCs w:val="18"/>
              </w:rPr>
            </w:pPr>
            <w:r>
              <w:rPr>
                <w:rFonts w:ascii="宋体" w:hAnsi="宋体" w:cs="宋体" w:eastAsia="宋体" w:hint="default"/>
                <w:b/>
                <w:bCs/>
                <w:sz w:val="18"/>
                <w:szCs w:val="18"/>
              </w:rPr>
              <w:t>股东总数</w:t>
            </w:r>
            <w:r>
              <w:rPr>
                <w:rFonts w:ascii="宋体" w:hAnsi="宋体" w:cs="宋体" w:eastAsia="宋体" w:hint="default"/>
                <w:sz w:val="18"/>
                <w:szCs w:val="18"/>
              </w:rPr>
            </w:r>
          </w:p>
        </w:tc>
        <w:tc>
          <w:tcPr>
            <w:tcW w:w="6137" w:type="dxa"/>
            <w:gridSpan w:val="5"/>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0"/>
              <w:ind w:left="10" w:right="0"/>
              <w:jc w:val="center"/>
              <w:rPr>
                <w:rFonts w:ascii="Times New Roman" w:hAnsi="Times New Roman" w:cs="Times New Roman" w:eastAsia="Times New Roman" w:hint="default"/>
                <w:sz w:val="18"/>
                <w:szCs w:val="18"/>
              </w:rPr>
            </w:pPr>
            <w:r>
              <w:rPr>
                <w:rFonts w:ascii="Times New Roman"/>
                <w:sz w:val="18"/>
              </w:rPr>
              <w:t>53,183</w:t>
            </w:r>
          </w:p>
        </w:tc>
      </w:tr>
      <w:tr>
        <w:trPr>
          <w:trHeight w:val="485" w:hRule="exact"/>
        </w:trPr>
        <w:tc>
          <w:tcPr>
            <w:tcW w:w="8765" w:type="dxa"/>
            <w:gridSpan w:val="6"/>
            <w:tcBorders>
              <w:top w:val="single" w:sz="4" w:space="0" w:color="000000"/>
              <w:left w:val="single" w:sz="12" w:space="0" w:color="000000"/>
              <w:bottom w:val="single" w:sz="4" w:space="0" w:color="000000"/>
              <w:right w:val="single" w:sz="12" w:space="0" w:color="000000"/>
            </w:tcBorders>
          </w:tcPr>
          <w:p>
            <w:pPr>
              <w:pStyle w:val="TableParagraph"/>
              <w:tabs>
                <w:tab w:pos="7655" w:val="left" w:leader="none"/>
              </w:tabs>
              <w:spacing w:line="240" w:lineRule="auto" w:before="89"/>
              <w:ind w:left="92" w:right="0"/>
              <w:jc w:val="left"/>
              <w:rPr>
                <w:rFonts w:ascii="宋体" w:hAnsi="宋体" w:cs="宋体" w:eastAsia="宋体" w:hint="default"/>
                <w:sz w:val="18"/>
                <w:szCs w:val="18"/>
              </w:rPr>
            </w:pPr>
            <w:r>
              <w:rPr>
                <w:rFonts w:ascii="宋体" w:hAnsi="宋体" w:cs="宋体" w:eastAsia="宋体" w:hint="default"/>
                <w:b/>
                <w:bCs/>
                <w:w w:val="95"/>
                <w:sz w:val="18"/>
                <w:szCs w:val="18"/>
              </w:rPr>
              <w:t>前</w:t>
            </w:r>
            <w:r>
              <w:rPr>
                <w:rFonts w:ascii="Times New Roman" w:hAnsi="Times New Roman" w:cs="Times New Roman" w:eastAsia="Times New Roman" w:hint="default"/>
                <w:b/>
                <w:bCs/>
                <w:w w:val="95"/>
                <w:sz w:val="18"/>
                <w:szCs w:val="18"/>
              </w:rPr>
              <w:t>10</w:t>
            </w:r>
            <w:r>
              <w:rPr>
                <w:rFonts w:ascii="宋体" w:hAnsi="宋体" w:cs="宋体" w:eastAsia="宋体" w:hint="default"/>
                <w:b/>
                <w:bCs/>
                <w:w w:val="95"/>
                <w:sz w:val="18"/>
                <w:szCs w:val="18"/>
              </w:rPr>
              <w:t>名股东持股情况</w:t>
              <w:tab/>
            </w:r>
            <w:r>
              <w:rPr>
                <w:rFonts w:ascii="宋体" w:hAnsi="宋体" w:cs="宋体" w:eastAsia="宋体" w:hint="default"/>
                <w:b/>
                <w:bCs/>
                <w:spacing w:val="-1"/>
                <w:sz w:val="18"/>
                <w:szCs w:val="18"/>
              </w:rPr>
              <w:t>（单位：股）</w:t>
            </w:r>
            <w:r>
              <w:rPr>
                <w:rFonts w:ascii="宋体" w:hAnsi="宋体" w:cs="宋体" w:eastAsia="宋体" w:hint="default"/>
                <w:spacing w:val="-1"/>
                <w:sz w:val="18"/>
                <w:szCs w:val="18"/>
              </w:rPr>
            </w:r>
          </w:p>
        </w:tc>
      </w:tr>
      <w:tr>
        <w:trPr>
          <w:trHeight w:val="740"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6" w:right="1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1"/>
              <w:ind w:left="200" w:right="0"/>
              <w:jc w:val="left"/>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5" w:lineRule="exact"/>
              <w:ind w:left="29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8" w:right="187" w:hanging="90"/>
              <w:jc w:val="left"/>
              <w:rPr>
                <w:rFonts w:ascii="宋体" w:hAnsi="宋体" w:cs="宋体" w:eastAsia="宋体" w:hint="default"/>
                <w:sz w:val="18"/>
                <w:szCs w:val="18"/>
              </w:rPr>
            </w:pPr>
            <w:r>
              <w:rPr>
                <w:rFonts w:ascii="宋体" w:hAnsi="宋体" w:cs="宋体" w:eastAsia="宋体" w:hint="default"/>
                <w:sz w:val="18"/>
                <w:szCs w:val="18"/>
              </w:rPr>
              <w:t>持有限售条件股 份数量（注）</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34" w:lineRule="exact" w:before="7"/>
              <w:ind w:left="109" w:right="97"/>
              <w:jc w:val="center"/>
              <w:rPr>
                <w:rFonts w:ascii="宋体" w:hAnsi="宋体" w:cs="宋体" w:eastAsia="宋体" w:hint="default"/>
                <w:sz w:val="18"/>
                <w:szCs w:val="18"/>
              </w:rPr>
            </w:pPr>
            <w:r>
              <w:rPr>
                <w:rFonts w:ascii="宋体" w:hAnsi="宋体" w:cs="宋体" w:eastAsia="宋体" w:hint="default"/>
                <w:sz w:val="18"/>
                <w:szCs w:val="18"/>
              </w:rPr>
              <w:t>质押或冻 结的股份 数量</w:t>
            </w:r>
          </w:p>
        </w:tc>
      </w:tr>
      <w:tr>
        <w:trPr>
          <w:trHeight w:val="464"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0"/>
              <w:ind w:left="93"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1" w:right="0"/>
              <w:jc w:val="center"/>
              <w:rPr>
                <w:rFonts w:ascii="Times New Roman" w:hAnsi="Times New Roman" w:cs="Times New Roman" w:eastAsia="Times New Roman" w:hint="default"/>
                <w:sz w:val="18"/>
                <w:szCs w:val="18"/>
              </w:rPr>
            </w:pPr>
            <w:r>
              <w:rPr>
                <w:rFonts w:ascii="Times New Roman"/>
                <w:sz w:val="18"/>
              </w:rPr>
              <w:t>28.61%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855,843,840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855,843,840(</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8"/>
              <w:ind w:left="10" w:right="0"/>
              <w:jc w:val="center"/>
              <w:rPr>
                <w:rFonts w:ascii="Times New Roman" w:hAnsi="Times New Roman" w:cs="Times New Roman" w:eastAsia="Times New Roman" w:hint="default"/>
                <w:sz w:val="18"/>
                <w:szCs w:val="18"/>
              </w:rPr>
            </w:pPr>
            <w:r>
              <w:rPr>
                <w:rFonts w:ascii="Times New Roman"/>
                <w:sz w:val="18"/>
              </w:rPr>
              <w:t>0</w:t>
            </w:r>
          </w:p>
        </w:tc>
      </w:tr>
      <w:tr>
        <w:trPr>
          <w:trHeight w:val="456"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江苏苏宁电器集团有限公司</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1" w:right="0"/>
              <w:jc w:val="center"/>
              <w:rPr>
                <w:rFonts w:ascii="Times New Roman" w:hAnsi="Times New Roman" w:cs="Times New Roman" w:eastAsia="Times New Roman" w:hint="default"/>
                <w:sz w:val="18"/>
                <w:szCs w:val="18"/>
              </w:rPr>
            </w:pPr>
            <w:r>
              <w:rPr>
                <w:rFonts w:ascii="Times New Roman"/>
                <w:sz w:val="18"/>
              </w:rPr>
              <w:t>14.00%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418,708,244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0</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5"/>
              <w:ind w:left="10" w:right="0"/>
              <w:jc w:val="center"/>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6"/>
              <w:ind w:left="93"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1" w:right="0"/>
              <w:jc w:val="center"/>
              <w:rPr>
                <w:rFonts w:ascii="Times New Roman" w:hAnsi="Times New Roman" w:cs="Times New Roman" w:eastAsia="Times New Roman" w:hint="default"/>
                <w:sz w:val="18"/>
                <w:szCs w:val="18"/>
              </w:rPr>
            </w:pPr>
            <w:r>
              <w:rPr>
                <w:rFonts w:ascii="Times New Roman"/>
                <w:sz w:val="18"/>
              </w:rPr>
              <w:t>3.82%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114,280,760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left="9" w:right="0"/>
              <w:jc w:val="center"/>
              <w:rPr>
                <w:rFonts w:ascii="Times New Roman" w:hAnsi="Times New Roman" w:cs="Times New Roman" w:eastAsia="Times New Roman" w:hint="default"/>
                <w:sz w:val="18"/>
                <w:szCs w:val="18"/>
              </w:rPr>
            </w:pPr>
            <w:r>
              <w:rPr>
                <w:rFonts w:ascii="Times New Roman"/>
                <w:sz w:val="18"/>
              </w:rPr>
              <w:t>0</w:t>
            </w:r>
          </w:p>
        </w:tc>
      </w:tr>
      <w:tr>
        <w:trPr>
          <w:trHeight w:val="455"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广发聚丰股票</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41" w:right="0"/>
              <w:jc w:val="center"/>
              <w:rPr>
                <w:rFonts w:ascii="Times New Roman" w:hAnsi="Times New Roman" w:cs="Times New Roman" w:eastAsia="Times New Roman" w:hint="default"/>
                <w:sz w:val="18"/>
                <w:szCs w:val="18"/>
              </w:rPr>
            </w:pPr>
            <w:r>
              <w:rPr>
                <w:rFonts w:ascii="Times New Roman"/>
                <w:sz w:val="18"/>
              </w:rPr>
              <w:t>1.95%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58,284,550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8,000,000(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4"/>
              <w:ind w:left="9"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74"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41" w:right="0"/>
              <w:jc w:val="center"/>
              <w:rPr>
                <w:rFonts w:ascii="Times New Roman" w:hAnsi="Times New Roman" w:cs="Times New Roman" w:eastAsia="Times New Roman" w:hint="default"/>
                <w:sz w:val="18"/>
                <w:szCs w:val="18"/>
              </w:rPr>
            </w:pPr>
            <w:r>
              <w:rPr>
                <w:rFonts w:ascii="Times New Roman"/>
                <w:sz w:val="18"/>
              </w:rPr>
              <w:t>1.85%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55,387,622</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0</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left="9"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8"/>
              <w:ind w:left="93"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 w:right="0"/>
              <w:jc w:val="center"/>
              <w:rPr>
                <w:rFonts w:ascii="Times New Roman" w:hAnsi="Times New Roman" w:cs="Times New Roman" w:eastAsia="Times New Roman" w:hint="default"/>
                <w:sz w:val="18"/>
                <w:szCs w:val="18"/>
              </w:rPr>
            </w:pPr>
            <w:r>
              <w:rPr>
                <w:rFonts w:ascii="Times New Roman"/>
                <w:sz w:val="18"/>
              </w:rPr>
              <w:t>1.79%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53,490,240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40,117,680(</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left="10" w:right="0"/>
              <w:jc w:val="center"/>
              <w:rPr>
                <w:rFonts w:ascii="Times New Roman" w:hAnsi="Times New Roman" w:cs="Times New Roman" w:eastAsia="Times New Roman" w:hint="default"/>
                <w:sz w:val="18"/>
                <w:szCs w:val="18"/>
              </w:rPr>
            </w:pPr>
            <w:r>
              <w:rPr>
                <w:rFonts w:ascii="Times New Roman"/>
                <w:sz w:val="18"/>
              </w:rPr>
              <w:t>0</w:t>
            </w:r>
          </w:p>
        </w:tc>
      </w:tr>
      <w:tr>
        <w:trPr>
          <w:trHeight w:val="493" w:hRule="exact"/>
        </w:trPr>
        <w:tc>
          <w:tcPr>
            <w:tcW w:w="2627" w:type="dxa"/>
            <w:tcBorders>
              <w:top w:val="single" w:sz="4" w:space="0" w:color="000000"/>
              <w:left w:val="single" w:sz="12" w:space="0" w:color="000000"/>
              <w:bottom w:val="single" w:sz="12" w:space="0" w:color="000000"/>
              <w:right w:val="single" w:sz="4"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长股票型证券投资基金</w:t>
            </w:r>
          </w:p>
        </w:tc>
        <w:tc>
          <w:tcPr>
            <w:tcW w:w="1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141" w:right="0"/>
              <w:jc w:val="center"/>
              <w:rPr>
                <w:rFonts w:ascii="Times New Roman" w:hAnsi="Times New Roman" w:cs="Times New Roman" w:eastAsia="Times New Roman" w:hint="default"/>
                <w:sz w:val="18"/>
                <w:szCs w:val="18"/>
              </w:rPr>
            </w:pPr>
            <w:r>
              <w:rPr>
                <w:rFonts w:ascii="Times New Roman"/>
                <w:sz w:val="18"/>
              </w:rPr>
              <w:t>1.57%</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47,027,869</w:t>
            </w:r>
          </w:p>
        </w:tc>
        <w:tc>
          <w:tcPr>
            <w:tcW w:w="16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9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8"/>
              <w:ind w:left="9" w:right="0"/>
              <w:jc w:val="center"/>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40" w:lineRule="auto"/>
        <w:jc w:val="center"/>
        <w:rPr>
          <w:rFonts w:ascii="宋体" w:hAnsi="宋体" w:cs="宋体" w:eastAsia="宋体" w:hint="default"/>
          <w:sz w:val="18"/>
          <w:szCs w:val="18"/>
        </w:rPr>
        <w:sectPr>
          <w:pgSz w:w="11910" w:h="16840"/>
          <w:pgMar w:header="826" w:footer="900" w:top="1100" w:bottom="1100" w:left="1440" w:right="1420"/>
        </w:sectPr>
      </w:pPr>
    </w:p>
    <w:p>
      <w:pPr>
        <w:spacing w:line="240" w:lineRule="auto" w:before="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627"/>
        <w:gridCol w:w="295"/>
        <w:gridCol w:w="1292"/>
        <w:gridCol w:w="349"/>
        <w:gridCol w:w="474"/>
        <w:gridCol w:w="804"/>
        <w:gridCol w:w="326"/>
        <w:gridCol w:w="658"/>
        <w:gridCol w:w="990"/>
        <w:gridCol w:w="949"/>
      </w:tblGrid>
      <w:tr>
        <w:trPr>
          <w:trHeight w:val="473" w:hRule="exact"/>
        </w:trPr>
        <w:tc>
          <w:tcPr>
            <w:tcW w:w="2627" w:type="dxa"/>
            <w:tcBorders>
              <w:top w:val="single" w:sz="12" w:space="0" w:color="000000"/>
              <w:left w:val="single" w:sz="12" w:space="0" w:color="000000"/>
              <w:bottom w:val="single" w:sz="4" w:space="0" w:color="000000"/>
              <w:right w:val="single" w:sz="4"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交通银行－华夏蓝筹核心混合</w:t>
            </w:r>
          </w:p>
          <w:p>
            <w:pPr>
              <w:pStyle w:val="TableParagraph"/>
              <w:spacing w:line="248" w:lineRule="exact"/>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型证券投资基金</w:t>
            </w:r>
            <w:r>
              <w:rPr>
                <w:rFonts w:ascii="Times New Roman" w:hAnsi="Times New Roman" w:cs="Times New Roman" w:eastAsia="Times New Roman" w:hint="default"/>
                <w:sz w:val="18"/>
                <w:szCs w:val="18"/>
              </w:rPr>
              <w:t>(LOF)</w:t>
            </w:r>
          </w:p>
        </w:tc>
        <w:tc>
          <w:tcPr>
            <w:tcW w:w="158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left="244" w:right="0"/>
              <w:jc w:val="left"/>
              <w:rPr>
                <w:rFonts w:ascii="Times New Roman" w:hAnsi="Times New Roman" w:cs="Times New Roman" w:eastAsia="Times New Roman" w:hint="default"/>
                <w:sz w:val="18"/>
                <w:szCs w:val="18"/>
              </w:rPr>
            </w:pPr>
            <w:r>
              <w:rPr>
                <w:rFonts w:ascii="Times New Roman"/>
                <w:sz w:val="18"/>
              </w:rPr>
              <w:t>1.47%</w:t>
            </w:r>
          </w:p>
        </w:tc>
        <w:tc>
          <w:tcPr>
            <w:tcW w:w="11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left="207" w:right="0"/>
              <w:jc w:val="left"/>
              <w:rPr>
                <w:rFonts w:ascii="Times New Roman" w:hAnsi="Times New Roman" w:cs="Times New Roman" w:eastAsia="Times New Roman" w:hint="default"/>
                <w:sz w:val="18"/>
                <w:szCs w:val="18"/>
              </w:rPr>
            </w:pPr>
            <w:r>
              <w:rPr>
                <w:rFonts w:ascii="Times New Roman"/>
                <w:sz w:val="18"/>
              </w:rPr>
              <w:t>43,829,072</w:t>
            </w:r>
          </w:p>
        </w:tc>
        <w:tc>
          <w:tcPr>
            <w:tcW w:w="164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5,200,000(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right="277"/>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型开放式证券投资基金</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4" w:right="0"/>
              <w:jc w:val="left"/>
              <w:rPr>
                <w:rFonts w:ascii="Times New Roman" w:hAnsi="Times New Roman" w:cs="Times New Roman" w:eastAsia="Times New Roman" w:hint="default"/>
                <w:sz w:val="18"/>
                <w:szCs w:val="18"/>
              </w:rPr>
            </w:pPr>
            <w:r>
              <w:rPr>
                <w:rFonts w:ascii="Times New Roman"/>
                <w:sz w:val="18"/>
              </w:rPr>
              <w:t>1.35%</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 w:right="0"/>
              <w:jc w:val="left"/>
              <w:rPr>
                <w:rFonts w:ascii="Times New Roman" w:hAnsi="Times New Roman" w:cs="Times New Roman" w:eastAsia="Times New Roman" w:hint="default"/>
                <w:sz w:val="18"/>
                <w:szCs w:val="18"/>
              </w:rPr>
            </w:pPr>
            <w:r>
              <w:rPr>
                <w:rFonts w:ascii="Times New Roman"/>
                <w:sz w:val="18"/>
              </w:rPr>
              <w:t>40,288,950</w:t>
            </w:r>
          </w:p>
        </w:tc>
        <w:tc>
          <w:tcPr>
            <w:tcW w:w="1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5,000,000(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277"/>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627"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中国工商银行—汇添富成长焦</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点股票型证券投资基金</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4" w:right="0"/>
              <w:jc w:val="left"/>
              <w:rPr>
                <w:rFonts w:ascii="Times New Roman" w:hAnsi="Times New Roman" w:cs="Times New Roman" w:eastAsia="Times New Roman" w:hint="default"/>
                <w:sz w:val="18"/>
                <w:szCs w:val="18"/>
              </w:rPr>
            </w:pPr>
            <w:r>
              <w:rPr>
                <w:rFonts w:ascii="Times New Roman"/>
                <w:sz w:val="18"/>
              </w:rPr>
              <w:t>1.17%</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 w:right="0"/>
              <w:jc w:val="left"/>
              <w:rPr>
                <w:rFonts w:ascii="Times New Roman" w:hAnsi="Times New Roman" w:cs="Times New Roman" w:eastAsia="Times New Roman" w:hint="default"/>
                <w:sz w:val="18"/>
                <w:szCs w:val="18"/>
              </w:rPr>
            </w:pPr>
            <w:r>
              <w:rPr>
                <w:rFonts w:ascii="Times New Roman"/>
                <w:sz w:val="18"/>
              </w:rPr>
              <w:t>34,972,944</w:t>
            </w:r>
          </w:p>
        </w:tc>
        <w:tc>
          <w:tcPr>
            <w:tcW w:w="1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0</w:t>
            </w:r>
          </w:p>
        </w:tc>
        <w:tc>
          <w:tcPr>
            <w:tcW w:w="9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277"/>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528" w:hRule="exact"/>
        </w:trPr>
        <w:tc>
          <w:tcPr>
            <w:tcW w:w="8765" w:type="dxa"/>
            <w:gridSpan w:val="10"/>
            <w:tcBorders>
              <w:top w:val="single" w:sz="4" w:space="0" w:color="000000"/>
              <w:left w:val="single" w:sz="12" w:space="0" w:color="000000"/>
              <w:bottom w:val="single" w:sz="4" w:space="0" w:color="000000"/>
              <w:right w:val="single" w:sz="12" w:space="0" w:color="000000"/>
            </w:tcBorders>
          </w:tcPr>
          <w:p>
            <w:pPr>
              <w:pStyle w:val="TableParagraph"/>
              <w:tabs>
                <w:tab w:pos="7480" w:val="left" w:leader="none"/>
              </w:tabs>
              <w:spacing w:line="240" w:lineRule="auto" w:before="111"/>
              <w:ind w:left="92" w:right="0"/>
              <w:jc w:val="left"/>
              <w:rPr>
                <w:rFonts w:ascii="宋体" w:hAnsi="宋体" w:cs="宋体" w:eastAsia="宋体" w:hint="default"/>
                <w:sz w:val="18"/>
                <w:szCs w:val="18"/>
              </w:rPr>
            </w:pPr>
            <w:r>
              <w:rPr>
                <w:rFonts w:ascii="宋体" w:hAnsi="宋体" w:cs="宋体" w:eastAsia="宋体" w:hint="default"/>
                <w:b/>
                <w:bCs/>
                <w:w w:val="95"/>
                <w:sz w:val="18"/>
                <w:szCs w:val="18"/>
              </w:rPr>
              <w:t>前</w:t>
            </w:r>
            <w:r>
              <w:rPr>
                <w:rFonts w:ascii="Times New Roman" w:hAnsi="Times New Roman" w:cs="Times New Roman" w:eastAsia="Times New Roman" w:hint="default"/>
                <w:b/>
                <w:bCs/>
                <w:w w:val="95"/>
                <w:sz w:val="18"/>
                <w:szCs w:val="18"/>
              </w:rPr>
              <w:t>10</w:t>
            </w:r>
            <w:r>
              <w:rPr>
                <w:rFonts w:ascii="宋体" w:hAnsi="宋体" w:cs="宋体" w:eastAsia="宋体" w:hint="default"/>
                <w:b/>
                <w:bCs/>
                <w:w w:val="95"/>
                <w:sz w:val="18"/>
                <w:szCs w:val="18"/>
              </w:rPr>
              <w:t>名无限售条件股东持股情况</w:t>
              <w:tab/>
            </w:r>
            <w:r>
              <w:rPr>
                <w:rFonts w:ascii="宋体" w:hAnsi="宋体" w:cs="宋体" w:eastAsia="宋体" w:hint="default"/>
                <w:b/>
                <w:bCs/>
                <w:sz w:val="18"/>
                <w:szCs w:val="18"/>
              </w:rPr>
              <w:t>（单位：股）</w:t>
            </w:r>
            <w:r>
              <w:rPr>
                <w:rFonts w:ascii="宋体" w:hAnsi="宋体" w:cs="宋体" w:eastAsia="宋体" w:hint="default"/>
                <w:sz w:val="18"/>
                <w:szCs w:val="18"/>
              </w:rPr>
            </w:r>
          </w:p>
        </w:tc>
      </w:tr>
      <w:tr>
        <w:trPr>
          <w:trHeight w:val="341"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604"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江苏苏宁电器集团有限公司</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47" w:right="0"/>
              <w:jc w:val="left"/>
              <w:rPr>
                <w:rFonts w:ascii="Times New Roman" w:hAnsi="Times New Roman" w:cs="Times New Roman" w:eastAsia="Times New Roman" w:hint="default"/>
                <w:sz w:val="18"/>
                <w:szCs w:val="18"/>
              </w:rPr>
            </w:pPr>
            <w:r>
              <w:rPr>
                <w:rFonts w:ascii="Times New Roman"/>
                <w:sz w:val="18"/>
              </w:rPr>
              <w:t>418,708,244</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55" w:right="0"/>
              <w:jc w:val="left"/>
              <w:rPr>
                <w:rFonts w:ascii="Times New Roman" w:hAnsi="Times New Roman" w:cs="Times New Roman" w:eastAsia="Times New Roman" w:hint="default"/>
                <w:sz w:val="18"/>
                <w:szCs w:val="18"/>
              </w:rPr>
            </w:pPr>
            <w:r>
              <w:rPr>
                <w:rFonts w:ascii="Times New Roman"/>
                <w:sz w:val="18"/>
              </w:rPr>
              <w:t>114,280,760</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55,387,622</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中国工商银行－广发聚丰股票型证券投资基金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50,284,550</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中国工商银行－汇添富均衡增长股票型证券投资基金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47,027,869</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交通银行－华夏蓝筹核心混合型证券投资基金</w:t>
            </w:r>
            <w:r>
              <w:rPr>
                <w:rFonts w:ascii="Times New Roman" w:hAnsi="Times New Roman" w:cs="Times New Roman" w:eastAsia="Times New Roman" w:hint="default"/>
                <w:sz w:val="18"/>
                <w:szCs w:val="18"/>
              </w:rPr>
              <w:t>(LOF)</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38,629,072</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35,288,950</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中国工商银行－汇添富成长焦点股票型证券投资基金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34,972,944</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32,049,882</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0" w:hRule="exact"/>
        </w:trPr>
        <w:tc>
          <w:tcPr>
            <w:tcW w:w="4564" w:type="dxa"/>
            <w:gridSpan w:val="4"/>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2" w:right="0"/>
              <w:jc w:val="left"/>
              <w:rPr>
                <w:rFonts w:ascii="宋体" w:hAnsi="宋体" w:cs="宋体" w:eastAsia="宋体" w:hint="default"/>
                <w:sz w:val="18"/>
                <w:szCs w:val="18"/>
              </w:rPr>
            </w:pPr>
            <w:r>
              <w:rPr>
                <w:rFonts w:ascii="宋体" w:hAnsi="宋体" w:cs="宋体" w:eastAsia="宋体" w:hint="default"/>
                <w:sz w:val="18"/>
                <w:szCs w:val="18"/>
              </w:rPr>
              <w:t>中国建设银行－银华核心价值优选股票型证券投资基金</w:t>
            </w:r>
          </w:p>
        </w:tc>
        <w:tc>
          <w:tcPr>
            <w:tcW w:w="2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37" w:right="0"/>
              <w:jc w:val="left"/>
              <w:rPr>
                <w:rFonts w:ascii="Times New Roman" w:hAnsi="Times New Roman" w:cs="Times New Roman" w:eastAsia="Times New Roman" w:hint="default"/>
                <w:sz w:val="18"/>
                <w:szCs w:val="18"/>
              </w:rPr>
            </w:pPr>
            <w:r>
              <w:rPr>
                <w:rFonts w:ascii="Times New Roman"/>
                <w:sz w:val="18"/>
              </w:rPr>
              <w:t>30,440,558</w:t>
            </w:r>
          </w:p>
        </w:tc>
        <w:tc>
          <w:tcPr>
            <w:tcW w:w="193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34" w:hRule="exact"/>
        </w:trPr>
        <w:tc>
          <w:tcPr>
            <w:tcW w:w="8765"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35" w:lineRule="exact" w:before="97"/>
              <w:ind w:left="9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p>
            <w:pPr>
              <w:pStyle w:val="TableParagraph"/>
              <w:spacing w:line="234" w:lineRule="exact" w:before="22"/>
              <w:ind w:left="92"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、张近东先生持有江苏苏宁电器集团有限公司</w:t>
            </w:r>
            <w:r>
              <w:rPr>
                <w:rFonts w:ascii="Times New Roman" w:hAnsi="Times New Roman" w:cs="Times New Roman" w:eastAsia="Times New Roman" w:hint="default"/>
                <w:sz w:val="18"/>
                <w:szCs w:val="18"/>
              </w:rPr>
              <w:t>28%</w:t>
            </w:r>
            <w:r>
              <w:rPr>
                <w:rFonts w:ascii="宋体" w:hAnsi="宋体" w:cs="宋体" w:eastAsia="宋体" w:hint="default"/>
                <w:sz w:val="18"/>
                <w:szCs w:val="18"/>
              </w:rPr>
              <w:t>的股权，张近东与江苏苏宁电器集团有限公司构成关 联股东关系。</w:t>
            </w:r>
          </w:p>
          <w:p>
            <w:pPr>
              <w:pStyle w:val="TableParagraph"/>
              <w:spacing w:line="234" w:lineRule="exact"/>
              <w:ind w:left="92"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、除前述关联关系外，未知公司前十名主要股东、前十名无限售条件股东之间是否存在其他关联关系， 也未知是否存在《上市公司收购管理办法》中规定的一致行动人的情况。</w:t>
            </w:r>
          </w:p>
        </w:tc>
      </w:tr>
      <w:tr>
        <w:trPr>
          <w:trHeight w:val="474" w:hRule="exact"/>
        </w:trPr>
        <w:tc>
          <w:tcPr>
            <w:tcW w:w="8765" w:type="dxa"/>
            <w:gridSpan w:val="10"/>
            <w:tcBorders>
              <w:top w:val="single" w:sz="4" w:space="0" w:color="000000"/>
              <w:left w:val="single" w:sz="12" w:space="0" w:color="000000"/>
              <w:bottom w:val="single" w:sz="4" w:space="0" w:color="000000"/>
              <w:right w:val="single" w:sz="12" w:space="0" w:color="000000"/>
            </w:tcBorders>
          </w:tcPr>
          <w:p>
            <w:pPr>
              <w:pStyle w:val="TableParagraph"/>
              <w:spacing w:line="240" w:lineRule="auto" w:before="85"/>
              <w:ind w:left="452" w:right="0"/>
              <w:jc w:val="left"/>
              <w:rPr>
                <w:rFonts w:ascii="宋体" w:hAnsi="宋体" w:cs="宋体" w:eastAsia="宋体" w:hint="default"/>
                <w:sz w:val="18"/>
                <w:szCs w:val="18"/>
              </w:rPr>
            </w:pPr>
            <w:r>
              <w:rPr>
                <w:rFonts w:ascii="宋体" w:hAnsi="宋体" w:cs="宋体" w:eastAsia="宋体" w:hint="default"/>
                <w:sz w:val="18"/>
                <w:szCs w:val="18"/>
              </w:rPr>
              <w:t>战略投资者或一般法人参与配售新股约定持股期限的说明</w:t>
            </w:r>
          </w:p>
        </w:tc>
      </w:tr>
      <w:tr>
        <w:trPr>
          <w:trHeight w:val="454"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74"/>
              <w:ind w:left="1175"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8" w:right="0"/>
              <w:jc w:val="left"/>
              <w:rPr>
                <w:rFonts w:ascii="宋体" w:hAnsi="宋体" w:cs="宋体" w:eastAsia="宋体" w:hint="default"/>
                <w:sz w:val="18"/>
                <w:szCs w:val="18"/>
              </w:rPr>
            </w:pPr>
            <w:r>
              <w:rPr>
                <w:rFonts w:ascii="宋体" w:hAnsi="宋体" w:cs="宋体" w:eastAsia="宋体" w:hint="default"/>
                <w:sz w:val="18"/>
                <w:szCs w:val="18"/>
              </w:rPr>
              <w:t>持有有限售条件股份的数量（股）</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74"/>
              <w:ind w:left="1096" w:right="0"/>
              <w:jc w:val="left"/>
              <w:rPr>
                <w:rFonts w:ascii="宋体" w:hAnsi="宋体" w:cs="宋体" w:eastAsia="宋体" w:hint="default"/>
                <w:sz w:val="18"/>
                <w:szCs w:val="18"/>
              </w:rPr>
            </w:pPr>
            <w:r>
              <w:rPr>
                <w:rFonts w:ascii="宋体" w:hAnsi="宋体" w:cs="宋体" w:eastAsia="宋体" w:hint="default"/>
                <w:sz w:val="18"/>
                <w:szCs w:val="18"/>
              </w:rPr>
              <w:t>约定持股期限</w:t>
            </w:r>
          </w:p>
        </w:tc>
      </w:tr>
      <w:tr>
        <w:trPr>
          <w:trHeight w:val="306"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left="45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10,000,000</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11"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452" w:right="0"/>
              <w:jc w:val="left"/>
              <w:rPr>
                <w:rFonts w:ascii="宋体" w:hAnsi="宋体" w:cs="宋体" w:eastAsia="宋体" w:hint="default"/>
                <w:sz w:val="18"/>
                <w:szCs w:val="18"/>
              </w:rPr>
            </w:pPr>
            <w:r>
              <w:rPr>
                <w:rFonts w:ascii="宋体" w:hAnsi="宋体" w:cs="宋体" w:eastAsia="宋体" w:hint="default"/>
                <w:sz w:val="18"/>
                <w:szCs w:val="18"/>
              </w:rPr>
              <w:t>广发基金管理有限公司</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24,000,000</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13"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left="452"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40,000,000</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05"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35" w:lineRule="exact"/>
              <w:ind w:left="452" w:right="0"/>
              <w:jc w:val="left"/>
              <w:rPr>
                <w:rFonts w:ascii="宋体" w:hAnsi="宋体" w:cs="宋体" w:eastAsia="宋体" w:hint="default"/>
                <w:sz w:val="18"/>
                <w:szCs w:val="18"/>
              </w:rPr>
            </w:pPr>
            <w:r>
              <w:rPr>
                <w:rFonts w:ascii="宋体" w:hAnsi="宋体" w:cs="宋体" w:eastAsia="宋体" w:hint="default"/>
                <w:sz w:val="18"/>
                <w:szCs w:val="18"/>
              </w:rPr>
              <w:t>鹏华基金管理有限公司</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14,000,000</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22" w:hRule="exact"/>
        </w:trPr>
        <w:tc>
          <w:tcPr>
            <w:tcW w:w="29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452" w:right="0"/>
              <w:jc w:val="left"/>
              <w:rPr>
                <w:rFonts w:ascii="宋体" w:hAnsi="宋体" w:cs="宋体" w:eastAsia="宋体" w:hint="default"/>
                <w:sz w:val="18"/>
                <w:szCs w:val="18"/>
              </w:rPr>
            </w:pPr>
            <w:r>
              <w:rPr>
                <w:rFonts w:ascii="宋体" w:hAnsi="宋体" w:cs="宋体" w:eastAsia="宋体" w:hint="default"/>
                <w:sz w:val="18"/>
                <w:szCs w:val="18"/>
              </w:rPr>
              <w:t>融通基金管理有限公司</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10,000,000</w:t>
            </w:r>
          </w:p>
        </w:tc>
        <w:tc>
          <w:tcPr>
            <w:tcW w:w="2923" w:type="dxa"/>
            <w:gridSpan w:val="4"/>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08" w:hRule="exact"/>
        </w:trPr>
        <w:tc>
          <w:tcPr>
            <w:tcW w:w="2923"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32" w:lineRule="exact"/>
              <w:ind w:left="452" w:right="0"/>
              <w:jc w:val="left"/>
              <w:rPr>
                <w:rFonts w:ascii="宋体" w:hAnsi="宋体" w:cs="宋体" w:eastAsia="宋体" w:hint="default"/>
                <w:sz w:val="18"/>
                <w:szCs w:val="18"/>
              </w:rPr>
            </w:pPr>
            <w:r>
              <w:rPr>
                <w:rFonts w:ascii="宋体" w:hAnsi="宋体" w:cs="宋体" w:eastAsia="宋体" w:hint="default"/>
                <w:sz w:val="18"/>
                <w:szCs w:val="18"/>
              </w:rPr>
              <w:t>工银瑞信基金管理有限公司</w:t>
            </w:r>
          </w:p>
        </w:tc>
        <w:tc>
          <w:tcPr>
            <w:tcW w:w="2920" w:type="dxa"/>
            <w:gridSpan w:val="4"/>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10,000,000</w:t>
            </w:r>
          </w:p>
        </w:tc>
        <w:tc>
          <w:tcPr>
            <w:tcW w:w="2923"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bl>
    <w:p>
      <w:pPr>
        <w:spacing w:line="302" w:lineRule="auto" w:before="42"/>
        <w:ind w:left="204" w:right="217"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：公司股东张近东先生于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日承诺，于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日前，其所持有 的所有公司股份不通过证券交易系统（含大宗交易系统）挂牌交易的方式减持；根据深圳证券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交易所《中小企业板信息披露业务备忘录第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号——股东追加承诺》的规定，张近东先生所持</w:t>
      </w:r>
      <w:r>
        <w:rPr>
          <w:rFonts w:ascii="宋体" w:hAnsi="宋体" w:cs="宋体" w:eastAsia="宋体" w:hint="default"/>
          <w:sz w:val="21"/>
          <w:szCs w:val="21"/>
        </w:rPr>
        <w:t> 的所有公司股份为有限售条件股份；</w:t>
      </w:r>
    </w:p>
    <w:p>
      <w:pPr>
        <w:spacing w:line="304" w:lineRule="auto" w:before="30"/>
        <w:ind w:left="204" w:right="217"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月向特定投资者发行股票，根据《上市公司证券发行管理办法的有 </w:t>
      </w:r>
      <w:r>
        <w:rPr>
          <w:rFonts w:ascii="宋体" w:hAnsi="宋体" w:cs="宋体" w:eastAsia="宋体" w:hint="default"/>
          <w:spacing w:val="-5"/>
          <w:sz w:val="21"/>
          <w:szCs w:val="21"/>
        </w:rPr>
        <w:t>关规定》，此次非公开发行的股份自发行结束之日起十二个月内不得转让，该部分股份为有限售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条件股份；</w:t>
      </w:r>
    </w:p>
    <w:p>
      <w:pPr>
        <w:spacing w:line="297" w:lineRule="auto" w:before="28"/>
        <w:ind w:left="204" w:right="21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：金明先生为公司现任董事，其所持有的公司股份需按照国家相关法律法规及规范性 文件进行锁定。</w:t>
      </w:r>
    </w:p>
    <w:p>
      <w:pPr>
        <w:spacing w:after="0" w:line="297" w:lineRule="auto"/>
        <w:jc w:val="both"/>
        <w:rPr>
          <w:rFonts w:ascii="宋体" w:hAnsi="宋体" w:cs="宋体" w:eastAsia="宋体" w:hint="default"/>
          <w:sz w:val="21"/>
          <w:szCs w:val="21"/>
        </w:rPr>
        <w:sectPr>
          <w:pgSz w:w="11910" w:h="16840"/>
          <w:pgMar w:header="826" w:footer="900" w:top="1100" w:bottom="1100" w:left="1440" w:right="1420"/>
        </w:sectPr>
      </w:pPr>
    </w:p>
    <w:p>
      <w:pPr>
        <w:pStyle w:val="BodyText"/>
        <w:spacing w:line="240" w:lineRule="auto" w:before="106"/>
        <w:ind w:left="624" w:right="108"/>
        <w:jc w:val="left"/>
      </w:pPr>
      <w:r>
        <w:rPr>
          <w:rFonts w:ascii="Times New Roman" w:hAnsi="Times New Roman" w:cs="Times New Roman" w:eastAsia="Times New Roman" w:hint="default"/>
        </w:rPr>
        <w:t>2</w:t>
      </w:r>
      <w:r>
        <w:rPr/>
        <w:t>、公司控股股东及实际控制人情况：</w:t>
      </w:r>
    </w:p>
    <w:p>
      <w:pPr>
        <w:pStyle w:val="BodyText"/>
        <w:spacing w:line="348" w:lineRule="auto" w:before="135"/>
        <w:ind w:right="108" w:firstLine="480"/>
        <w:jc w:val="left"/>
      </w:pPr>
      <w:r>
        <w:rPr>
          <w:spacing w:val="-3"/>
        </w:rPr>
        <w:t>（</w:t>
      </w:r>
      <w:r>
        <w:rPr>
          <w:rFonts w:ascii="Times New Roman" w:hAnsi="Times New Roman" w:cs="Times New Roman" w:eastAsia="Times New Roman" w:hint="default"/>
          <w:spacing w:val="-3"/>
        </w:rPr>
        <w:t>1</w:t>
      </w:r>
      <w:r>
        <w:rPr>
          <w:spacing w:val="-3"/>
        </w:rPr>
        <w:t>）公司控股股东或实际控制人：张近东先生，中国国籍，</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月出生，</w:t>
      </w:r>
      <w:r>
        <w:rPr>
          <w:spacing w:val="-1"/>
        </w:rPr>
        <w:t> </w:t>
      </w:r>
      <w:r>
        <w:rPr/>
        <w:t>本科学历，曾任江苏苏宁交家电有限公司董事长兼总经理，现任苏宁电器股份有限</w:t>
      </w:r>
      <w:r>
        <w:rPr/>
        <w:t> 公司董事长。无其他国家或地区居住权。</w:t>
      </w:r>
    </w:p>
    <w:p>
      <w:pPr>
        <w:pStyle w:val="BodyText"/>
        <w:spacing w:line="240" w:lineRule="auto" w:before="46"/>
        <w:ind w:left="623" w:right="108"/>
        <w:jc w:val="left"/>
      </w:pPr>
      <w:r>
        <w:rPr/>
        <w:t>（</w:t>
      </w:r>
      <w:r>
        <w:rPr>
          <w:rFonts w:ascii="Times New Roman" w:hAnsi="Times New Roman" w:cs="Times New Roman" w:eastAsia="Times New Roman" w:hint="default"/>
        </w:rPr>
        <w:t>2</w:t>
      </w:r>
      <w:r>
        <w:rPr/>
        <w:t>）公司与实际控制人的产权和控制关系如下图：</w:t>
      </w:r>
    </w:p>
    <w:p>
      <w:pPr>
        <w:spacing w:line="240" w:lineRule="auto" w:before="4"/>
        <w:rPr>
          <w:rFonts w:ascii="宋体" w:hAnsi="宋体" w:cs="宋体" w:eastAsia="宋体" w:hint="default"/>
          <w:sz w:val="25"/>
          <w:szCs w:val="25"/>
        </w:rPr>
      </w:pPr>
    </w:p>
    <w:p>
      <w:pPr>
        <w:spacing w:line="468" w:lineRule="exact"/>
        <w:ind w:left="320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81pt;height:23.4pt;mso-position-horizontal-relative:char;mso-position-vertical-relative:line" type="#_x0000_t202" filled="false" stroked="true" strokeweight=".75pt" strokecolor="#000000">
            <w10:anchorlock/>
            <v:textbox inset="0,0,0,0">
              <w:txbxContent>
                <w:p>
                  <w:pPr>
                    <w:spacing w:before="37"/>
                    <w:ind w:left="488" w:right="0" w:firstLine="0"/>
                    <w:jc w:val="left"/>
                    <w:rPr>
                      <w:rFonts w:ascii="宋体" w:hAnsi="宋体" w:cs="宋体" w:eastAsia="宋体" w:hint="default"/>
                      <w:sz w:val="21"/>
                      <w:szCs w:val="21"/>
                    </w:rPr>
                  </w:pPr>
                  <w:r>
                    <w:rPr>
                      <w:rFonts w:ascii="宋体" w:hAnsi="宋体" w:cs="宋体" w:eastAsia="宋体" w:hint="default"/>
                      <w:sz w:val="21"/>
                      <w:szCs w:val="21"/>
                    </w:rPr>
                    <w:t>张近东</w:t>
                  </w:r>
                </w:p>
              </w:txbxContent>
            </v:textbox>
          </v:shape>
        </w:pict>
      </w:r>
      <w:r>
        <w:rPr>
          <w:rFonts w:ascii="宋体" w:hAnsi="宋体" w:cs="宋体" w:eastAsia="宋体" w:hint="default"/>
          <w:position w:val="-8"/>
          <w:sz w:val="20"/>
          <w:szCs w:val="20"/>
        </w:rPr>
      </w:r>
    </w:p>
    <w:p>
      <w:pPr>
        <w:pStyle w:val="BodyText"/>
        <w:spacing w:line="240" w:lineRule="auto" w:before="200"/>
        <w:ind w:left="1989" w:right="3780"/>
        <w:jc w:val="center"/>
        <w:rPr>
          <w:rFonts w:ascii="Times New Roman" w:hAnsi="Times New Roman" w:cs="Times New Roman" w:eastAsia="Times New Roman" w:hint="default"/>
        </w:rPr>
      </w:pPr>
      <w:r>
        <w:rPr/>
        <w:pict>
          <v:group style="position:absolute;margin-left:241.199997pt;margin-top:-.396599pt;width:6pt;height:40.1pt;mso-position-horizontal-relative:page;mso-position-vertical-relative:paragraph;z-index:-671776" coordorigin="4824,-8" coordsize="120,802">
            <v:shape style="position:absolute;left:4824;top:-8;width:120;height:802" coordorigin="4824,-8" coordsize="120,802" path="m4877,674l4824,674,4884,794,4930,701,4884,701,4879,699,4877,693,4877,674xe" filled="true" fillcolor="#000000" stroked="false">
              <v:path arrowok="t"/>
              <v:fill type="solid"/>
            </v:shape>
            <v:shape style="position:absolute;left:4824;top:-8;width:120;height:802" coordorigin="4824,-8" coordsize="120,802" path="m4884,-8l4879,-6,4877,-1,4877,693,4879,699,4884,701,4889,699,4891,693,4891,-1,4889,-6,4884,-8xe" filled="true" fillcolor="#000000" stroked="false">
              <v:path arrowok="t"/>
              <v:fill type="solid"/>
            </v:shape>
            <v:shape style="position:absolute;left:4824;top:-8;width:120;height:802" coordorigin="4824,-8" coordsize="120,802" path="m4944,674l4891,674,4891,693,4889,699,4884,701,4930,701,4944,674xe" filled="true" fillcolor="#000000" stroked="false">
              <v:path arrowok="t"/>
              <v:fill type="solid"/>
            </v:shape>
            <w10:wrap type="none"/>
          </v:group>
        </w:pict>
      </w:r>
      <w:r>
        <w:rPr/>
        <w:pict>
          <v:group style="position:absolute;margin-left:295.200012pt;margin-top:-.396599pt;width:6pt;height:117.4pt;mso-position-horizontal-relative:page;mso-position-vertical-relative:paragraph;z-index:-671728" coordorigin="5904,-8" coordsize="120,2348">
            <v:shape style="position:absolute;left:5904;top:-8;width:120;height:2348" coordorigin="5904,-8" coordsize="120,2348" path="m5957,2219l5904,2219,5964,2339,6010,2247,5964,2247,5959,2244,5957,2240,5957,2219xe" filled="true" fillcolor="#000000" stroked="false">
              <v:path arrowok="t"/>
              <v:fill type="solid"/>
            </v:shape>
            <v:shape style="position:absolute;left:5904;top:-8;width:120;height:2348" coordorigin="5904,-8" coordsize="120,2348" path="m5964,-8l5959,-6,5957,-1,5957,2240,5959,2244,5964,2247,5969,2244,5971,2240,5971,-1,5969,-6,5964,-8xe" filled="true" fillcolor="#000000" stroked="false">
              <v:path arrowok="t"/>
              <v:fill type="solid"/>
            </v:shape>
            <v:shape style="position:absolute;left:5904;top:-8;width:120;height:2348" coordorigin="5904,-8" coordsize="120,2348" path="m6024,2219l5971,2219,5971,2240,5969,2244,5964,2247,6010,2247,6024,2219xe" filled="true" fillcolor="#000000" stroked="false">
              <v:path arrowok="t"/>
              <v:fill type="solid"/>
            </v:shape>
            <w10:wrap type="none"/>
          </v:group>
        </w:pict>
      </w:r>
      <w:r>
        <w:rPr>
          <w:rFonts w:ascii="Times New Roman"/>
        </w:rPr>
        <w:t>28%</w:t>
      </w:r>
    </w:p>
    <w:p>
      <w:pPr>
        <w:spacing w:line="240" w:lineRule="auto" w:before="10"/>
        <w:rPr>
          <w:rFonts w:ascii="Times New Roman" w:hAnsi="Times New Roman" w:cs="Times New Roman" w:eastAsia="Times New Roman" w:hint="default"/>
          <w:sz w:val="35"/>
          <w:szCs w:val="35"/>
        </w:rPr>
      </w:pPr>
    </w:p>
    <w:p>
      <w:pPr>
        <w:pStyle w:val="BodyText"/>
        <w:spacing w:line="240" w:lineRule="auto"/>
        <w:ind w:left="2285" w:right="1622"/>
        <w:jc w:val="center"/>
        <w:rPr>
          <w:rFonts w:ascii="Times New Roman" w:hAnsi="Times New Roman" w:cs="Times New Roman" w:eastAsia="Times New Roman" w:hint="default"/>
        </w:rPr>
      </w:pPr>
      <w:r>
        <w:rPr/>
        <w:pict>
          <v:shape style="position:absolute;margin-left:154.199997pt;margin-top:-5.836602pt;width:108pt;height:39pt;mso-position-horizontal-relative:page;mso-position-vertical-relative:paragraph;z-index:1144" type="#_x0000_t202" filled="false" stroked="true" strokeweight=".75pt" strokecolor="#000000">
            <v:textbox inset="0,0,0,0">
              <w:txbxContent>
                <w:p>
                  <w:pPr>
                    <w:spacing w:line="272" w:lineRule="exact" w:before="66"/>
                    <w:ind w:left="653" w:right="229" w:hanging="420"/>
                    <w:jc w:val="left"/>
                    <w:rPr>
                      <w:rFonts w:ascii="宋体" w:hAnsi="宋体" w:cs="宋体" w:eastAsia="宋体" w:hint="default"/>
                      <w:sz w:val="21"/>
                      <w:szCs w:val="21"/>
                    </w:rPr>
                  </w:pPr>
                  <w:r>
                    <w:rPr>
                      <w:rFonts w:ascii="宋体" w:hAnsi="宋体" w:cs="宋体" w:eastAsia="宋体" w:hint="default"/>
                      <w:sz w:val="21"/>
                      <w:szCs w:val="21"/>
                    </w:rPr>
                    <w:t>江苏苏宁电器集团 有限公司</w:t>
                  </w:r>
                </w:p>
              </w:txbxContent>
            </v:textbox>
            <w10:wrap type="none"/>
          </v:shape>
        </w:pict>
      </w:r>
      <w:r>
        <w:rPr>
          <w:rFonts w:ascii="Times New Roman"/>
        </w:rPr>
        <w:t>28.61%</w:t>
      </w: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126" w:right="3780"/>
        <w:jc w:val="center"/>
        <w:rPr>
          <w:rFonts w:ascii="Times New Roman" w:hAnsi="Times New Roman" w:cs="Times New Roman" w:eastAsia="Times New Roman" w:hint="default"/>
        </w:rPr>
      </w:pPr>
      <w:r>
        <w:rPr/>
        <w:pict>
          <v:group style="position:absolute;margin-left:232.199997pt;margin-top:-8.176567pt;width:6pt;height:39.4pt;mso-position-horizontal-relative:page;mso-position-vertical-relative:paragraph;z-index:-671752" coordorigin="4644,-164" coordsize="120,788">
            <v:shape style="position:absolute;left:4644;top:-164;width:120;height:788" coordorigin="4644,-164" coordsize="120,788" path="m4697,504l4644,504,4704,624,4750,531,4704,531,4699,529,4697,524,4697,504xe" filled="true" fillcolor="#000000" stroked="false">
              <v:path arrowok="t"/>
              <v:fill type="solid"/>
            </v:shape>
            <v:shape style="position:absolute;left:4644;top:-164;width:120;height:788" coordorigin="4644,-164" coordsize="120,788" path="m4704,-164l4699,-161,4697,-156,4697,524,4699,529,4704,531,4709,529,4711,524,4711,-156,4709,-161,4704,-164xe" filled="true" fillcolor="#000000" stroked="false">
              <v:path arrowok="t"/>
              <v:fill type="solid"/>
            </v:shape>
            <v:shape style="position:absolute;left:4644;top:-164;width:120;height:788" coordorigin="4644,-164" coordsize="120,788" path="m4764,504l4711,504,4711,524,4709,529,4704,531,4750,531,4764,504xe" filled="true" fillcolor="#000000" stroked="false">
              <v:path arrowok="t"/>
              <v:fill type="solid"/>
            </v:shape>
            <w10:wrap type="none"/>
          </v:group>
        </w:pict>
      </w:r>
      <w:r>
        <w:rPr>
          <w:rFonts w:ascii="Times New Roman"/>
        </w:rPr>
        <w:t>14.00%</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p>
      <w:pPr>
        <w:spacing w:line="528" w:lineRule="exact"/>
        <w:ind w:left="23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1pt;height:26.4pt;mso-position-horizontal-relative:char;mso-position-vertical-relative:line" type="#_x0000_t202" filled="false" stroked="true" strokeweight=".75pt" strokecolor="#000000">
            <w10:anchorlock/>
            <v:textbox inset="0,0,0,0">
              <w:txbxContent>
                <w:p>
                  <w:pPr>
                    <w:spacing w:before="37"/>
                    <w:ind w:left="653"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p>
              </w:txbxContent>
            </v:textbox>
          </v:shape>
        </w:pict>
      </w:r>
      <w:r>
        <w:rPr>
          <w:rFonts w:ascii="Times New Roman" w:hAnsi="Times New Roman" w:cs="Times New Roman" w:eastAsia="Times New Roman" w:hint="default"/>
          <w:position w:val="-10"/>
          <w:sz w:val="20"/>
          <w:szCs w:val="20"/>
        </w:rPr>
      </w:r>
    </w:p>
    <w:p>
      <w:pPr>
        <w:pStyle w:val="BodyText"/>
        <w:spacing w:line="338" w:lineRule="auto" w:before="191"/>
        <w:ind w:left="623" w:right="221"/>
        <w:jc w:val="left"/>
      </w:pPr>
      <w:r>
        <w:rPr/>
        <w:t>（</w:t>
      </w:r>
      <w:r>
        <w:rPr>
          <w:rFonts w:ascii="Times New Roman" w:hAnsi="Times New Roman" w:cs="Times New Roman" w:eastAsia="Times New Roman" w:hint="default"/>
        </w:rPr>
        <w:t>3</w:t>
      </w:r>
      <w:r>
        <w:rPr/>
        <w:t>）其他持股在</w:t>
      </w:r>
      <w:r>
        <w:rPr>
          <w:spacing w:val="-60"/>
        </w:rPr>
        <w:t> </w:t>
      </w:r>
      <w:r>
        <w:rPr>
          <w:rFonts w:ascii="Times New Roman" w:hAnsi="Times New Roman" w:cs="Times New Roman" w:eastAsia="Times New Roman" w:hint="default"/>
        </w:rPr>
        <w:t>10%</w:t>
      </w:r>
      <w:r>
        <w:rPr/>
        <w:t>以上的法人股东： 江苏苏宁电器集团有限公司，法定代表人马晓咏，注册资本 </w:t>
      </w:r>
      <w:r>
        <w:rPr>
          <w:rFonts w:ascii="Times New Roman" w:hAnsi="Times New Roman" w:cs="Times New Roman" w:eastAsia="Times New Roman" w:hint="default"/>
        </w:rPr>
        <w:t>200,000,000</w:t>
      </w:r>
      <w:r>
        <w:rPr>
          <w:rFonts w:ascii="Times New Roman" w:hAnsi="Times New Roman" w:cs="Times New Roman" w:eastAsia="Times New Roman" w:hint="default"/>
          <w:spacing w:val="40"/>
        </w:rPr>
        <w:t> </w:t>
      </w:r>
      <w:r>
        <w:rPr/>
        <w:t>元，</w:t>
      </w:r>
    </w:p>
    <w:p>
      <w:pPr>
        <w:pStyle w:val="BodyText"/>
        <w:spacing w:line="355" w:lineRule="auto" w:before="27"/>
        <w:ind w:right="109"/>
        <w:jc w:val="left"/>
      </w:pPr>
      <w:r>
        <w:rPr/>
        <w:t>成立日期</w:t>
      </w:r>
      <w:r>
        <w:rPr>
          <w:spacing w:val="-42"/>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8"/>
        </w:rPr>
        <w:t> </w:t>
      </w:r>
      <w:r>
        <w:rPr/>
        <w:t>日，经营范围：许可经营项目：音像制品零售，茶座。 </w:t>
      </w:r>
      <w:r>
        <w:rPr>
          <w:spacing w:val="-5"/>
        </w:rPr>
        <w:t>卷烟、烟丝、雪茄烟零售，国内版图书、期刊零售，零售各类定型包装食品、饮料、</w:t>
      </w:r>
      <w:r>
        <w:rPr>
          <w:spacing w:val="-104"/>
        </w:rPr>
        <w:t> </w:t>
      </w:r>
      <w:r>
        <w:rPr>
          <w:spacing w:val="-104"/>
        </w:rPr>
      </w:r>
      <w:r>
        <w:rPr>
          <w:spacing w:val="-8"/>
        </w:rPr>
        <w:t>酒类。（限指定的分支机构经营）</w:t>
      </w:r>
      <w:r>
        <w:rPr/>
        <w:t> </w:t>
      </w:r>
      <w:r>
        <w:rPr>
          <w:spacing w:val="-1"/>
        </w:rPr>
        <w:t>一般经营项目：家用电器及配件的制造、销售及</w:t>
      </w:r>
      <w:r>
        <w:rPr>
          <w:spacing w:val="-117"/>
        </w:rPr>
        <w:t> </w:t>
      </w:r>
      <w:r>
        <w:rPr>
          <w:spacing w:val="-117"/>
        </w:rPr>
      </w:r>
      <w:r>
        <w:rPr/>
        <w:t>售后服务；汽车专用照明电器、电子元件、电工器材和电气信号设备加工制造，房</w:t>
      </w:r>
      <w:r>
        <w:rPr/>
        <w:t> </w:t>
      </w:r>
      <w:r>
        <w:rPr>
          <w:spacing w:val="-4"/>
        </w:rPr>
        <w:t>屋租赁、维修，物业管理，室内装饰，园林绿化，经济信息咨询，实业投资；百货、</w:t>
      </w:r>
      <w:r>
        <w:rPr/>
        <w:t> 黄金、珠宝玉器、工艺美术品、鲜花销售，洗衣服务，柜台、场地租赁，国内商品</w:t>
      </w:r>
      <w:r>
        <w:rPr>
          <w:spacing w:val="-1"/>
        </w:rPr>
        <w:t> </w:t>
      </w:r>
      <w:r>
        <w:rPr/>
        <w:t>展示服务；国产、进口化妆品的销售，企业形象策划，人才培训。</w:t>
      </w:r>
    </w:p>
    <w:p>
      <w:pPr>
        <w:spacing w:after="0" w:line="355" w:lineRule="auto"/>
        <w:jc w:val="left"/>
        <w:sectPr>
          <w:pgSz w:w="11910" w:h="16840"/>
          <w:pgMar w:header="826" w:footer="900" w:top="1100" w:bottom="1100" w:left="1500" w:right="1400"/>
        </w:sectPr>
      </w:pPr>
    </w:p>
    <w:p>
      <w:pPr>
        <w:pStyle w:val="BodyText"/>
        <w:spacing w:line="240" w:lineRule="auto" w:before="106"/>
        <w:ind w:left="704" w:right="2568"/>
        <w:jc w:val="left"/>
      </w:pPr>
      <w:r>
        <w:rPr>
          <w:rFonts w:ascii="Times New Roman" w:hAnsi="Times New Roman" w:cs="Times New Roman" w:eastAsia="Times New Roman" w:hint="default"/>
        </w:rPr>
        <w:t>3</w:t>
      </w:r>
      <w:r>
        <w:rPr/>
        <w:t>、有限售条件股份情况</w:t>
      </w:r>
    </w:p>
    <w:p>
      <w:pPr>
        <w:pStyle w:val="BodyText"/>
        <w:tabs>
          <w:tab w:pos="7663" w:val="left" w:leader="none"/>
        </w:tabs>
        <w:spacing w:line="240" w:lineRule="auto" w:before="135"/>
        <w:ind w:left="703" w:right="0"/>
        <w:jc w:val="left"/>
        <w:rPr>
          <w:sz w:val="21"/>
          <w:szCs w:val="21"/>
        </w:rPr>
      </w:pPr>
      <w:r>
        <w:rPr/>
        <w:t>（</w:t>
      </w:r>
      <w:r>
        <w:rPr>
          <w:rFonts w:ascii="Times New Roman" w:hAnsi="Times New Roman" w:cs="Times New Roman" w:eastAsia="Times New Roman" w:hint="default"/>
        </w:rPr>
        <w:t>1</w:t>
      </w:r>
      <w:r>
        <w:rPr/>
        <w:t>） 前十名股东中有限售条件股东持股数量及限售条件</w:t>
        <w:tab/>
      </w:r>
      <w:r>
        <w:rPr>
          <w:sz w:val="21"/>
          <w:szCs w:val="21"/>
        </w:rPr>
        <w:t>（单位：股）</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96"/>
        <w:gridCol w:w="943"/>
        <w:gridCol w:w="1127"/>
        <w:gridCol w:w="1280"/>
        <w:gridCol w:w="1020"/>
        <w:gridCol w:w="4070"/>
      </w:tblGrid>
      <w:tr>
        <w:trPr>
          <w:trHeight w:val="722" w:hRule="exact"/>
        </w:trPr>
        <w:tc>
          <w:tcPr>
            <w:tcW w:w="39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7"/>
              <w:ind w:left="93"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94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有限售条</w:t>
            </w:r>
          </w:p>
          <w:p>
            <w:pPr>
              <w:pStyle w:val="TableParagraph"/>
              <w:spacing w:line="240" w:lineRule="auto"/>
              <w:ind w:left="376" w:right="104" w:hanging="270"/>
              <w:jc w:val="left"/>
              <w:rPr>
                <w:rFonts w:ascii="宋体" w:hAnsi="宋体" w:cs="宋体" w:eastAsia="宋体" w:hint="default"/>
                <w:sz w:val="18"/>
                <w:szCs w:val="18"/>
              </w:rPr>
            </w:pPr>
            <w:r>
              <w:rPr>
                <w:rFonts w:ascii="宋体" w:hAnsi="宋体" w:cs="宋体" w:eastAsia="宋体" w:hint="default"/>
                <w:sz w:val="18"/>
                <w:szCs w:val="18"/>
              </w:rPr>
              <w:t>件股东名 称</w:t>
            </w:r>
          </w:p>
        </w:tc>
        <w:tc>
          <w:tcPr>
            <w:tcW w:w="112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持有的有限</w:t>
            </w:r>
          </w:p>
          <w:p>
            <w:pPr>
              <w:pStyle w:val="TableParagraph"/>
              <w:spacing w:line="240" w:lineRule="auto"/>
              <w:ind w:left="288" w:right="107" w:hanging="180"/>
              <w:jc w:val="left"/>
              <w:rPr>
                <w:rFonts w:ascii="宋体" w:hAnsi="宋体" w:cs="宋体" w:eastAsia="宋体" w:hint="default"/>
                <w:sz w:val="18"/>
                <w:szCs w:val="18"/>
              </w:rPr>
            </w:pPr>
            <w:r>
              <w:rPr>
                <w:rFonts w:ascii="宋体" w:hAnsi="宋体" w:cs="宋体" w:eastAsia="宋体" w:hint="default"/>
                <w:sz w:val="18"/>
                <w:szCs w:val="18"/>
              </w:rPr>
              <w:t>售条件股份 的数量</w:t>
            </w:r>
          </w:p>
        </w:tc>
        <w:tc>
          <w:tcPr>
            <w:tcW w:w="12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54" w:right="185" w:hanging="270"/>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02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新增可上</w:t>
            </w:r>
          </w:p>
          <w:p>
            <w:pPr>
              <w:pStyle w:val="TableParagraph"/>
              <w:spacing w:line="240" w:lineRule="auto"/>
              <w:ind w:left="235" w:right="143" w:hanging="90"/>
              <w:jc w:val="left"/>
              <w:rPr>
                <w:rFonts w:ascii="宋体" w:hAnsi="宋体" w:cs="宋体" w:eastAsia="宋体" w:hint="default"/>
                <w:sz w:val="18"/>
                <w:szCs w:val="18"/>
              </w:rPr>
            </w:pPr>
            <w:r>
              <w:rPr>
                <w:rFonts w:ascii="宋体" w:hAnsi="宋体" w:cs="宋体" w:eastAsia="宋体" w:hint="default"/>
                <w:sz w:val="18"/>
                <w:szCs w:val="18"/>
              </w:rPr>
              <w:t>市交易股 份数量</w:t>
            </w:r>
          </w:p>
        </w:tc>
        <w:tc>
          <w:tcPr>
            <w:tcW w:w="407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242" w:hRule="exact"/>
        </w:trPr>
        <w:tc>
          <w:tcPr>
            <w:tcW w:w="396" w:type="dxa"/>
            <w:tcBorders>
              <w:top w:val="single" w:sz="4" w:space="0" w:color="000000"/>
              <w:left w:val="single" w:sz="12"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020" w:type="dxa"/>
            <w:tcBorders>
              <w:top w:val="single" w:sz="4" w:space="0" w:color="000000"/>
              <w:left w:val="single" w:sz="4" w:space="0" w:color="000000"/>
              <w:bottom w:val="nil" w:sz="6" w:space="0" w:color="auto"/>
              <w:right w:val="single" w:sz="4" w:space="0" w:color="000000"/>
            </w:tcBorders>
          </w:tcPr>
          <w:p>
            <w:pPr/>
          </w:p>
        </w:tc>
        <w:tc>
          <w:tcPr>
            <w:tcW w:w="4070" w:type="dxa"/>
            <w:tcBorders>
              <w:top w:val="single" w:sz="4" w:space="0" w:color="000000"/>
              <w:left w:val="single" w:sz="4" w:space="0" w:color="000000"/>
              <w:bottom w:val="nil" w:sz="6" w:space="0" w:color="auto"/>
              <w:right w:val="single" w:sz="12" w:space="0" w:color="000000"/>
            </w:tcBorders>
          </w:tcPr>
          <w:p>
            <w:pPr>
              <w:pStyle w:val="TableParagraph"/>
              <w:spacing w:line="219" w:lineRule="exact"/>
              <w:ind w:right="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日，不</w:t>
            </w:r>
          </w:p>
        </w:tc>
      </w:tr>
      <w:tr>
        <w:trPr>
          <w:trHeight w:val="22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上市交易或转让；</w:t>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right="9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日，通</w:t>
            </w:r>
          </w:p>
        </w:tc>
      </w:tr>
      <w:tr>
        <w:trPr>
          <w:trHeight w:val="22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过深圳证券交易所中小企业板出售苏宁电器的股</w:t>
            </w:r>
            <w:r>
              <w:rPr>
                <w:rFonts w:ascii="宋体" w:hAnsi="宋体" w:cs="宋体" w:eastAsia="宋体" w:hint="default"/>
                <w:sz w:val="18"/>
                <w:szCs w:val="18"/>
              </w:rPr>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份不超过公司股份总数的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，出售价格不低于</w:t>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6.945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元（如果自非流通股获得流通权之日起</w:t>
            </w:r>
          </w:p>
        </w:tc>
      </w:tr>
      <w:tr>
        <w:trPr>
          <w:trHeight w:val="22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至出售股份期间有派息、送股、资本公积金转增</w:t>
            </w:r>
            <w:r>
              <w:rPr>
                <w:rFonts w:ascii="宋体" w:hAnsi="宋体" w:cs="宋体" w:eastAsia="宋体" w:hint="default"/>
                <w:sz w:val="18"/>
                <w:szCs w:val="18"/>
              </w:rPr>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股本等事项，应对该价格进行除权、除息处理</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right="9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日起的两个月内，若公司股</w:t>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票连续二日收盘价格低于每股人民币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25.80</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元（若</w:t>
            </w:r>
          </w:p>
        </w:tc>
      </w:tr>
      <w:tr>
        <w:trPr>
          <w:trHeight w:val="697" w:hRule="exact"/>
        </w:trPr>
        <w:tc>
          <w:tcPr>
            <w:tcW w:w="396" w:type="dxa"/>
            <w:tcBorders>
              <w:top w:val="nil" w:sz="6" w:space="0" w:color="auto"/>
              <w:left w:val="single" w:sz="12"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855,843,840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2" w:lineRule="exact" w:before="8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113"/>
              <w:jc w:val="right"/>
              <w:rPr>
                <w:rFonts w:ascii="Times New Roman" w:hAnsi="Times New Roman" w:cs="Times New Roman" w:eastAsia="Times New Roman" w:hint="default"/>
                <w:sz w:val="18"/>
                <w:szCs w:val="18"/>
              </w:rPr>
            </w:pPr>
            <w:r>
              <w:rPr>
                <w:rFonts w:ascii="Times New Roman"/>
                <w:sz w:val="18"/>
              </w:rPr>
              <w:t>855,843,840</w:t>
            </w: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此间有派息、送股、资本公积金转增股本等事项，</w:t>
            </w:r>
          </w:p>
          <w:p>
            <w:pPr>
              <w:pStyle w:val="TableParagraph"/>
              <w:spacing w:line="240" w:lineRule="auto"/>
              <w:ind w:left="103" w:right="86"/>
              <w:jc w:val="left"/>
              <w:rPr>
                <w:rFonts w:ascii="宋体" w:hAnsi="宋体" w:cs="宋体" w:eastAsia="宋体" w:hint="default"/>
                <w:sz w:val="18"/>
                <w:szCs w:val="18"/>
              </w:rPr>
            </w:pPr>
            <w:r>
              <w:rPr>
                <w:rFonts w:ascii="宋体" w:hAnsi="宋体" w:cs="宋体" w:eastAsia="宋体" w:hint="default"/>
                <w:spacing w:val="-5"/>
                <w:sz w:val="18"/>
                <w:szCs w:val="18"/>
              </w:rPr>
              <w:t>应对该价格进行除权、除息处理），则张近东和江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苏苏宁电器集团有限公司在下一个交易日开始在</w:t>
            </w:r>
            <w:r>
              <w:rPr>
                <w:rFonts w:ascii="宋体" w:hAnsi="宋体" w:cs="宋体" w:eastAsia="宋体" w:hint="default"/>
                <w:sz w:val="18"/>
                <w:szCs w:val="18"/>
              </w:rPr>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二级市场上增持苏宁电器股份有限公司社会公众</w:t>
            </w:r>
            <w:r>
              <w:rPr>
                <w:rFonts w:ascii="宋体" w:hAnsi="宋体" w:cs="宋体" w:eastAsia="宋体" w:hint="default"/>
                <w:sz w:val="18"/>
                <w:szCs w:val="18"/>
              </w:rPr>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股股份，增持数量合计不超过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万股，增持股</w:t>
            </w:r>
          </w:p>
        </w:tc>
      </w:tr>
      <w:tr>
        <w:trPr>
          <w:trHeight w:val="22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份计划完成后的六个月内不出售所增持的股份并</w:t>
            </w:r>
            <w:r>
              <w:rPr>
                <w:rFonts w:ascii="宋体" w:hAnsi="宋体" w:cs="宋体" w:eastAsia="宋体" w:hint="default"/>
                <w:sz w:val="18"/>
                <w:szCs w:val="18"/>
              </w:rPr>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履行相关信息披露义务。</w:t>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right="9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日承诺，于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tc>
      </w:tr>
      <w:tr>
        <w:trPr>
          <w:trHeight w:val="22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日前，所持有的所有公司股份不通过证券交易系</w:t>
            </w:r>
            <w:r>
              <w:rPr>
                <w:rFonts w:ascii="宋体" w:hAnsi="宋体" w:cs="宋体" w:eastAsia="宋体" w:hint="default"/>
                <w:sz w:val="18"/>
                <w:szCs w:val="18"/>
              </w:rPr>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统（含大宗交易系统）挂牌交易的方式减持；根</w:t>
            </w:r>
            <w:r>
              <w:rPr>
                <w:rFonts w:ascii="宋体" w:hAnsi="宋体" w:cs="宋体" w:eastAsia="宋体" w:hint="default"/>
                <w:sz w:val="18"/>
                <w:szCs w:val="18"/>
              </w:rPr>
            </w:r>
          </w:p>
        </w:tc>
      </w:tr>
      <w:tr>
        <w:trPr>
          <w:trHeight w:val="234"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据深圳证券交易所《中小企业板信息披露业务备</w:t>
            </w:r>
            <w:r>
              <w:rPr>
                <w:rFonts w:ascii="宋体" w:hAnsi="宋体" w:cs="宋体" w:eastAsia="宋体" w:hint="default"/>
                <w:sz w:val="18"/>
                <w:szCs w:val="18"/>
              </w:rPr>
            </w:r>
          </w:p>
        </w:tc>
      </w:tr>
      <w:tr>
        <w:trPr>
          <w:trHeight w:val="239"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忘录第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号——股东追加承诺》的规定，张近东</w:t>
            </w:r>
          </w:p>
        </w:tc>
      </w:tr>
      <w:tr>
        <w:trPr>
          <w:trHeight w:val="236" w:hRule="exact"/>
        </w:trPr>
        <w:tc>
          <w:tcPr>
            <w:tcW w:w="396" w:type="dxa"/>
            <w:tcBorders>
              <w:top w:val="nil" w:sz="6" w:space="0" w:color="auto"/>
              <w:left w:val="single" w:sz="12"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020" w:type="dxa"/>
            <w:tcBorders>
              <w:top w:val="nil" w:sz="6" w:space="0" w:color="auto"/>
              <w:left w:val="single" w:sz="4" w:space="0" w:color="000000"/>
              <w:bottom w:val="single" w:sz="4" w:space="0" w:color="000000"/>
              <w:right w:val="single" w:sz="4" w:space="0" w:color="000000"/>
            </w:tcBorders>
          </w:tcPr>
          <w:p>
            <w:pPr/>
          </w:p>
        </w:tc>
        <w:tc>
          <w:tcPr>
            <w:tcW w:w="4070" w:type="dxa"/>
            <w:tcBorders>
              <w:top w:val="nil" w:sz="6" w:space="0" w:color="auto"/>
              <w:left w:val="single" w:sz="4" w:space="0" w:color="000000"/>
              <w:bottom w:val="single" w:sz="4" w:space="0" w:color="000000"/>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先生所持的所有公司股份为有限售条件股份。</w:t>
            </w:r>
          </w:p>
        </w:tc>
      </w:tr>
      <w:tr>
        <w:trPr>
          <w:trHeight w:val="598" w:hRule="exact"/>
        </w:trPr>
        <w:tc>
          <w:tcPr>
            <w:tcW w:w="3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金  明</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40,117,680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40,117,680</w:t>
            </w:r>
          </w:p>
        </w:tc>
        <w:tc>
          <w:tcPr>
            <w:tcW w:w="4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left="103" w:right="90" w:firstLine="180"/>
              <w:jc w:val="left"/>
              <w:rPr>
                <w:rFonts w:ascii="宋体" w:hAnsi="宋体" w:cs="宋体" w:eastAsia="宋体" w:hint="default"/>
                <w:sz w:val="18"/>
                <w:szCs w:val="18"/>
              </w:rPr>
            </w:pPr>
            <w:r>
              <w:rPr>
                <w:rFonts w:ascii="宋体" w:hAnsi="宋体" w:cs="宋体" w:eastAsia="宋体" w:hint="default"/>
                <w:spacing w:val="3"/>
                <w:sz w:val="18"/>
                <w:szCs w:val="18"/>
              </w:rPr>
              <w:t>按照国家相关法律法规及规范性文件要求，以</w:t>
            </w:r>
            <w:r>
              <w:rPr>
                <w:rFonts w:ascii="宋体" w:hAnsi="宋体" w:cs="宋体" w:eastAsia="宋体" w:hint="default"/>
                <w:sz w:val="18"/>
                <w:szCs w:val="18"/>
              </w:rPr>
              <w:t> “高管股份”形式锁定。</w:t>
            </w:r>
          </w:p>
        </w:tc>
      </w:tr>
      <w:tr>
        <w:trPr>
          <w:trHeight w:val="273" w:hRule="exact"/>
        </w:trPr>
        <w:tc>
          <w:tcPr>
            <w:tcW w:w="396" w:type="dxa"/>
            <w:tcBorders>
              <w:top w:val="single" w:sz="4" w:space="0" w:color="000000"/>
              <w:left w:val="single" w:sz="12"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112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020" w:type="dxa"/>
            <w:tcBorders>
              <w:top w:val="single" w:sz="4" w:space="0" w:color="000000"/>
              <w:left w:val="single" w:sz="4" w:space="0" w:color="000000"/>
              <w:bottom w:val="nil" w:sz="6" w:space="0" w:color="auto"/>
              <w:right w:val="single" w:sz="4" w:space="0" w:color="000000"/>
            </w:tcBorders>
          </w:tcPr>
          <w:p>
            <w:pPr/>
          </w:p>
        </w:tc>
        <w:tc>
          <w:tcPr>
            <w:tcW w:w="4070" w:type="dxa"/>
            <w:tcBorders>
              <w:top w:val="single" w:sz="4" w:space="0" w:color="000000"/>
              <w:left w:val="single" w:sz="4" w:space="0" w:color="000000"/>
              <w:bottom w:val="nil" w:sz="6" w:space="0" w:color="auto"/>
              <w:right w:val="single" w:sz="12" w:space="0" w:color="000000"/>
            </w:tcBorders>
          </w:tcPr>
          <w:p>
            <w:pPr/>
          </w:p>
        </w:tc>
      </w:tr>
      <w:tr>
        <w:trPr>
          <w:trHeight w:val="702" w:hRule="exact"/>
        </w:trPr>
        <w:tc>
          <w:tcPr>
            <w:tcW w:w="396"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银行—广</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发聚丰股</w:t>
            </w:r>
            <w:r>
              <w:rPr>
                <w:rFonts w:ascii="宋体" w:hAnsi="宋体" w:cs="宋体" w:eastAsia="宋体" w:hint="default"/>
                <w:spacing w:val="-83"/>
                <w:sz w:val="18"/>
                <w:szCs w:val="18"/>
              </w:rPr>
              <w:t> </w:t>
            </w:r>
            <w:r>
              <w:rPr>
                <w:rFonts w:ascii="宋体" w:hAnsi="宋体" w:cs="宋体" w:eastAsia="宋体" w:hint="default"/>
                <w:sz w:val="18"/>
                <w:szCs w:val="18"/>
              </w:rPr>
              <w:t>票型证券</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2" w:lineRule="exact"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8,000,000</w:t>
            </w: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34" w:lineRule="exact" w:before="112"/>
              <w:ind w:left="103" w:right="9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日，不上市</w:t>
            </w:r>
            <w:r>
              <w:rPr>
                <w:rFonts w:ascii="宋体" w:hAnsi="宋体" w:cs="宋体" w:eastAsia="宋体" w:hint="default"/>
                <w:sz w:val="18"/>
                <w:szCs w:val="18"/>
              </w:rPr>
              <w:t> 交易或转让</w:t>
            </w:r>
          </w:p>
        </w:tc>
      </w:tr>
      <w:tr>
        <w:trPr>
          <w:trHeight w:val="278" w:hRule="exact"/>
        </w:trPr>
        <w:tc>
          <w:tcPr>
            <w:tcW w:w="396" w:type="dxa"/>
            <w:tcBorders>
              <w:top w:val="nil" w:sz="6" w:space="0" w:color="auto"/>
              <w:left w:val="single" w:sz="12"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12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020" w:type="dxa"/>
            <w:tcBorders>
              <w:top w:val="nil" w:sz="6" w:space="0" w:color="auto"/>
              <w:left w:val="single" w:sz="4" w:space="0" w:color="000000"/>
              <w:bottom w:val="single" w:sz="4" w:space="0" w:color="000000"/>
              <w:right w:val="single" w:sz="4" w:space="0" w:color="000000"/>
            </w:tcBorders>
          </w:tcPr>
          <w:p>
            <w:pPr/>
          </w:p>
        </w:tc>
        <w:tc>
          <w:tcPr>
            <w:tcW w:w="4070" w:type="dxa"/>
            <w:tcBorders>
              <w:top w:val="nil" w:sz="6" w:space="0" w:color="auto"/>
              <w:left w:val="single" w:sz="4" w:space="0" w:color="000000"/>
              <w:bottom w:val="single" w:sz="4" w:space="0" w:color="000000"/>
              <w:right w:val="single" w:sz="12" w:space="0" w:color="000000"/>
            </w:tcBorders>
          </w:tcPr>
          <w:p>
            <w:pPr/>
          </w:p>
        </w:tc>
      </w:tr>
      <w:tr>
        <w:trPr>
          <w:trHeight w:val="243" w:hRule="exact"/>
        </w:trPr>
        <w:tc>
          <w:tcPr>
            <w:tcW w:w="396" w:type="dxa"/>
            <w:tcBorders>
              <w:top w:val="single" w:sz="4" w:space="0" w:color="000000"/>
              <w:left w:val="single" w:sz="12"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12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020" w:type="dxa"/>
            <w:tcBorders>
              <w:top w:val="single" w:sz="4" w:space="0" w:color="000000"/>
              <w:left w:val="single" w:sz="4" w:space="0" w:color="000000"/>
              <w:bottom w:val="nil" w:sz="6" w:space="0" w:color="auto"/>
              <w:right w:val="single" w:sz="4" w:space="0" w:color="000000"/>
            </w:tcBorders>
          </w:tcPr>
          <w:p>
            <w:pPr/>
          </w:p>
        </w:tc>
        <w:tc>
          <w:tcPr>
            <w:tcW w:w="4070" w:type="dxa"/>
            <w:tcBorders>
              <w:top w:val="single" w:sz="4" w:space="0" w:color="000000"/>
              <w:left w:val="single" w:sz="4" w:space="0" w:color="000000"/>
              <w:bottom w:val="nil" w:sz="6" w:space="0" w:color="auto"/>
              <w:right w:val="single" w:sz="12" w:space="0" w:color="000000"/>
            </w:tcBorders>
          </w:tcPr>
          <w:p>
            <w:pPr/>
          </w:p>
        </w:tc>
      </w:tr>
      <w:tr>
        <w:trPr>
          <w:trHeight w:val="227"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－华夏蓝</w:t>
            </w: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
        </w:tc>
      </w:tr>
      <w:tr>
        <w:trPr>
          <w:trHeight w:val="475" w:hRule="exact"/>
        </w:trPr>
        <w:tc>
          <w:tcPr>
            <w:tcW w:w="396" w:type="dxa"/>
            <w:tcBorders>
              <w:top w:val="nil" w:sz="6" w:space="0" w:color="auto"/>
              <w:left w:val="single" w:sz="12" w:space="0" w:color="000000"/>
              <w:bottom w:val="nil" w:sz="6" w:space="0" w:color="auto"/>
              <w:right w:val="single" w:sz="4" w:space="0" w:color="000000"/>
            </w:tcBorders>
          </w:tcPr>
          <w:p>
            <w:pPr>
              <w:pStyle w:val="TableParagraph"/>
              <w:spacing w:line="240" w:lineRule="auto" w:before="120"/>
              <w:ind w:left="85" w:right="0"/>
              <w:jc w:val="left"/>
              <w:rPr>
                <w:rFonts w:ascii="Times New Roman" w:hAnsi="Times New Roman" w:cs="Times New Roman" w:eastAsia="Times New Roman" w:hint="default"/>
                <w:sz w:val="18"/>
                <w:szCs w:val="18"/>
              </w:rPr>
            </w:pPr>
            <w:r>
              <w:rPr>
                <w:rFonts w:ascii="Times New Roman"/>
                <w:sz w:val="18"/>
              </w:rPr>
              <w:t>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34" w:lineRule="exact" w:before="1"/>
              <w:ind w:left="103" w:right="98"/>
              <w:jc w:val="left"/>
              <w:rPr>
                <w:rFonts w:ascii="宋体" w:hAnsi="宋体" w:cs="宋体" w:eastAsia="宋体" w:hint="default"/>
                <w:sz w:val="18"/>
                <w:szCs w:val="18"/>
              </w:rPr>
            </w:pPr>
            <w:r>
              <w:rPr>
                <w:rFonts w:ascii="宋体" w:hAnsi="宋体" w:cs="宋体" w:eastAsia="宋体" w:hint="default"/>
                <w:sz w:val="18"/>
                <w:szCs w:val="18"/>
              </w:rPr>
              <w:t>筹核心混</w:t>
            </w:r>
            <w:r>
              <w:rPr>
                <w:rFonts w:ascii="宋体" w:hAnsi="宋体" w:cs="宋体" w:eastAsia="宋体" w:hint="default"/>
                <w:spacing w:val="-83"/>
                <w:sz w:val="18"/>
                <w:szCs w:val="18"/>
              </w:rPr>
              <w:t> </w:t>
            </w:r>
            <w:r>
              <w:rPr>
                <w:rFonts w:ascii="宋体" w:hAnsi="宋体" w:cs="宋体" w:eastAsia="宋体" w:hint="default"/>
                <w:sz w:val="18"/>
                <w:szCs w:val="18"/>
              </w:rPr>
              <w:t>合型证券</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5,200,000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43"/>
              <w:jc w:val="right"/>
              <w:rPr>
                <w:rFonts w:ascii="Times New Roman" w:hAnsi="Times New Roman" w:cs="Times New Roman" w:eastAsia="Times New Roman" w:hint="default"/>
                <w:sz w:val="18"/>
                <w:szCs w:val="18"/>
              </w:rPr>
            </w:pPr>
            <w:r>
              <w:rPr>
                <w:rFonts w:ascii="Times New Roman"/>
                <w:sz w:val="18"/>
              </w:rPr>
              <w:t>5,200,000</w:t>
            </w: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06"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日，不上市</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交易或转让</w:t>
            </w:r>
          </w:p>
        </w:tc>
      </w:tr>
      <w:tr>
        <w:trPr>
          <w:trHeight w:val="231"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
        </w:tc>
      </w:tr>
      <w:tr>
        <w:trPr>
          <w:trHeight w:val="222" w:hRule="exact"/>
        </w:trPr>
        <w:tc>
          <w:tcPr>
            <w:tcW w:w="396" w:type="dxa"/>
            <w:tcBorders>
              <w:top w:val="nil" w:sz="6" w:space="0" w:color="auto"/>
              <w:left w:val="single" w:sz="12"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(LOF)</w:t>
            </w:r>
          </w:p>
        </w:tc>
        <w:tc>
          <w:tcPr>
            <w:tcW w:w="112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020" w:type="dxa"/>
            <w:tcBorders>
              <w:top w:val="nil" w:sz="6" w:space="0" w:color="auto"/>
              <w:left w:val="single" w:sz="4" w:space="0" w:color="000000"/>
              <w:bottom w:val="single" w:sz="4" w:space="0" w:color="000000"/>
              <w:right w:val="single" w:sz="4" w:space="0" w:color="000000"/>
            </w:tcBorders>
          </w:tcPr>
          <w:p>
            <w:pPr/>
          </w:p>
        </w:tc>
        <w:tc>
          <w:tcPr>
            <w:tcW w:w="4070" w:type="dxa"/>
            <w:tcBorders>
              <w:top w:val="nil" w:sz="6" w:space="0" w:color="auto"/>
              <w:left w:val="single" w:sz="4" w:space="0" w:color="000000"/>
              <w:bottom w:val="single" w:sz="4" w:space="0" w:color="000000"/>
              <w:right w:val="single" w:sz="12" w:space="0" w:color="000000"/>
            </w:tcBorders>
          </w:tcPr>
          <w:p>
            <w:pPr/>
          </w:p>
        </w:tc>
      </w:tr>
      <w:tr>
        <w:trPr>
          <w:trHeight w:val="237" w:hRule="exact"/>
        </w:trPr>
        <w:tc>
          <w:tcPr>
            <w:tcW w:w="396" w:type="dxa"/>
            <w:tcBorders>
              <w:top w:val="single" w:sz="4" w:space="0" w:color="000000"/>
              <w:left w:val="single" w:sz="12"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w:t>
            </w:r>
          </w:p>
        </w:tc>
        <w:tc>
          <w:tcPr>
            <w:tcW w:w="112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020" w:type="dxa"/>
            <w:tcBorders>
              <w:top w:val="single" w:sz="4" w:space="0" w:color="000000"/>
              <w:left w:val="single" w:sz="4" w:space="0" w:color="000000"/>
              <w:bottom w:val="nil" w:sz="6" w:space="0" w:color="auto"/>
              <w:right w:val="single" w:sz="4" w:space="0" w:color="000000"/>
            </w:tcBorders>
          </w:tcPr>
          <w:p>
            <w:pPr/>
          </w:p>
        </w:tc>
        <w:tc>
          <w:tcPr>
            <w:tcW w:w="4070" w:type="dxa"/>
            <w:tcBorders>
              <w:top w:val="single" w:sz="4" w:space="0" w:color="000000"/>
              <w:left w:val="single" w:sz="4" w:space="0" w:color="000000"/>
              <w:bottom w:val="nil" w:sz="6" w:space="0" w:color="auto"/>
              <w:right w:val="single" w:sz="12" w:space="0" w:color="000000"/>
            </w:tcBorders>
          </w:tcPr>
          <w:p>
            <w:pPr/>
          </w:p>
        </w:tc>
      </w:tr>
      <w:tr>
        <w:trPr>
          <w:trHeight w:val="231"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银行—华</w:t>
            </w: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
        </w:tc>
      </w:tr>
      <w:tr>
        <w:trPr>
          <w:trHeight w:val="473" w:hRule="exact"/>
        </w:trPr>
        <w:tc>
          <w:tcPr>
            <w:tcW w:w="396" w:type="dxa"/>
            <w:tcBorders>
              <w:top w:val="nil" w:sz="6" w:space="0" w:color="auto"/>
              <w:left w:val="single" w:sz="12" w:space="0" w:color="000000"/>
              <w:bottom w:val="nil" w:sz="6" w:space="0" w:color="auto"/>
              <w:right w:val="single" w:sz="4" w:space="0" w:color="000000"/>
            </w:tcBorders>
          </w:tcPr>
          <w:p>
            <w:pPr>
              <w:pStyle w:val="TableParagraph"/>
              <w:spacing w:line="240" w:lineRule="auto" w:before="124"/>
              <w:ind w:left="85" w:right="0"/>
              <w:jc w:val="left"/>
              <w:rPr>
                <w:rFonts w:ascii="Times New Roman" w:hAnsi="Times New Roman" w:cs="Times New Roman" w:eastAsia="Times New Roman" w:hint="default"/>
                <w:sz w:val="18"/>
                <w:szCs w:val="18"/>
              </w:rPr>
            </w:pPr>
            <w:r>
              <w:rPr>
                <w:rFonts w:ascii="Times New Roman"/>
                <w:sz w:val="18"/>
              </w:rPr>
              <w:t>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夏红利混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合型开放</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5,000,000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43"/>
              <w:jc w:val="right"/>
              <w:rPr>
                <w:rFonts w:ascii="Times New Roman" w:hAnsi="Times New Roman" w:cs="Times New Roman" w:eastAsia="Times New Roman" w:hint="default"/>
                <w:sz w:val="18"/>
                <w:szCs w:val="18"/>
              </w:rPr>
            </w:pPr>
            <w:r>
              <w:rPr>
                <w:rFonts w:ascii="Times New Roman"/>
                <w:sz w:val="18"/>
              </w:rPr>
              <w:t>5,000,000</w:t>
            </w:r>
          </w:p>
        </w:tc>
        <w:tc>
          <w:tcPr>
            <w:tcW w:w="4070" w:type="dxa"/>
            <w:tcBorders>
              <w:top w:val="nil" w:sz="6" w:space="0" w:color="auto"/>
              <w:left w:val="single" w:sz="4" w:space="0" w:color="000000"/>
              <w:bottom w:val="nil" w:sz="6" w:space="0" w:color="auto"/>
              <w:right w:val="single" w:sz="12" w:space="0" w:color="000000"/>
            </w:tcBorders>
          </w:tcPr>
          <w:p>
            <w:pPr>
              <w:pStyle w:val="TableParagraph"/>
              <w:spacing w:line="210"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日，不上市</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交易或转让</w:t>
            </w:r>
          </w:p>
        </w:tc>
      </w:tr>
      <w:tr>
        <w:trPr>
          <w:trHeight w:val="232" w:hRule="exact"/>
        </w:trPr>
        <w:tc>
          <w:tcPr>
            <w:tcW w:w="396" w:type="dxa"/>
            <w:tcBorders>
              <w:top w:val="nil" w:sz="6" w:space="0" w:color="auto"/>
              <w:left w:val="single" w:sz="12"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式证券投</w:t>
            </w:r>
          </w:p>
        </w:tc>
        <w:tc>
          <w:tcPr>
            <w:tcW w:w="112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020" w:type="dxa"/>
            <w:tcBorders>
              <w:top w:val="nil" w:sz="6" w:space="0" w:color="auto"/>
              <w:left w:val="single" w:sz="4" w:space="0" w:color="000000"/>
              <w:bottom w:val="nil" w:sz="6" w:space="0" w:color="auto"/>
              <w:right w:val="single" w:sz="4" w:space="0" w:color="000000"/>
            </w:tcBorders>
          </w:tcPr>
          <w:p>
            <w:pPr/>
          </w:p>
        </w:tc>
        <w:tc>
          <w:tcPr>
            <w:tcW w:w="4070"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396" w:type="dxa"/>
            <w:tcBorders>
              <w:top w:val="nil" w:sz="6" w:space="0" w:color="auto"/>
              <w:left w:val="single" w:sz="12" w:space="0" w:color="000000"/>
              <w:bottom w:val="single" w:sz="12" w:space="0" w:color="000000"/>
              <w:right w:val="single" w:sz="4" w:space="0" w:color="000000"/>
            </w:tcBorders>
          </w:tcPr>
          <w:p>
            <w:pPr/>
          </w:p>
        </w:tc>
        <w:tc>
          <w:tcPr>
            <w:tcW w:w="943" w:type="dxa"/>
            <w:tcBorders>
              <w:top w:val="nil" w:sz="6" w:space="0" w:color="auto"/>
              <w:left w:val="single" w:sz="4" w:space="0" w:color="000000"/>
              <w:bottom w:val="single" w:sz="12"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127" w:type="dxa"/>
            <w:tcBorders>
              <w:top w:val="nil" w:sz="6" w:space="0" w:color="auto"/>
              <w:left w:val="single" w:sz="4" w:space="0" w:color="000000"/>
              <w:bottom w:val="single" w:sz="12" w:space="0" w:color="000000"/>
              <w:right w:val="single" w:sz="4" w:space="0" w:color="000000"/>
            </w:tcBorders>
          </w:tcPr>
          <w:p>
            <w:pPr/>
          </w:p>
        </w:tc>
        <w:tc>
          <w:tcPr>
            <w:tcW w:w="1280" w:type="dxa"/>
            <w:tcBorders>
              <w:top w:val="nil" w:sz="6" w:space="0" w:color="auto"/>
              <w:left w:val="single" w:sz="4" w:space="0" w:color="000000"/>
              <w:bottom w:val="single" w:sz="12" w:space="0" w:color="000000"/>
              <w:right w:val="single" w:sz="4" w:space="0" w:color="000000"/>
            </w:tcBorders>
          </w:tcPr>
          <w:p>
            <w:pPr/>
          </w:p>
        </w:tc>
        <w:tc>
          <w:tcPr>
            <w:tcW w:w="1020" w:type="dxa"/>
            <w:tcBorders>
              <w:top w:val="nil" w:sz="6" w:space="0" w:color="auto"/>
              <w:left w:val="single" w:sz="4" w:space="0" w:color="000000"/>
              <w:bottom w:val="single" w:sz="12" w:space="0" w:color="000000"/>
              <w:right w:val="single" w:sz="4" w:space="0" w:color="000000"/>
            </w:tcBorders>
          </w:tcPr>
          <w:p>
            <w:pPr/>
          </w:p>
        </w:tc>
        <w:tc>
          <w:tcPr>
            <w:tcW w:w="4070"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826" w:footer="900" w:top="1100" w:bottom="1100" w:left="1420" w:right="1400"/>
        </w:sectPr>
      </w:pPr>
    </w:p>
    <w:p>
      <w:pPr>
        <w:pStyle w:val="BodyText"/>
        <w:tabs>
          <w:tab w:pos="7663" w:val="left" w:leader="none"/>
        </w:tabs>
        <w:spacing w:line="240" w:lineRule="auto" w:before="106"/>
        <w:ind w:left="704" w:right="0"/>
        <w:jc w:val="left"/>
        <w:rPr>
          <w:sz w:val="21"/>
          <w:szCs w:val="21"/>
        </w:rPr>
      </w:pPr>
      <w:r>
        <w:rPr/>
        <w:t>（</w:t>
      </w:r>
      <w:r>
        <w:rPr>
          <w:rFonts w:ascii="Times New Roman" w:hAnsi="Times New Roman" w:cs="Times New Roman" w:eastAsia="Times New Roman" w:hint="default"/>
        </w:rPr>
        <w:t>2</w:t>
      </w:r>
      <w:r>
        <w:rPr/>
        <w:t>）截至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日有限售条件股份可上市交易时间</w:t>
        <w:tab/>
      </w:r>
      <w:r>
        <w:rPr>
          <w:sz w:val="21"/>
          <w:szCs w:val="21"/>
        </w:rPr>
        <w:t>（单位：股）</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730"/>
        <w:gridCol w:w="1440"/>
        <w:gridCol w:w="1440"/>
        <w:gridCol w:w="1440"/>
        <w:gridCol w:w="2786"/>
      </w:tblGrid>
      <w:tr>
        <w:trPr>
          <w:trHeight w:val="722" w:hRule="exact"/>
        </w:trPr>
        <w:tc>
          <w:tcPr>
            <w:tcW w:w="17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时间</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限售期满新增</w:t>
            </w:r>
          </w:p>
          <w:p>
            <w:pPr>
              <w:pStyle w:val="TableParagraph"/>
              <w:spacing w:line="240"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可上市交易股 份数量</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65" w:right="173" w:hanging="90"/>
              <w:jc w:val="left"/>
              <w:rPr>
                <w:rFonts w:ascii="宋体" w:hAnsi="宋体" w:cs="宋体" w:eastAsia="宋体" w:hint="default"/>
                <w:sz w:val="18"/>
                <w:szCs w:val="18"/>
              </w:rPr>
            </w:pPr>
            <w:r>
              <w:rPr>
                <w:rFonts w:ascii="宋体" w:hAnsi="宋体" w:cs="宋体" w:eastAsia="宋体" w:hint="default"/>
                <w:sz w:val="18"/>
                <w:szCs w:val="18"/>
              </w:rPr>
              <w:t>有限售条件股 份数量余额</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65" w:right="173" w:hanging="90"/>
              <w:jc w:val="left"/>
              <w:rPr>
                <w:rFonts w:ascii="宋体" w:hAnsi="宋体" w:cs="宋体" w:eastAsia="宋体" w:hint="default"/>
                <w:sz w:val="18"/>
                <w:szCs w:val="18"/>
              </w:rPr>
            </w:pPr>
            <w:r>
              <w:rPr>
                <w:rFonts w:ascii="宋体" w:hAnsi="宋体" w:cs="宋体" w:eastAsia="宋体" w:hint="default"/>
                <w:sz w:val="18"/>
                <w:szCs w:val="18"/>
              </w:rPr>
              <w:t>无限售条件股 份数量余额</w:t>
            </w:r>
          </w:p>
        </w:tc>
        <w:tc>
          <w:tcPr>
            <w:tcW w:w="27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42" w:hRule="exact"/>
        </w:trPr>
        <w:tc>
          <w:tcPr>
            <w:tcW w:w="1730" w:type="dxa"/>
            <w:tcBorders>
              <w:top w:val="single" w:sz="4" w:space="0" w:color="000000"/>
              <w:left w:val="single" w:sz="12"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786" w:type="dxa"/>
            <w:tcBorders>
              <w:top w:val="single" w:sz="4" w:space="0" w:color="000000"/>
              <w:left w:val="single" w:sz="4" w:space="0" w:color="000000"/>
              <w:bottom w:val="nil" w:sz="6" w:space="0" w:color="auto"/>
              <w:right w:val="single" w:sz="12" w:space="0" w:color="000000"/>
            </w:tcBorders>
          </w:tcPr>
          <w:p>
            <w:pPr>
              <w:pStyle w:val="TableParagraph"/>
              <w:spacing w:line="219" w:lineRule="exact"/>
              <w:ind w:right="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月向证券</w:t>
            </w:r>
          </w:p>
        </w:tc>
      </w:tr>
      <w:tr>
        <w:trPr>
          <w:trHeight w:val="22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投资基金等特定投资者发行的股</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份限售期满，可上市交易；</w:t>
            </w:r>
          </w:p>
        </w:tc>
      </w:tr>
      <w:tr>
        <w:trPr>
          <w:trHeight w:val="23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21" w:lineRule="exact"/>
              <w:ind w:right="90"/>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、有限售条件股份余额中包</w:t>
            </w:r>
          </w:p>
        </w:tc>
      </w:tr>
      <w:tr>
        <w:trPr>
          <w:trHeight w:val="468" w:hRule="exact"/>
        </w:trPr>
        <w:tc>
          <w:tcPr>
            <w:tcW w:w="1730" w:type="dxa"/>
            <w:tcBorders>
              <w:top w:val="nil" w:sz="6" w:space="0" w:color="auto"/>
              <w:left w:val="single" w:sz="12" w:space="0" w:color="000000"/>
              <w:bottom w:val="nil" w:sz="6" w:space="0" w:color="auto"/>
              <w:right w:val="single" w:sz="4" w:space="0" w:color="000000"/>
            </w:tcBorders>
          </w:tcPr>
          <w:p>
            <w:pPr>
              <w:pStyle w:val="TableParagraph"/>
              <w:spacing w:line="240" w:lineRule="auto" w:before="8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64" w:right="0"/>
              <w:jc w:val="left"/>
              <w:rPr>
                <w:rFonts w:ascii="Times New Roman" w:hAnsi="Times New Roman" w:cs="Times New Roman" w:eastAsia="Times New Roman" w:hint="default"/>
                <w:sz w:val="18"/>
                <w:szCs w:val="18"/>
              </w:rPr>
            </w:pPr>
            <w:r>
              <w:rPr>
                <w:rFonts w:ascii="Times New Roman"/>
                <w:sz w:val="18"/>
              </w:rPr>
              <w:t>108,000,000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63" w:right="0"/>
              <w:jc w:val="left"/>
              <w:rPr>
                <w:rFonts w:ascii="Times New Roman" w:hAnsi="Times New Roman" w:cs="Times New Roman" w:eastAsia="Times New Roman" w:hint="default"/>
                <w:sz w:val="18"/>
                <w:szCs w:val="18"/>
              </w:rPr>
            </w:pPr>
            <w:r>
              <w:rPr>
                <w:rFonts w:ascii="Times New Roman"/>
                <w:sz w:val="18"/>
              </w:rPr>
              <w:t>895,961,520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196" w:right="0"/>
              <w:jc w:val="left"/>
              <w:rPr>
                <w:rFonts w:ascii="Times New Roman" w:hAnsi="Times New Roman" w:cs="Times New Roman" w:eastAsia="Times New Roman" w:hint="default"/>
                <w:sz w:val="18"/>
                <w:szCs w:val="18"/>
              </w:rPr>
            </w:pPr>
            <w:r>
              <w:rPr>
                <w:rFonts w:ascii="Times New Roman"/>
                <w:sz w:val="18"/>
              </w:rPr>
              <w:t>2,095,046,480</w:t>
            </w: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括：</w:t>
            </w:r>
          </w:p>
          <w:p>
            <w:pPr>
              <w:pStyle w:val="TableParagraph"/>
              <w:spacing w:line="248" w:lineRule="exact"/>
              <w:ind w:left="28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）张近东先生持有的所有公</w:t>
            </w:r>
          </w:p>
        </w:tc>
      </w:tr>
      <w:tr>
        <w:trPr>
          <w:trHeight w:val="22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司股份，该部分股份因追加股份</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限售承诺而限售；</w:t>
            </w:r>
          </w:p>
        </w:tc>
      </w:tr>
      <w:tr>
        <w:trPr>
          <w:trHeight w:val="23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21" w:lineRule="exact"/>
              <w:ind w:right="9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）金明先生持有的以“高管</w:t>
            </w:r>
          </w:p>
        </w:tc>
      </w:tr>
      <w:tr>
        <w:trPr>
          <w:trHeight w:val="236" w:hRule="exact"/>
        </w:trPr>
        <w:tc>
          <w:tcPr>
            <w:tcW w:w="1730" w:type="dxa"/>
            <w:tcBorders>
              <w:top w:val="nil" w:sz="6" w:space="0" w:color="auto"/>
              <w:left w:val="single" w:sz="12"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786" w:type="dxa"/>
            <w:tcBorders>
              <w:top w:val="nil" w:sz="6" w:space="0" w:color="auto"/>
              <w:left w:val="single" w:sz="4" w:space="0" w:color="000000"/>
              <w:bottom w:val="single" w:sz="4" w:space="0" w:color="000000"/>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股份”形式锁定的股份。</w:t>
            </w:r>
          </w:p>
        </w:tc>
      </w:tr>
      <w:tr>
        <w:trPr>
          <w:trHeight w:val="242" w:hRule="exact"/>
        </w:trPr>
        <w:tc>
          <w:tcPr>
            <w:tcW w:w="1730" w:type="dxa"/>
            <w:tcBorders>
              <w:top w:val="single" w:sz="4" w:space="0" w:color="000000"/>
              <w:left w:val="single" w:sz="12"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786" w:type="dxa"/>
            <w:tcBorders>
              <w:top w:val="single" w:sz="4" w:space="0" w:color="000000"/>
              <w:left w:val="single" w:sz="4" w:space="0" w:color="000000"/>
              <w:bottom w:val="nil" w:sz="6" w:space="0" w:color="auto"/>
              <w:right w:val="single" w:sz="12" w:space="0" w:color="000000"/>
            </w:tcBorders>
          </w:tcPr>
          <w:p>
            <w:pPr>
              <w:pStyle w:val="TableParagraph"/>
              <w:spacing w:line="219" w:lineRule="exact"/>
              <w:ind w:right="9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、张近东先生持有的所有公司</w:t>
            </w:r>
          </w:p>
        </w:tc>
      </w:tr>
      <w:tr>
        <w:trPr>
          <w:trHeight w:val="22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股份限售期满，可上市交易；但</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同时，张近东先生作为公司董事</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长，其所持有的股份还需按照国</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家相关法律法规的规定以“高管</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股份”形式锁定；</w:t>
            </w:r>
          </w:p>
        </w:tc>
      </w:tr>
      <w:tr>
        <w:trPr>
          <w:trHeight w:val="239" w:hRule="exact"/>
        </w:trPr>
        <w:tc>
          <w:tcPr>
            <w:tcW w:w="1730" w:type="dxa"/>
            <w:tcBorders>
              <w:top w:val="nil" w:sz="6" w:space="0" w:color="auto"/>
              <w:left w:val="single" w:sz="12" w:space="0" w:color="000000"/>
              <w:bottom w:val="nil" w:sz="6" w:space="0" w:color="auto"/>
              <w:right w:val="single" w:sz="4" w:space="0" w:color="000000"/>
            </w:tcBorders>
          </w:tcPr>
          <w:p>
            <w:pPr>
              <w:pStyle w:val="TableParagraph"/>
              <w:spacing w:line="221" w:lineRule="exact"/>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4" w:right="0"/>
              <w:jc w:val="left"/>
              <w:rPr>
                <w:rFonts w:ascii="Times New Roman" w:hAnsi="Times New Roman" w:cs="Times New Roman" w:eastAsia="Times New Roman" w:hint="default"/>
                <w:sz w:val="18"/>
                <w:szCs w:val="18"/>
              </w:rPr>
            </w:pPr>
            <w:r>
              <w:rPr>
                <w:rFonts w:ascii="Times New Roman"/>
                <w:sz w:val="18"/>
              </w:rPr>
              <w:t>213,960,960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3" w:right="0"/>
              <w:jc w:val="left"/>
              <w:rPr>
                <w:rFonts w:ascii="Times New Roman" w:hAnsi="Times New Roman" w:cs="Times New Roman" w:eastAsia="Times New Roman" w:hint="default"/>
                <w:sz w:val="18"/>
                <w:szCs w:val="18"/>
              </w:rPr>
            </w:pPr>
            <w:r>
              <w:rPr>
                <w:rFonts w:ascii="Times New Roman"/>
                <w:sz w:val="18"/>
              </w:rPr>
              <w:t>682,000,560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96" w:right="0"/>
              <w:jc w:val="left"/>
              <w:rPr>
                <w:rFonts w:ascii="Times New Roman" w:hAnsi="Times New Roman" w:cs="Times New Roman" w:eastAsia="Times New Roman" w:hint="default"/>
                <w:sz w:val="18"/>
                <w:szCs w:val="18"/>
              </w:rPr>
            </w:pPr>
            <w:r>
              <w:rPr>
                <w:rFonts w:ascii="Times New Roman"/>
                <w:sz w:val="18"/>
              </w:rPr>
              <w:t>2,309,007,440</w:t>
            </w: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hAnsi="宋体" w:cs="宋体" w:eastAsia="宋体" w:hint="default"/>
                <w:spacing w:val="3"/>
                <w:sz w:val="18"/>
                <w:szCs w:val="18"/>
              </w:rPr>
              <w:t>故张近东先生此次实际可上市</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交易的股份为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213,960,960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16" w:lineRule="exact"/>
              <w:ind w:right="9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、有限售条件股份余额中包括</w:t>
            </w:r>
          </w:p>
        </w:tc>
      </w:tr>
      <w:tr>
        <w:trPr>
          <w:trHeight w:val="229"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张近东先生、金明先生持有的以</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“高管股份”形式锁定的股份，</w:t>
            </w:r>
          </w:p>
        </w:tc>
      </w:tr>
      <w:tr>
        <w:trPr>
          <w:trHeight w:val="234" w:hRule="exact"/>
        </w:trPr>
        <w:tc>
          <w:tcPr>
            <w:tcW w:w="1730" w:type="dxa"/>
            <w:tcBorders>
              <w:top w:val="nil" w:sz="6" w:space="0" w:color="auto"/>
              <w:left w:val="single" w:sz="12"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786" w:type="dxa"/>
            <w:tcBorders>
              <w:top w:val="nil" w:sz="6" w:space="0" w:color="auto"/>
              <w:left w:val="single" w:sz="4" w:space="0" w:color="000000"/>
              <w:bottom w:val="nil" w:sz="6" w:space="0" w:color="auto"/>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该部分股份可上市交易的时间未</w:t>
            </w:r>
          </w:p>
        </w:tc>
      </w:tr>
      <w:tr>
        <w:trPr>
          <w:trHeight w:val="252" w:hRule="exact"/>
        </w:trPr>
        <w:tc>
          <w:tcPr>
            <w:tcW w:w="1730" w:type="dxa"/>
            <w:tcBorders>
              <w:top w:val="nil" w:sz="6" w:space="0" w:color="auto"/>
              <w:left w:val="single" w:sz="12" w:space="0" w:color="000000"/>
              <w:bottom w:val="single" w:sz="12" w:space="0" w:color="000000"/>
              <w:right w:val="single" w:sz="4" w:space="0" w:color="000000"/>
            </w:tcBorders>
          </w:tcPr>
          <w:p>
            <w:pPr/>
          </w:p>
        </w:tc>
        <w:tc>
          <w:tcPr>
            <w:tcW w:w="1440" w:type="dxa"/>
            <w:tcBorders>
              <w:top w:val="nil" w:sz="6" w:space="0" w:color="auto"/>
              <w:left w:val="single" w:sz="4" w:space="0" w:color="000000"/>
              <w:bottom w:val="single" w:sz="12" w:space="0" w:color="000000"/>
              <w:right w:val="single" w:sz="4" w:space="0" w:color="000000"/>
            </w:tcBorders>
          </w:tcPr>
          <w:p>
            <w:pPr/>
          </w:p>
        </w:tc>
        <w:tc>
          <w:tcPr>
            <w:tcW w:w="1440" w:type="dxa"/>
            <w:tcBorders>
              <w:top w:val="nil" w:sz="6" w:space="0" w:color="auto"/>
              <w:left w:val="single" w:sz="4" w:space="0" w:color="000000"/>
              <w:bottom w:val="single" w:sz="12" w:space="0" w:color="000000"/>
              <w:right w:val="single" w:sz="4" w:space="0" w:color="000000"/>
            </w:tcBorders>
          </w:tcPr>
          <w:p>
            <w:pPr/>
          </w:p>
        </w:tc>
        <w:tc>
          <w:tcPr>
            <w:tcW w:w="1440" w:type="dxa"/>
            <w:tcBorders>
              <w:top w:val="nil" w:sz="6" w:space="0" w:color="auto"/>
              <w:left w:val="single" w:sz="4" w:space="0" w:color="000000"/>
              <w:bottom w:val="single" w:sz="12" w:space="0" w:color="000000"/>
              <w:right w:val="single" w:sz="4" w:space="0" w:color="000000"/>
            </w:tcBorders>
          </w:tcPr>
          <w:p>
            <w:pPr/>
          </w:p>
        </w:tc>
        <w:tc>
          <w:tcPr>
            <w:tcW w:w="2786" w:type="dxa"/>
            <w:tcBorders>
              <w:top w:val="nil" w:sz="6" w:space="0" w:color="auto"/>
              <w:left w:val="single" w:sz="4" w:space="0" w:color="000000"/>
              <w:bottom w:val="single" w:sz="12" w:space="0" w:color="000000"/>
              <w:right w:val="single" w:sz="1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知。</w:t>
            </w:r>
          </w:p>
        </w:tc>
      </w:tr>
    </w:tbl>
    <w:p>
      <w:pPr>
        <w:spacing w:line="240" w:lineRule="auto" w:before="9"/>
        <w:rPr>
          <w:rFonts w:ascii="宋体" w:hAnsi="宋体" w:cs="宋体" w:eastAsia="宋体" w:hint="default"/>
          <w:sz w:val="26"/>
          <w:szCs w:val="26"/>
        </w:rPr>
      </w:pPr>
    </w:p>
    <w:p>
      <w:pPr>
        <w:tabs>
          <w:tab w:pos="7716" w:val="left" w:leader="none"/>
        </w:tabs>
        <w:spacing w:before="26"/>
        <w:ind w:left="703" w:right="0" w:firstLine="0"/>
        <w:jc w:val="left"/>
        <w:rPr>
          <w:rFonts w:ascii="宋体" w:hAnsi="宋体" w:cs="宋体" w:eastAsia="宋体" w:hint="default"/>
          <w:sz w:val="21"/>
          <w:szCs w:val="21"/>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）有限售条件股份变动情况表</w:t>
        <w:tab/>
      </w:r>
      <w:r>
        <w:rPr>
          <w:rFonts w:ascii="宋体" w:hAnsi="宋体" w:cs="宋体" w:eastAsia="宋体" w:hint="default"/>
          <w:spacing w:val="-5"/>
          <w:sz w:val="21"/>
          <w:szCs w:val="21"/>
        </w:rPr>
        <w:t>（单位：股）</w:t>
      </w:r>
    </w:p>
    <w:p>
      <w:pPr>
        <w:spacing w:line="240" w:lineRule="auto" w:before="5"/>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1535"/>
        <w:gridCol w:w="1026"/>
        <w:gridCol w:w="956"/>
        <w:gridCol w:w="1000"/>
        <w:gridCol w:w="1156"/>
        <w:gridCol w:w="1504"/>
        <w:gridCol w:w="1501"/>
      </w:tblGrid>
      <w:tr>
        <w:trPr>
          <w:trHeight w:val="472" w:hRule="exact"/>
        </w:trPr>
        <w:tc>
          <w:tcPr>
            <w:tcW w:w="153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0"/>
              <w:ind w:left="39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年初限售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5" w:lineRule="exact"/>
              <w:ind w:left="134"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年末限售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5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38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58"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7"/>
              <w:ind w:left="13"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320,941,440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534,902,400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855,843,840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追加股份限售承诺</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江苏苏宁电器集团</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88,725,600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88,725,600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3" w:right="0"/>
              <w:jc w:val="left"/>
              <w:rPr>
                <w:rFonts w:ascii="宋体" w:hAnsi="宋体" w:cs="宋体" w:eastAsia="宋体" w:hint="default"/>
                <w:sz w:val="18"/>
                <w:szCs w:val="18"/>
              </w:rPr>
            </w:pPr>
            <w:r>
              <w:rPr>
                <w:rFonts w:ascii="宋体" w:hAnsi="宋体" w:cs="宋体" w:eastAsia="宋体" w:hint="default"/>
                <w:sz w:val="18"/>
                <w:szCs w:val="18"/>
              </w:rPr>
              <w:t>依据股改承诺</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8"/>
              <w:ind w:left="13" w:right="0"/>
              <w:jc w:val="left"/>
              <w:rPr>
                <w:rFonts w:ascii="宋体" w:hAnsi="宋体" w:cs="宋体" w:eastAsia="宋体" w:hint="default"/>
                <w:sz w:val="18"/>
                <w:szCs w:val="18"/>
              </w:rPr>
            </w:pPr>
            <w:r>
              <w:rPr>
                <w:rFonts w:ascii="宋体" w:hAnsi="宋体" w:cs="宋体" w:eastAsia="宋体" w:hint="default"/>
                <w:sz w:val="18"/>
                <w:szCs w:val="18"/>
              </w:rPr>
              <w:t>金  明</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20,058,840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20,058,840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40,117,680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8"/>
              <w:ind w:left="13" w:right="0"/>
              <w:jc w:val="left"/>
              <w:rPr>
                <w:rFonts w:ascii="宋体" w:hAnsi="宋体" w:cs="宋体" w:eastAsia="宋体" w:hint="default"/>
                <w:sz w:val="18"/>
                <w:szCs w:val="18"/>
              </w:rPr>
            </w:pPr>
            <w:r>
              <w:rPr>
                <w:rFonts w:ascii="宋体" w:hAnsi="宋体" w:cs="宋体" w:eastAsia="宋体" w:hint="default"/>
                <w:sz w:val="18"/>
                <w:szCs w:val="18"/>
              </w:rPr>
              <w:t>蒋  勇</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26,745,120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26,745,120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离任满六个月高管</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股份解除锁定</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8"/>
              <w:ind w:left="13" w:right="0"/>
              <w:jc w:val="left"/>
              <w:rPr>
                <w:rFonts w:ascii="宋体" w:hAnsi="宋体" w:cs="宋体" w:eastAsia="宋体" w:hint="default"/>
                <w:sz w:val="18"/>
                <w:szCs w:val="18"/>
              </w:rPr>
            </w:pPr>
            <w:r>
              <w:rPr>
                <w:rFonts w:ascii="宋体" w:hAnsi="宋体" w:cs="宋体" w:eastAsia="宋体" w:hint="default"/>
                <w:sz w:val="18"/>
                <w:szCs w:val="18"/>
              </w:rPr>
              <w:t>陈世清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8,915,040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8,915,040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离任满六个月高管</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股份解除锁定</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中信证券股份有限</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10,000,000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3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广发策略优选混合</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广发大盘成长混合</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广发聚丰股票型证</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广发聚富开放式证</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6"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广发稳健增长证券</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93" w:hRule="exact"/>
        </w:trPr>
        <w:tc>
          <w:tcPr>
            <w:tcW w:w="15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8"/>
              <w:ind w:left="13"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2,400,000</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2,400,000</w:t>
            </w:r>
          </w:p>
        </w:tc>
        <w:tc>
          <w:tcPr>
            <w:tcW w:w="1504" w:type="dxa"/>
            <w:tcBorders>
              <w:top w:val="single" w:sz="4" w:space="0" w:color="000000"/>
              <w:left w:val="single" w:sz="4" w:space="0" w:color="000000"/>
              <w:bottom w:val="single" w:sz="12"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26" w:footer="900" w:top="1100" w:bottom="1100" w:left="1420" w:right="1400"/>
        </w:sect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35"/>
        <w:gridCol w:w="1026"/>
        <w:gridCol w:w="956"/>
        <w:gridCol w:w="1000"/>
        <w:gridCol w:w="1156"/>
        <w:gridCol w:w="1504"/>
        <w:gridCol w:w="1501"/>
      </w:tblGrid>
      <w:tr>
        <w:trPr>
          <w:trHeight w:val="776" w:hRule="exact"/>
        </w:trPr>
        <w:tc>
          <w:tcPr>
            <w:tcW w:w="1535" w:type="dxa"/>
            <w:tcBorders>
              <w:top w:val="single" w:sz="12" w:space="0" w:color="000000"/>
              <w:left w:val="single" w:sz="12" w:space="0" w:color="000000"/>
              <w:bottom w:val="single" w:sz="4" w:space="0" w:color="000000"/>
              <w:right w:val="single" w:sz="4" w:space="0" w:color="000000"/>
            </w:tcBorders>
          </w:tcPr>
          <w:p>
            <w:pPr>
              <w:pStyle w:val="TableParagraph"/>
              <w:spacing w:line="234" w:lineRule="exact" w:before="20"/>
              <w:ind w:left="13" w:right="-13"/>
              <w:jc w:val="left"/>
              <w:rPr>
                <w:rFonts w:ascii="宋体" w:hAnsi="宋体" w:cs="宋体" w:eastAsia="宋体" w:hint="default"/>
                <w:sz w:val="18"/>
                <w:szCs w:val="18"/>
              </w:rPr>
            </w:pPr>
            <w:r>
              <w:rPr>
                <w:rFonts w:ascii="宋体" w:hAnsi="宋体" w:cs="宋体" w:eastAsia="宋体" w:hint="default"/>
                <w:spacing w:val="5"/>
                <w:sz w:val="18"/>
                <w:szCs w:val="18"/>
              </w:rPr>
              <w:t>华夏蓝筹核心混合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型证券</w:t>
            </w:r>
            <w:r>
              <w:rPr>
                <w:rFonts w:ascii="宋体" w:hAnsi="宋体" w:cs="宋体" w:eastAsia="宋体" w:hint="default"/>
                <w:spacing w:val="-53"/>
                <w:sz w:val="18"/>
                <w:szCs w:val="18"/>
              </w:rPr>
              <w:t> </w:t>
            </w:r>
            <w:r>
              <w:rPr>
                <w:rFonts w:ascii="宋体" w:hAnsi="宋体" w:cs="宋体" w:eastAsia="宋体" w:hint="default"/>
                <w:spacing w:val="18"/>
                <w:sz w:val="18"/>
                <w:szCs w:val="18"/>
              </w:rPr>
              <w:t>投资</w:t>
            </w:r>
            <w:r>
              <w:rPr>
                <w:rFonts w:ascii="宋体" w:hAnsi="宋体" w:cs="宋体" w:eastAsia="宋体" w:hint="default"/>
                <w:spacing w:val="-53"/>
                <w:sz w:val="18"/>
                <w:szCs w:val="18"/>
              </w:rPr>
              <w:t> </w:t>
            </w:r>
            <w:r>
              <w:rPr>
                <w:rFonts w:ascii="宋体" w:hAnsi="宋体" w:cs="宋体" w:eastAsia="宋体" w:hint="default"/>
                <w:spacing w:val="18"/>
                <w:sz w:val="18"/>
                <w:szCs w:val="18"/>
              </w:rPr>
              <w:t>基金</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26" w:lineRule="exact"/>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w:t>
            </w:r>
          </w:p>
        </w:tc>
        <w:tc>
          <w:tcPr>
            <w:tcW w:w="11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w:t>
            </w:r>
          </w:p>
        </w:tc>
        <w:tc>
          <w:tcPr>
            <w:tcW w:w="1504"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before="1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华夏平稳增长混合</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华夏成长证券投资</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华夏回报证券投资</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5,200,000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5,200,000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570"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13" w:right="14"/>
              <w:jc w:val="left"/>
              <w:rPr>
                <w:rFonts w:ascii="宋体" w:hAnsi="宋体" w:cs="宋体" w:eastAsia="宋体" w:hint="default"/>
                <w:sz w:val="18"/>
                <w:szCs w:val="18"/>
              </w:rPr>
            </w:pPr>
            <w:r>
              <w:rPr>
                <w:rFonts w:ascii="宋体" w:hAnsi="宋体" w:cs="宋体" w:eastAsia="宋体" w:hint="default"/>
                <w:spacing w:val="5"/>
                <w:sz w:val="18"/>
                <w:szCs w:val="18"/>
              </w:rPr>
              <w:t>华夏红利混合型开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放式证券投资基金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华夏回报二号证券</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2,800,000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2,800,000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华夏复兴股票型证</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3,400,000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中小企业板交易型</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开放式指数基金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鹏华价值优势股票</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9,000,000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全国社保基金一零</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四组合</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13" w:right="-13"/>
              <w:jc w:val="left"/>
              <w:rPr>
                <w:rFonts w:ascii="宋体" w:hAnsi="宋体" w:cs="宋体" w:eastAsia="宋体" w:hint="default"/>
                <w:sz w:val="18"/>
                <w:szCs w:val="18"/>
              </w:rPr>
            </w:pPr>
            <w:r>
              <w:rPr>
                <w:rFonts w:ascii="宋体" w:hAnsi="宋体" w:cs="宋体" w:eastAsia="宋体" w:hint="default"/>
                <w:spacing w:val="5"/>
                <w:sz w:val="18"/>
                <w:szCs w:val="18"/>
              </w:rPr>
              <w:t>鹏华优质治理股票</w:t>
            </w:r>
            <w:r>
              <w:rPr>
                <w:rFonts w:ascii="宋体" w:hAnsi="宋体" w:cs="宋体" w:eastAsia="宋体" w:hint="default"/>
                <w:sz w:val="18"/>
                <w:szCs w:val="18"/>
              </w:rPr>
            </w:r>
          </w:p>
          <w:p>
            <w:pPr>
              <w:pStyle w:val="TableParagraph"/>
              <w:spacing w:line="234" w:lineRule="exact"/>
              <w:ind w:left="13" w:right="-13"/>
              <w:jc w:val="left"/>
              <w:rPr>
                <w:rFonts w:ascii="宋体" w:hAnsi="宋体" w:cs="宋体" w:eastAsia="宋体" w:hint="default"/>
                <w:sz w:val="18"/>
                <w:szCs w:val="18"/>
              </w:rPr>
            </w:pPr>
            <w:r>
              <w:rPr>
                <w:rFonts w:ascii="宋体" w:hAnsi="宋体" w:cs="宋体" w:eastAsia="宋体" w:hint="default"/>
                <w:spacing w:val="24"/>
                <w:sz w:val="18"/>
                <w:szCs w:val="18"/>
              </w:rPr>
              <w:t>型证券</w:t>
            </w:r>
            <w:r>
              <w:rPr>
                <w:rFonts w:ascii="宋体" w:hAnsi="宋体" w:cs="宋体" w:eastAsia="宋体" w:hint="default"/>
                <w:spacing w:val="-53"/>
                <w:sz w:val="18"/>
                <w:szCs w:val="18"/>
              </w:rPr>
              <w:t> </w:t>
            </w:r>
            <w:r>
              <w:rPr>
                <w:rFonts w:ascii="宋体" w:hAnsi="宋体" w:cs="宋体" w:eastAsia="宋体" w:hint="default"/>
                <w:spacing w:val="18"/>
                <w:sz w:val="18"/>
                <w:szCs w:val="18"/>
              </w:rPr>
              <w:t>投资</w:t>
            </w:r>
            <w:r>
              <w:rPr>
                <w:rFonts w:ascii="宋体" w:hAnsi="宋体" w:cs="宋体" w:eastAsia="宋体" w:hint="default"/>
                <w:spacing w:val="-53"/>
                <w:sz w:val="18"/>
                <w:szCs w:val="18"/>
              </w:rPr>
              <w:t> </w:t>
            </w:r>
            <w:r>
              <w:rPr>
                <w:rFonts w:ascii="宋体" w:hAnsi="宋体" w:cs="宋体" w:eastAsia="宋体" w:hint="default"/>
                <w:spacing w:val="18"/>
                <w:sz w:val="18"/>
                <w:szCs w:val="18"/>
              </w:rPr>
              <w:t>基金</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8" w:lineRule="exact"/>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78"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13" w:right="14"/>
              <w:jc w:val="both"/>
              <w:rPr>
                <w:rFonts w:ascii="宋体" w:hAnsi="宋体" w:cs="宋体" w:eastAsia="宋体" w:hint="default"/>
                <w:sz w:val="18"/>
                <w:szCs w:val="18"/>
              </w:rPr>
            </w:pPr>
            <w:r>
              <w:rPr>
                <w:rFonts w:ascii="宋体" w:hAnsi="宋体" w:cs="宋体" w:eastAsia="宋体" w:hint="default"/>
                <w:spacing w:val="5"/>
                <w:sz w:val="18"/>
                <w:szCs w:val="18"/>
              </w:rPr>
              <w:t>中国建设银行—融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通领先成长股票型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87"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left="13" w:right="14"/>
              <w:jc w:val="both"/>
              <w:rPr>
                <w:rFonts w:ascii="宋体" w:hAnsi="宋体" w:cs="宋体" w:eastAsia="宋体" w:hint="default"/>
                <w:sz w:val="18"/>
                <w:szCs w:val="18"/>
              </w:rPr>
            </w:pPr>
            <w:r>
              <w:rPr>
                <w:rFonts w:ascii="宋体" w:hAnsi="宋体" w:cs="宋体" w:eastAsia="宋体" w:hint="default"/>
                <w:spacing w:val="5"/>
                <w:sz w:val="18"/>
                <w:szCs w:val="18"/>
              </w:rPr>
              <w:t>中国工商银行—融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通动力先锋股票型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2"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融通新蓝筹证券投</w:t>
            </w:r>
            <w:r>
              <w:rPr>
                <w:rFonts w:ascii="宋体" w:hAnsi="宋体" w:cs="宋体" w:eastAsia="宋体" w:hint="default"/>
                <w:sz w:val="18"/>
                <w:szCs w:val="18"/>
              </w:rPr>
            </w:r>
          </w:p>
          <w:p>
            <w:pPr>
              <w:pStyle w:val="TableParagraph"/>
              <w:spacing w:line="235" w:lineRule="exact"/>
              <w:ind w:left="13"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46"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0"/>
              <w:ind w:left="13" w:right="14"/>
              <w:jc w:val="both"/>
              <w:rPr>
                <w:rFonts w:ascii="宋体" w:hAnsi="宋体" w:cs="宋体" w:eastAsia="宋体" w:hint="default"/>
                <w:sz w:val="18"/>
                <w:szCs w:val="18"/>
              </w:rPr>
            </w:pPr>
            <w:r>
              <w:rPr>
                <w:rFonts w:ascii="宋体" w:hAnsi="宋体" w:cs="宋体" w:eastAsia="宋体" w:hint="default"/>
                <w:spacing w:val="5"/>
                <w:sz w:val="18"/>
                <w:szCs w:val="18"/>
              </w:rPr>
              <w:t>交通银行—融通行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业景气证券投资基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4"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6"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中国工商银行—融</w:t>
            </w:r>
            <w:r>
              <w:rPr>
                <w:rFonts w:ascii="宋体" w:hAnsi="宋体" w:cs="宋体" w:eastAsia="宋体" w:hint="default"/>
                <w:sz w:val="18"/>
                <w:szCs w:val="18"/>
              </w:rPr>
            </w:r>
          </w:p>
          <w:p>
            <w:pPr>
              <w:pStyle w:val="TableParagraph"/>
              <w:spacing w:line="240" w:lineRule="auto"/>
              <w:ind w:left="13" w:right="14"/>
              <w:jc w:val="left"/>
              <w:rPr>
                <w:rFonts w:ascii="宋体" w:hAnsi="宋体" w:cs="宋体" w:eastAsia="宋体" w:hint="default"/>
                <w:sz w:val="18"/>
                <w:szCs w:val="18"/>
              </w:rPr>
            </w:pPr>
            <w:r>
              <w:rPr>
                <w:rFonts w:ascii="宋体" w:hAnsi="宋体" w:cs="宋体" w:eastAsia="宋体" w:hint="default"/>
                <w:spacing w:val="5"/>
                <w:sz w:val="18"/>
                <w:szCs w:val="18"/>
              </w:rPr>
              <w:t>通蓝筹成长证券投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资基金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64"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9"/>
              <w:ind w:left="13" w:right="14"/>
              <w:jc w:val="both"/>
              <w:rPr>
                <w:rFonts w:ascii="宋体" w:hAnsi="宋体" w:cs="宋体" w:eastAsia="宋体" w:hint="default"/>
                <w:sz w:val="18"/>
                <w:szCs w:val="18"/>
              </w:rPr>
            </w:pPr>
            <w:r>
              <w:rPr>
                <w:rFonts w:ascii="宋体" w:hAnsi="宋体" w:cs="宋体" w:eastAsia="宋体" w:hint="default"/>
                <w:spacing w:val="5"/>
                <w:sz w:val="18"/>
                <w:szCs w:val="18"/>
              </w:rPr>
              <w:t>工银瑞信稳健成长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股票型证券投资基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91" w:hRule="exact"/>
        </w:trPr>
        <w:tc>
          <w:tcPr>
            <w:tcW w:w="1535"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工银瑞信核心价值</w:t>
            </w:r>
            <w:r>
              <w:rPr>
                <w:rFonts w:ascii="宋体" w:hAnsi="宋体" w:cs="宋体" w:eastAsia="宋体" w:hint="default"/>
                <w:sz w:val="18"/>
                <w:szCs w:val="18"/>
              </w:rPr>
            </w:r>
          </w:p>
          <w:p>
            <w:pPr>
              <w:pStyle w:val="TableParagraph"/>
              <w:spacing w:line="240" w:lineRule="auto"/>
              <w:ind w:left="13" w:right="14"/>
              <w:jc w:val="left"/>
              <w:rPr>
                <w:rFonts w:ascii="宋体" w:hAnsi="宋体" w:cs="宋体" w:eastAsia="宋体" w:hint="default"/>
                <w:sz w:val="18"/>
                <w:szCs w:val="18"/>
              </w:rPr>
            </w:pPr>
            <w:r>
              <w:rPr>
                <w:rFonts w:ascii="宋体" w:hAnsi="宋体" w:cs="宋体" w:eastAsia="宋体" w:hint="default"/>
                <w:spacing w:val="5"/>
                <w:sz w:val="18"/>
                <w:szCs w:val="18"/>
              </w:rPr>
              <w:t>股票型证券投资基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5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85" w:hRule="exact"/>
        </w:trPr>
        <w:tc>
          <w:tcPr>
            <w:tcW w:w="15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5"/>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465,386,040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124,385,760</w:t>
            </w:r>
          </w:p>
        </w:tc>
        <w:tc>
          <w:tcPr>
            <w:tcW w:w="1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662,961,240</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1,003,961,520</w:t>
            </w:r>
          </w:p>
        </w:tc>
        <w:tc>
          <w:tcPr>
            <w:tcW w:w="1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5"/>
              <w:ind w:left="8"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26" w:footer="900" w:top="1100" w:bottom="1100" w:left="1500" w:right="1480"/>
        </w:sectPr>
      </w:pPr>
    </w:p>
    <w:p>
      <w:pPr>
        <w:pStyle w:val="Heading1"/>
        <w:tabs>
          <w:tab w:pos="2451" w:val="left" w:leader="none"/>
        </w:tabs>
        <w:spacing w:line="240" w:lineRule="auto"/>
        <w:ind w:left="1171" w:right="0"/>
        <w:jc w:val="left"/>
        <w:rPr>
          <w:b w:val="0"/>
          <w:bCs w:val="0"/>
        </w:rPr>
      </w:pPr>
      <w:bookmarkStart w:name="_TOC_250007" w:id="4"/>
      <w:r>
        <w:rPr>
          <w:w w:val="95"/>
        </w:rPr>
        <w:t>第四节</w:t>
        <w:tab/>
      </w:r>
      <w:r>
        <w:rPr/>
        <w:t>董事、监事、高级管理人员和员工的情况</w:t>
      </w:r>
      <w:bookmarkEnd w:id="4"/>
      <w:r>
        <w:rPr>
          <w:b w:val="0"/>
          <w:bCs w:val="0"/>
        </w:rPr>
      </w:r>
    </w:p>
    <w:p>
      <w:pPr>
        <w:pStyle w:val="BodyText"/>
        <w:spacing w:line="240" w:lineRule="auto" w:before="217"/>
        <w:ind w:left="624" w:right="0"/>
        <w:jc w:val="left"/>
      </w:pPr>
      <w:r>
        <w:rPr/>
        <w:t>一、公司董事、监事和高级管理人员情况：</w:t>
      </w:r>
    </w:p>
    <w:p>
      <w:pPr>
        <w:pStyle w:val="BodyText"/>
        <w:spacing w:line="240" w:lineRule="auto" w:before="154"/>
        <w:ind w:left="623" w:right="0"/>
        <w:jc w:val="left"/>
      </w:pPr>
      <w:r>
        <w:rPr>
          <w:rFonts w:ascii="Times New Roman" w:hAnsi="Times New Roman" w:cs="Times New Roman" w:eastAsia="Times New Roman" w:hint="default"/>
        </w:rPr>
        <w:t>1</w:t>
      </w:r>
      <w:r>
        <w:rPr/>
        <w:t>、基本情况</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878"/>
        <w:gridCol w:w="521"/>
        <w:gridCol w:w="522"/>
        <w:gridCol w:w="1340"/>
        <w:gridCol w:w="1984"/>
        <w:gridCol w:w="1004"/>
        <w:gridCol w:w="1036"/>
        <w:gridCol w:w="1367"/>
      </w:tblGrid>
      <w:tr>
        <w:trPr>
          <w:trHeight w:val="491" w:hRule="exact"/>
        </w:trPr>
        <w:tc>
          <w:tcPr>
            <w:tcW w:w="87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52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龄</w:t>
            </w:r>
          </w:p>
        </w:tc>
        <w:tc>
          <w:tcPr>
            <w:tcW w:w="522"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性</w:t>
            </w:r>
          </w:p>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别</w:t>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股份公司</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任职</w:t>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100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年末持股数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03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年初持股数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8"/>
              <w:ind w:left="133"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444"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张近东</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46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855,843,840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427,921,920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313" w:right="0" w:hanging="9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235" w:lineRule="exact"/>
              <w:ind w:left="313"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356"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孙为民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孟祥胜</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37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47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  明</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38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53,490,240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26,745,120</w:t>
            </w:r>
          </w:p>
        </w:tc>
        <w:tc>
          <w:tcPr>
            <w:tcW w:w="1367"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313" w:right="0" w:hanging="90"/>
              <w:jc w:val="left"/>
              <w:rPr>
                <w:rFonts w:ascii="宋体" w:hAnsi="宋体" w:cs="宋体" w:eastAsia="宋体" w:hint="default"/>
                <w:sz w:val="18"/>
                <w:szCs w:val="18"/>
              </w:rPr>
            </w:pPr>
            <w:r>
              <w:rPr>
                <w:rFonts w:ascii="宋体" w:hAnsi="宋体" w:cs="宋体" w:eastAsia="宋体" w:hint="default"/>
                <w:sz w:val="18"/>
                <w:szCs w:val="18"/>
              </w:rPr>
              <w:t>资本公积金</w:t>
            </w:r>
          </w:p>
          <w:p>
            <w:pPr>
              <w:pStyle w:val="TableParagraph"/>
              <w:spacing w:line="235" w:lineRule="exact"/>
              <w:ind w:left="313" w:right="0"/>
              <w:jc w:val="left"/>
              <w:rPr>
                <w:rFonts w:ascii="宋体" w:hAnsi="宋体" w:cs="宋体" w:eastAsia="宋体" w:hint="default"/>
                <w:sz w:val="18"/>
                <w:szCs w:val="18"/>
              </w:rPr>
            </w:pPr>
            <w:r>
              <w:rPr>
                <w:rFonts w:ascii="宋体" w:hAnsi="宋体" w:cs="宋体" w:eastAsia="宋体" w:hint="default"/>
                <w:sz w:val="18"/>
                <w:szCs w:val="18"/>
              </w:rPr>
              <w:t>转增股本</w:t>
            </w:r>
          </w:p>
        </w:tc>
      </w:tr>
      <w:tr>
        <w:trPr>
          <w:trHeight w:val="3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任  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32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董事、董秘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李  东</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沈坤荣</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孙剑平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56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戴新民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李建颖</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汪晓玲</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36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肖忠祥</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38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12" w:space="0" w:color="000000"/>
            </w:tcBorders>
          </w:tcPr>
          <w:p>
            <w:pPr/>
          </w:p>
        </w:tc>
      </w:tr>
      <w:tr>
        <w:trPr>
          <w:trHeight w:val="368" w:hRule="exact"/>
        </w:trPr>
        <w:tc>
          <w:tcPr>
            <w:tcW w:w="87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朱  华</w:t>
            </w:r>
          </w:p>
        </w:tc>
        <w:tc>
          <w:tcPr>
            <w:tcW w:w="5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44</w:t>
            </w:r>
          </w:p>
        </w:tc>
        <w:tc>
          <w:tcPr>
            <w:tcW w:w="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93" w:lineRule="exact"/>
        <w:ind w:left="624" w:right="0"/>
        <w:jc w:val="left"/>
      </w:pPr>
      <w:r>
        <w:rPr>
          <w:rFonts w:ascii="Times New Roman" w:hAnsi="Times New Roman" w:cs="Times New Roman" w:eastAsia="Times New Roman" w:hint="default"/>
        </w:rPr>
        <w:t>2</w:t>
      </w:r>
      <w:r>
        <w:rPr/>
        <w:t>、公司的董事、监事不存在在股东单位任职的情况。</w:t>
      </w:r>
    </w:p>
    <w:p>
      <w:pPr>
        <w:pStyle w:val="BodyText"/>
        <w:spacing w:line="338" w:lineRule="auto" w:before="135"/>
        <w:ind w:right="152" w:firstLine="480"/>
        <w:jc w:val="both"/>
      </w:pPr>
      <w:r>
        <w:rPr>
          <w:rFonts w:ascii="Times New Roman" w:hAnsi="Times New Roman" w:cs="Times New Roman" w:eastAsia="Times New Roman" w:hint="default"/>
          <w:spacing w:val="2"/>
        </w:rPr>
        <w:t>3</w:t>
      </w:r>
      <w:r>
        <w:rPr>
          <w:spacing w:val="2"/>
        </w:rPr>
        <w:t>、现任董事、监事、高级管理人员的主要工作经历和在其他单位的任职或兼</w:t>
      </w:r>
      <w:r>
        <w:rPr>
          <w:spacing w:val="3"/>
        </w:rPr>
        <w:t> </w:t>
      </w:r>
      <w:r>
        <w:rPr/>
        <w:t>职情况：</w:t>
      </w:r>
    </w:p>
    <w:p>
      <w:pPr>
        <w:pStyle w:val="BodyText"/>
        <w:spacing w:line="240" w:lineRule="auto" w:before="55"/>
        <w:ind w:left="624" w:right="0"/>
        <w:jc w:val="left"/>
      </w:pPr>
      <w:r>
        <w:rPr/>
        <w:t>（</w:t>
      </w:r>
      <w:r>
        <w:rPr>
          <w:rFonts w:ascii="Times New Roman" w:hAnsi="Times New Roman" w:cs="Times New Roman" w:eastAsia="Times New Roman" w:hint="default"/>
        </w:rPr>
        <w:t>1</w:t>
      </w:r>
      <w:r>
        <w:rPr/>
        <w:t>）董事</w:t>
      </w:r>
    </w:p>
    <w:p>
      <w:pPr>
        <w:pStyle w:val="BodyText"/>
        <w:spacing w:line="352" w:lineRule="auto" w:before="135"/>
        <w:ind w:right="156" w:firstLine="480"/>
        <w:jc w:val="both"/>
      </w:pPr>
      <w:r>
        <w:rPr/>
        <w:t>张近东先生 公司实际控制人，</w:t>
      </w:r>
      <w:r>
        <w:rPr>
          <w:rFonts w:ascii="Times New Roman" w:hAnsi="Times New Roman" w:cs="Times New Roman" w:eastAsia="Times New Roman" w:hint="default"/>
        </w:rPr>
        <w:t>46</w:t>
      </w:r>
      <w:r>
        <w:rPr>
          <w:rFonts w:ascii="Times New Roman" w:hAnsi="Times New Roman" w:cs="Times New Roman" w:eastAsia="Times New Roman" w:hint="default"/>
          <w:spacing w:val="-19"/>
        </w:rPr>
        <w:t> </w:t>
      </w:r>
      <w:r>
        <w:rPr>
          <w:spacing w:val="-4"/>
        </w:rPr>
        <w:t>岁，汉族，本科学历，曾任江苏苏宁交家电</w:t>
      </w:r>
      <w:r>
        <w:rPr>
          <w:spacing w:val="-1"/>
        </w:rPr>
        <w:t> 有限公司董事长兼总经理、中国人民政治协商会议第十届全国委员会委员、中华全</w:t>
      </w:r>
      <w:r>
        <w:rPr>
          <w:spacing w:val="-104"/>
        </w:rPr>
        <w:t> </w:t>
      </w:r>
      <w:r>
        <w:rPr>
          <w:spacing w:val="-104"/>
        </w:rPr>
      </w:r>
      <w:r>
        <w:rPr>
          <w:spacing w:val="-1"/>
        </w:rPr>
        <w:t>国工商业联合会常委，现任苏宁电器股份有限公司董事长、中国人民政治协商会议</w:t>
      </w:r>
      <w:r>
        <w:rPr>
          <w:spacing w:val="-104"/>
        </w:rPr>
        <w:t> </w:t>
      </w:r>
      <w:r>
        <w:rPr>
          <w:spacing w:val="-104"/>
        </w:rPr>
      </w:r>
      <w:r>
        <w:rPr>
          <w:spacing w:val="-1"/>
        </w:rPr>
        <w:t>第十一届全国委员会委员、中华全国工商业联合会副主席、江苏省第十一届人民代</w:t>
      </w:r>
      <w:r>
        <w:rPr>
          <w:spacing w:val="-104"/>
        </w:rPr>
        <w:t> </w:t>
      </w:r>
      <w:r>
        <w:rPr>
          <w:spacing w:val="-104"/>
        </w:rPr>
      </w:r>
      <w:r>
        <w:rPr/>
        <w:t>表大会代表。无在其他单位任职或兼职情况。</w:t>
      </w:r>
    </w:p>
    <w:p>
      <w:pPr>
        <w:pStyle w:val="BodyText"/>
        <w:spacing w:line="352" w:lineRule="auto" w:before="41"/>
        <w:ind w:right="156" w:firstLine="481"/>
        <w:jc w:val="both"/>
      </w:pPr>
      <w:r>
        <w:rPr/>
        <w:t>孙为民先生 </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spacing w:val="-3"/>
        </w:rPr>
        <w:t>岁，汉族，硕士学历，曾在南京理工大学执教，曾任苏宁交家</w:t>
      </w:r>
      <w:r>
        <w:rPr/>
        <w:t> </w:t>
      </w:r>
      <w:r>
        <w:rPr>
          <w:spacing w:val="-1"/>
        </w:rPr>
        <w:t>电（集团）有限公司副总裁，现任苏宁电器股份有限公司董事兼总裁、中国连锁经</w:t>
      </w:r>
      <w:r>
        <w:rPr>
          <w:spacing w:val="-104"/>
        </w:rPr>
        <w:t> </w:t>
      </w:r>
      <w:r>
        <w:rPr>
          <w:spacing w:val="-104"/>
        </w:rPr>
      </w:r>
      <w:r>
        <w:rPr>
          <w:spacing w:val="-1"/>
        </w:rPr>
        <w:t>营协会理事会主席、清华大学中国零售研究院专家委员、中国电子商会副会长、南</w:t>
      </w:r>
      <w:r>
        <w:rPr>
          <w:spacing w:val="-102"/>
        </w:rPr>
        <w:t> </w:t>
      </w:r>
      <w:r>
        <w:rPr>
          <w:spacing w:val="-102"/>
        </w:rPr>
      </w:r>
      <w:r>
        <w:rPr>
          <w:spacing w:val="-1"/>
        </w:rPr>
        <w:t>京市政协常务委员、南京市鼓楼区人大代表、北京苏宁电器有限公司法人代表、陕</w:t>
      </w:r>
      <w:r>
        <w:rPr>
          <w:spacing w:val="-102"/>
        </w:rPr>
        <w:t> </w:t>
      </w:r>
      <w:r>
        <w:rPr>
          <w:spacing w:val="-102"/>
        </w:rPr>
      </w:r>
      <w:r>
        <w:rPr/>
        <w:t>西苏宁电器有限责任公司法人代表、深圳市苏宁电器有限公司法人代表。</w:t>
      </w:r>
    </w:p>
    <w:p>
      <w:pPr>
        <w:pStyle w:val="BodyText"/>
        <w:spacing w:line="338" w:lineRule="auto" w:before="41"/>
        <w:ind w:right="156" w:firstLine="480"/>
        <w:jc w:val="both"/>
      </w:pPr>
      <w:r>
        <w:rPr/>
        <w:t>孟祥胜先生 </w:t>
      </w:r>
      <w:r>
        <w:rPr>
          <w:rFonts w:ascii="Times New Roman" w:hAnsi="Times New Roman" w:cs="Times New Roman" w:eastAsia="Times New Roman" w:hint="default"/>
        </w:rPr>
        <w:t>37</w:t>
      </w:r>
      <w:r>
        <w:rPr>
          <w:rFonts w:ascii="Times New Roman" w:hAnsi="Times New Roman" w:cs="Times New Roman" w:eastAsia="Times New Roman" w:hint="default"/>
          <w:spacing w:val="4"/>
        </w:rPr>
        <w:t> </w:t>
      </w:r>
      <w:r>
        <w:rPr>
          <w:spacing w:val="-4"/>
        </w:rPr>
        <w:t>岁，汉族，本科学历，曾任海尔药业浙江市场部经理、南京东</w:t>
      </w:r>
      <w:r>
        <w:rPr>
          <w:spacing w:val="-1"/>
        </w:rPr>
        <w:t> 方智业管理咨询顾问公司管理顾问，现任苏宁电器股份有限公司董事兼副总裁。无</w:t>
      </w:r>
    </w:p>
    <w:p>
      <w:pPr>
        <w:spacing w:after="0" w:line="338" w:lineRule="auto"/>
        <w:jc w:val="both"/>
        <w:sectPr>
          <w:pgSz w:w="11910" w:h="16840"/>
          <w:pgMar w:header="826" w:footer="900" w:top="1100" w:bottom="1100" w:left="1500" w:right="1480"/>
        </w:sectPr>
      </w:pPr>
    </w:p>
    <w:p>
      <w:pPr>
        <w:pStyle w:val="BodyText"/>
        <w:spacing w:line="240" w:lineRule="auto" w:before="106"/>
        <w:ind w:left="125" w:right="5719"/>
        <w:jc w:val="center"/>
      </w:pPr>
      <w:r>
        <w:rPr/>
        <w:t>在其他单位任职或兼职情况。</w:t>
      </w:r>
    </w:p>
    <w:p>
      <w:pPr>
        <w:pStyle w:val="BodyText"/>
        <w:spacing w:line="348" w:lineRule="auto" w:before="154"/>
        <w:ind w:right="236" w:firstLine="480"/>
        <w:jc w:val="both"/>
      </w:pPr>
      <w:r>
        <w:rPr/>
        <w:t>金 明先生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spacing w:val="-3"/>
        </w:rPr>
        <w:t>岁，汉族，本科学历，曾任苏宁交家电（集团）有限公司营销</w:t>
      </w:r>
      <w:r>
        <w:rPr/>
        <w:t> </w:t>
      </w:r>
      <w:r>
        <w:rPr>
          <w:spacing w:val="-1"/>
        </w:rPr>
        <w:t>管理中心总监，现任苏宁电器股份有限公司董事兼副总裁。无在其他单位任职或兼</w:t>
      </w:r>
      <w:r>
        <w:rPr>
          <w:spacing w:val="-104"/>
        </w:rPr>
        <w:t> </w:t>
      </w:r>
      <w:r>
        <w:rPr>
          <w:spacing w:val="-104"/>
        </w:rPr>
      </w:r>
      <w:r>
        <w:rPr/>
        <w:t>职情况。</w:t>
      </w:r>
    </w:p>
    <w:p>
      <w:pPr>
        <w:pStyle w:val="BodyText"/>
        <w:spacing w:line="338" w:lineRule="auto" w:before="46"/>
        <w:ind w:right="237" w:firstLine="480"/>
        <w:jc w:val="both"/>
      </w:pPr>
      <w:r>
        <w:rPr/>
        <w:t>任 峻先生 </w:t>
      </w:r>
      <w:r>
        <w:rPr>
          <w:rFonts w:ascii="Times New Roman" w:hAnsi="Times New Roman" w:cs="Times New Roman" w:eastAsia="Times New Roman" w:hint="default"/>
        </w:rPr>
        <w:t>32</w:t>
      </w:r>
      <w:r>
        <w:rPr>
          <w:rFonts w:ascii="Times New Roman" w:hAnsi="Times New Roman" w:cs="Times New Roman" w:eastAsia="Times New Roman" w:hint="default"/>
          <w:spacing w:val="4"/>
        </w:rPr>
        <w:t> </w:t>
      </w:r>
      <w:r>
        <w:rPr>
          <w:spacing w:val="-4"/>
        </w:rPr>
        <w:t>岁，汉族，本科学历，现任苏宁电器股份有限公司董事、董事</w:t>
      </w:r>
      <w:r>
        <w:rPr>
          <w:spacing w:val="-1"/>
        </w:rPr>
        <w:t> </w:t>
      </w:r>
      <w:r>
        <w:rPr/>
        <w:t>会秘书。无在其他单位任职或兼职情况。</w:t>
      </w:r>
    </w:p>
    <w:p>
      <w:pPr>
        <w:pStyle w:val="BodyText"/>
        <w:spacing w:line="348" w:lineRule="auto" w:before="55"/>
        <w:ind w:right="236" w:firstLine="480"/>
        <w:jc w:val="both"/>
      </w:pPr>
      <w:r>
        <w:rPr/>
        <w:t>李 东先生 </w:t>
      </w:r>
      <w:r>
        <w:rPr>
          <w:rFonts w:ascii="Times New Roman" w:hAnsi="Times New Roman" w:cs="Times New Roman" w:eastAsia="Times New Roman" w:hint="default"/>
        </w:rPr>
        <w:t>48</w:t>
      </w:r>
      <w:r>
        <w:rPr>
          <w:rFonts w:ascii="Times New Roman" w:hAnsi="Times New Roman" w:cs="Times New Roman" w:eastAsia="Times New Roman" w:hint="default"/>
          <w:spacing w:val="4"/>
        </w:rPr>
        <w:t> </w:t>
      </w:r>
      <w:r>
        <w:rPr>
          <w:spacing w:val="-4"/>
        </w:rPr>
        <w:t>岁，汉族，研究生学历，曾任金陵石化公司工程师，现任江苏</w:t>
      </w:r>
      <w:r>
        <w:rPr>
          <w:spacing w:val="-1"/>
        </w:rPr>
        <w:t> 省注册管理顾问师协会理事长，东南大学经济管理学院副院长、博士生导师，本公</w:t>
      </w:r>
      <w:r>
        <w:rPr>
          <w:spacing w:val="-102"/>
        </w:rPr>
        <w:t> </w:t>
      </w:r>
      <w:r>
        <w:rPr>
          <w:spacing w:val="-102"/>
        </w:rPr>
      </w:r>
      <w:r>
        <w:rPr/>
        <w:t>司董事。</w:t>
      </w:r>
    </w:p>
    <w:p>
      <w:pPr>
        <w:pStyle w:val="BodyText"/>
        <w:spacing w:line="348" w:lineRule="auto" w:before="46"/>
        <w:ind w:right="218" w:firstLine="480"/>
        <w:jc w:val="both"/>
      </w:pPr>
      <w:r>
        <w:rPr/>
        <w:t>沈坤荣先生 </w:t>
      </w:r>
      <w:r>
        <w:rPr>
          <w:rFonts w:ascii="Times New Roman" w:hAnsi="Times New Roman" w:cs="Times New Roman" w:eastAsia="Times New Roman" w:hint="default"/>
        </w:rPr>
        <w:t>46</w:t>
      </w:r>
      <w:r>
        <w:rPr>
          <w:rFonts w:ascii="Times New Roman" w:hAnsi="Times New Roman" w:cs="Times New Roman" w:eastAsia="Times New Roman" w:hint="default"/>
          <w:spacing w:val="4"/>
        </w:rPr>
        <w:t> </w:t>
      </w:r>
      <w:r>
        <w:rPr>
          <w:spacing w:val="-4"/>
        </w:rPr>
        <w:t>岁，汉族，研究生学历，曾任中国社科院博士后，南京大学经</w:t>
      </w:r>
      <w:r>
        <w:rPr>
          <w:spacing w:val="-1"/>
        </w:rPr>
        <w:t> </w:t>
      </w:r>
      <w:r>
        <w:rPr/>
        <w:t>济系教授、博导，美国斯坦福大学高级研究学者，现任南京大学经济学院副院长、</w:t>
      </w:r>
      <w:r>
        <w:rPr/>
        <w:t> 教授、博导，江苏交通经济研究会会长，本公司独立董事。</w:t>
      </w:r>
    </w:p>
    <w:p>
      <w:pPr>
        <w:pStyle w:val="BodyText"/>
        <w:tabs>
          <w:tab w:pos="2063" w:val="left" w:leader="none"/>
        </w:tabs>
        <w:spacing w:line="348" w:lineRule="auto" w:before="46"/>
        <w:ind w:right="118" w:firstLine="480"/>
        <w:jc w:val="left"/>
      </w:pPr>
      <w:r>
        <w:rPr/>
        <w:t>孙剑平先生</w:t>
        <w:tab/>
      </w:r>
      <w:r>
        <w:rPr>
          <w:rFonts w:ascii="Times New Roman" w:hAnsi="Times New Roman" w:cs="Times New Roman" w:eastAsia="Times New Roman" w:hint="default"/>
        </w:rPr>
        <w:t>56 </w:t>
      </w:r>
      <w:r>
        <w:rPr>
          <w:spacing w:val="-3"/>
        </w:rPr>
        <w:t>岁，汉族，研究生学历，曾任南京理工大学经济学系主任、人</w:t>
      </w:r>
      <w:r>
        <w:rPr/>
        <w:t> </w:t>
      </w:r>
      <w:r>
        <w:rPr>
          <w:spacing w:val="-4"/>
        </w:rPr>
        <w:t>文学院副院长，现任南京理工大学人力资源管理研究中心主任、教授、博士生导师，</w:t>
      </w:r>
      <w:r>
        <w:rPr>
          <w:spacing w:val="-113"/>
        </w:rPr>
        <w:t> </w:t>
      </w:r>
      <w:r>
        <w:rPr>
          <w:spacing w:val="-113"/>
        </w:rPr>
      </w:r>
      <w:r>
        <w:rPr/>
        <w:t>本公司独立董事。</w:t>
      </w:r>
    </w:p>
    <w:p>
      <w:pPr>
        <w:pStyle w:val="BodyText"/>
        <w:spacing w:line="338" w:lineRule="auto" w:before="46"/>
        <w:ind w:right="236" w:firstLine="480"/>
        <w:jc w:val="both"/>
      </w:pPr>
      <w:r>
        <w:rPr/>
        <w:t>戴新民先生 </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spacing w:val="-4"/>
        </w:rPr>
        <w:t>岁，汉族，本科学历，注册会计师，曾任安徽工业大学管理学</w:t>
      </w:r>
      <w:r>
        <w:rPr>
          <w:spacing w:val="-1"/>
        </w:rPr>
        <w:t> </w:t>
      </w:r>
      <w:r>
        <w:rPr/>
        <w:t>院教师，现任南京理工大学经济管理学院系会计系主任、本公司独立董事。</w:t>
      </w:r>
    </w:p>
    <w:p>
      <w:pPr>
        <w:pStyle w:val="BodyText"/>
        <w:spacing w:line="240" w:lineRule="auto" w:before="55"/>
        <w:ind w:left="623" w:right="108"/>
        <w:jc w:val="left"/>
      </w:pPr>
      <w:r>
        <w:rPr/>
        <w:t>（</w:t>
      </w:r>
      <w:r>
        <w:rPr>
          <w:rFonts w:ascii="Times New Roman" w:hAnsi="Times New Roman" w:cs="Times New Roman" w:eastAsia="Times New Roman" w:hint="default"/>
        </w:rPr>
        <w:t>2</w:t>
      </w:r>
      <w:r>
        <w:rPr/>
        <w:t>）监事</w:t>
      </w:r>
    </w:p>
    <w:p>
      <w:pPr>
        <w:pStyle w:val="BodyText"/>
        <w:tabs>
          <w:tab w:pos="2018" w:val="left" w:leader="none"/>
        </w:tabs>
        <w:spacing w:line="338" w:lineRule="auto" w:before="135"/>
        <w:ind w:right="122" w:firstLine="480"/>
        <w:jc w:val="left"/>
      </w:pPr>
      <w:r>
        <w:rPr>
          <w:spacing w:val="-7"/>
        </w:rPr>
        <w:t>李建颖女士</w:t>
        <w:tab/>
      </w:r>
      <w:r>
        <w:rPr>
          <w:rFonts w:ascii="Times New Roman" w:hAnsi="Times New Roman" w:cs="Times New Roman" w:eastAsia="Times New Roman" w:hint="default"/>
        </w:rPr>
        <w:t>40</w:t>
      </w:r>
      <w:r>
        <w:rPr>
          <w:rFonts w:ascii="Times New Roman" w:hAnsi="Times New Roman" w:cs="Times New Roman" w:eastAsia="Times New Roman" w:hint="default"/>
          <w:spacing w:val="54"/>
        </w:rPr>
        <w:t> </w:t>
      </w:r>
      <w:r>
        <w:rPr>
          <w:spacing w:val="-12"/>
        </w:rPr>
        <w:t>岁，汉族，大专学历，曾在南京市紫金无线电厂任职，现任苏宁 </w:t>
      </w:r>
      <w:r>
        <w:rPr>
          <w:spacing w:val="-16"/>
        </w:rPr>
        <w:t>电器股份有限公司结算管理中心总监，公司监事会主席。无在其他单位任职或兼职情况。</w:t>
      </w:r>
      <w:r>
        <w:rPr/>
      </w:r>
    </w:p>
    <w:p>
      <w:pPr>
        <w:pStyle w:val="BodyText"/>
        <w:tabs>
          <w:tab w:pos="2063" w:val="left" w:leader="none"/>
        </w:tabs>
        <w:spacing w:line="348" w:lineRule="auto" w:before="55"/>
        <w:ind w:right="116" w:firstLine="480"/>
        <w:jc w:val="left"/>
      </w:pPr>
      <w:r>
        <w:rPr/>
        <w:t>汪晓玲女士</w:t>
        <w:tab/>
      </w:r>
      <w:r>
        <w:rPr>
          <w:rFonts w:ascii="Times New Roman" w:hAnsi="Times New Roman" w:cs="Times New Roman" w:eastAsia="Times New Roman" w:hint="default"/>
        </w:rPr>
        <w:t>36</w:t>
      </w:r>
      <w:r>
        <w:rPr>
          <w:rFonts w:ascii="Times New Roman" w:hAnsi="Times New Roman" w:cs="Times New Roman" w:eastAsia="Times New Roman" w:hint="default"/>
          <w:spacing w:val="26"/>
        </w:rPr>
        <w:t> </w:t>
      </w:r>
      <w:r>
        <w:rPr>
          <w:spacing w:val="-8"/>
        </w:rPr>
        <w:t>岁，汉族，大学本科学历，曾任南京新闻发展公司办公室主任，</w:t>
      </w:r>
      <w:r>
        <w:rPr/>
        <w:t> 现任苏宁电器股份有限公司费用管理中心常务副总监、公司监事。无在其他单位任 职或兼职情况。</w:t>
      </w:r>
    </w:p>
    <w:p>
      <w:pPr>
        <w:pStyle w:val="BodyText"/>
        <w:spacing w:line="348" w:lineRule="auto" w:before="46"/>
        <w:ind w:right="236" w:firstLine="480"/>
        <w:jc w:val="both"/>
      </w:pPr>
      <w:r>
        <w:rPr/>
        <w:t>肖忠祥先生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spacing w:val="-4"/>
        </w:rPr>
        <w:t>岁，汉族，本科学历，曾任南京无线电八厂会计、苏宁电器股</w:t>
      </w:r>
      <w:r>
        <w:rPr>
          <w:spacing w:val="-1"/>
        </w:rPr>
        <w:t> 份有限公司财务部经理，现任公司财务管理中心副总监、公司监事。无在其他单位</w:t>
      </w:r>
      <w:r>
        <w:rPr>
          <w:spacing w:val="-102"/>
        </w:rPr>
        <w:t> </w:t>
      </w:r>
      <w:r>
        <w:rPr>
          <w:spacing w:val="-102"/>
        </w:rPr>
      </w:r>
      <w:r>
        <w:rPr/>
        <w:t>任职或兼职情况。</w:t>
      </w:r>
    </w:p>
    <w:p>
      <w:pPr>
        <w:pStyle w:val="BodyText"/>
        <w:spacing w:line="240" w:lineRule="auto" w:before="46"/>
        <w:ind w:left="623" w:right="108"/>
        <w:jc w:val="left"/>
      </w:pPr>
      <w:r>
        <w:rPr/>
        <w:t>（</w:t>
      </w:r>
      <w:r>
        <w:rPr>
          <w:rFonts w:ascii="Times New Roman" w:hAnsi="Times New Roman" w:cs="Times New Roman" w:eastAsia="Times New Roman" w:hint="default"/>
        </w:rPr>
        <w:t>3</w:t>
      </w:r>
      <w:r>
        <w:rPr/>
        <w:t>）高级管理人员</w:t>
      </w:r>
    </w:p>
    <w:p>
      <w:pPr>
        <w:pStyle w:val="BodyText"/>
        <w:spacing w:line="357" w:lineRule="auto" w:before="135"/>
        <w:ind w:left="623" w:right="3458"/>
        <w:jc w:val="both"/>
      </w:pPr>
      <w:r>
        <w:rPr/>
        <w:t>孙为民先生  总  裁</w:t>
      </w:r>
      <w:r>
        <w:rPr>
          <w:spacing w:val="-120"/>
        </w:rPr>
        <w:t>。</w:t>
      </w:r>
      <w:r>
        <w:rPr/>
        <w:t>（简历见前述董事介绍）</w:t>
      </w:r>
      <w:r>
        <w:rPr/>
        <w:t> 孟祥胜先生  副总裁</w:t>
      </w:r>
      <w:r>
        <w:rPr>
          <w:spacing w:val="-120"/>
        </w:rPr>
        <w:t>。</w:t>
      </w:r>
      <w:r>
        <w:rPr/>
        <w:t>（简历见前述董事介绍）</w:t>
      </w:r>
      <w:r>
        <w:rPr/>
        <w:t> 金  明先生  副总裁</w:t>
      </w:r>
      <w:r>
        <w:rPr>
          <w:spacing w:val="-120"/>
        </w:rPr>
        <w:t>。</w:t>
      </w:r>
      <w:r>
        <w:rPr/>
        <w:t>（简历见前述董事介绍）</w:t>
      </w:r>
    </w:p>
    <w:p>
      <w:pPr>
        <w:spacing w:after="0" w:line="357" w:lineRule="auto"/>
        <w:jc w:val="both"/>
        <w:sectPr>
          <w:pgSz w:w="11910" w:h="16840"/>
          <w:pgMar w:header="826" w:footer="900" w:top="1100" w:bottom="1100" w:left="1500" w:right="1400"/>
        </w:sectPr>
      </w:pPr>
    </w:p>
    <w:p>
      <w:pPr>
        <w:pStyle w:val="BodyText"/>
        <w:spacing w:line="338" w:lineRule="auto" w:before="106"/>
        <w:ind w:left="223" w:right="237" w:firstLine="480"/>
        <w:jc w:val="both"/>
      </w:pPr>
      <w:r>
        <w:rPr/>
        <w:t>朱 华女士 </w:t>
      </w:r>
      <w:r>
        <w:rPr>
          <w:rFonts w:ascii="Times New Roman" w:hAnsi="Times New Roman" w:cs="Times New Roman" w:eastAsia="Times New Roman" w:hint="default"/>
        </w:rPr>
        <w:t>44 </w:t>
      </w:r>
      <w:r>
        <w:rPr>
          <w:spacing w:val="-3"/>
        </w:rPr>
        <w:t>岁，汉族，大专学历，曾任中外合作乐富来实业有限公司财务</w:t>
      </w:r>
      <w:r>
        <w:rPr/>
        <w:t> 部经理，现任公司财务负责人。无在其他单位任职或兼职情况。</w:t>
      </w:r>
    </w:p>
    <w:p>
      <w:pPr>
        <w:pStyle w:val="BodyText"/>
        <w:tabs>
          <w:tab w:pos="1183" w:val="left" w:leader="none"/>
          <w:tab w:pos="2143" w:val="left" w:leader="none"/>
        </w:tabs>
        <w:spacing w:line="240" w:lineRule="auto" w:before="55"/>
        <w:ind w:left="703" w:right="2568"/>
        <w:jc w:val="left"/>
      </w:pPr>
      <w:r>
        <w:rPr/>
        <w:t>任</w:t>
        <w:tab/>
        <w:t>峻先生</w:t>
        <w:tab/>
        <w:t>董事会秘书</w:t>
      </w:r>
      <w:r>
        <w:rPr>
          <w:spacing w:val="-120"/>
        </w:rPr>
        <w:t>。</w:t>
      </w:r>
      <w:r>
        <w:rPr/>
        <w:t>（简历见前述董事介绍）</w:t>
      </w:r>
    </w:p>
    <w:p>
      <w:pPr>
        <w:pStyle w:val="BodyText"/>
        <w:spacing w:line="240" w:lineRule="auto" w:before="154"/>
        <w:ind w:left="703" w:right="2568"/>
        <w:jc w:val="left"/>
      </w:pPr>
      <w:r>
        <w:rPr>
          <w:rFonts w:ascii="Times New Roman" w:hAnsi="Times New Roman" w:cs="Times New Roman" w:eastAsia="Times New Roman" w:hint="default"/>
        </w:rPr>
        <w:t>4</w:t>
      </w:r>
      <w:r>
        <w:rPr/>
        <w:t>、年度报酬情况：</w:t>
      </w:r>
    </w:p>
    <w:p>
      <w:pPr>
        <w:pStyle w:val="BodyText"/>
        <w:spacing w:line="240" w:lineRule="auto" w:before="135"/>
        <w:ind w:left="703" w:right="2568"/>
        <w:jc w:val="left"/>
      </w:pPr>
      <w:r>
        <w:rPr/>
        <w:t>（</w:t>
      </w:r>
      <w:r>
        <w:rPr>
          <w:rFonts w:ascii="Times New Roman" w:hAnsi="Times New Roman" w:cs="Times New Roman" w:eastAsia="Times New Roman" w:hint="default"/>
        </w:rPr>
        <w:t>1</w:t>
      </w:r>
      <w:r>
        <w:rPr/>
        <w:t>）薪酬决策程序及确定依据</w:t>
      </w:r>
    </w:p>
    <w:p>
      <w:pPr>
        <w:pStyle w:val="BodyText"/>
        <w:spacing w:line="345" w:lineRule="auto" w:before="135"/>
        <w:ind w:left="223" w:right="234" w:firstLine="480"/>
        <w:jc w:val="both"/>
      </w:pPr>
      <w:r>
        <w:rPr/>
        <w:t>①公司 </w:t>
      </w:r>
      <w:r>
        <w:rPr>
          <w:rFonts w:ascii="Times New Roman" w:hAnsi="Times New Roman" w:cs="Times New Roman" w:eastAsia="Times New Roman" w:hint="default"/>
        </w:rPr>
        <w:t>2004</w:t>
      </w:r>
      <w:r>
        <w:rPr>
          <w:rFonts w:ascii="Times New Roman" w:hAnsi="Times New Roman" w:cs="Times New Roman" w:eastAsia="Times New Roman" w:hint="default"/>
          <w:spacing w:val="40"/>
        </w:rPr>
        <w:t> </w:t>
      </w:r>
      <w:r>
        <w:rPr/>
        <w:t>年年度股东大会审议通过《关于确定公司董事、监事、高级管理 </w:t>
      </w:r>
      <w:r>
        <w:rPr>
          <w:spacing w:val="-2"/>
        </w:rPr>
        <w:t>人员薪酬津贴的议案》，对张近东先生、孙为民先生、孟祥胜先生、金明先生、任</w:t>
      </w:r>
      <w:r>
        <w:rPr>
          <w:spacing w:val="-95"/>
        </w:rPr>
        <w:t> </w:t>
      </w:r>
      <w:r>
        <w:rPr>
          <w:spacing w:val="-95"/>
        </w:rPr>
      </w:r>
      <w:r>
        <w:rPr/>
        <w:t>峻先生、朱华女士、李建颖女士及公司外部董事、独立董事自 </w:t>
      </w:r>
      <w:r>
        <w:rPr>
          <w:rFonts w:ascii="Times New Roman" w:hAnsi="Times New Roman" w:cs="Times New Roman" w:eastAsia="Times New Roman" w:hint="default"/>
        </w:rPr>
        <w:t>2005</w:t>
      </w:r>
      <w:r>
        <w:rPr>
          <w:rFonts w:ascii="Times New Roman" w:hAnsi="Times New Roman" w:cs="Times New Roman" w:eastAsia="Times New Roman" w:hint="default"/>
          <w:spacing w:val="40"/>
        </w:rPr>
        <w:t> </w:t>
      </w:r>
      <w:r>
        <w:rPr/>
        <w:t>年起的薪酬及 津贴进行调整；</w:t>
      </w:r>
    </w:p>
    <w:p>
      <w:pPr>
        <w:pStyle w:val="BodyText"/>
        <w:spacing w:line="240" w:lineRule="auto" w:before="48"/>
        <w:ind w:left="703" w:right="0"/>
        <w:jc w:val="left"/>
      </w:pPr>
      <w:r>
        <w:rPr/>
        <w:t>②公司 </w:t>
      </w:r>
      <w:r>
        <w:rPr>
          <w:rFonts w:ascii="Times New Roman" w:hAnsi="Times New Roman" w:cs="Times New Roman" w:eastAsia="Times New Roman" w:hint="default"/>
        </w:rPr>
        <w:t>2005</w:t>
      </w:r>
      <w:r>
        <w:rPr>
          <w:rFonts w:ascii="Times New Roman" w:hAnsi="Times New Roman" w:cs="Times New Roman" w:eastAsia="Times New Roman" w:hint="default"/>
          <w:spacing w:val="40"/>
        </w:rPr>
        <w:t> </w:t>
      </w:r>
      <w:r>
        <w:rPr/>
        <w:t>年年度股东大会审议通过《关于调整公司部分董事、高级管理人</w:t>
      </w:r>
    </w:p>
    <w:p>
      <w:pPr>
        <w:pStyle w:val="BodyText"/>
        <w:spacing w:line="338" w:lineRule="auto" w:before="135"/>
        <w:ind w:left="223" w:right="224"/>
        <w:jc w:val="left"/>
      </w:pPr>
      <w:r>
        <w:rPr>
          <w:spacing w:val="-5"/>
        </w:rPr>
        <w:t>员薪酬的议案》，对孙为民先生、孟祥胜先生、金明先生、任峻先生自</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年起的 薪酬进行调整；</w:t>
      </w:r>
    </w:p>
    <w:p>
      <w:pPr>
        <w:pStyle w:val="BodyText"/>
        <w:spacing w:line="240" w:lineRule="auto" w:before="55"/>
        <w:ind w:left="703" w:right="0"/>
        <w:jc w:val="left"/>
      </w:pPr>
      <w:r>
        <w:rPr/>
        <w:t>③公司</w:t>
      </w:r>
      <w:r>
        <w:rPr>
          <w:spacing w:val="-60"/>
        </w:rPr>
        <w:t> </w:t>
      </w:r>
      <w:r>
        <w:rPr>
          <w:rFonts w:ascii="Times New Roman" w:hAnsi="Times New Roman" w:cs="Times New Roman" w:eastAsia="Times New Roman" w:hint="default"/>
        </w:rPr>
        <w:t>2006 </w:t>
      </w:r>
      <w:r>
        <w:rPr/>
        <w:t>年年度股东大会审议通过《关于调整公司独立董事津贴的议案</w:t>
      </w:r>
      <w:r>
        <w:rPr>
          <w:spacing w:val="-120"/>
        </w:rPr>
        <w:t>》</w:t>
      </w:r>
      <w:r>
        <w:rPr/>
        <w:t>，</w:t>
      </w:r>
    </w:p>
    <w:p>
      <w:pPr>
        <w:pStyle w:val="BodyText"/>
        <w:spacing w:line="240" w:lineRule="auto" w:before="135"/>
        <w:ind w:left="223" w:right="2568"/>
        <w:jc w:val="left"/>
      </w:pPr>
      <w:r>
        <w:rPr/>
        <w:t>对公司独立董事自</w:t>
      </w:r>
      <w:r>
        <w:rPr>
          <w:spacing w:val="-60"/>
        </w:rPr>
        <w:t> </w:t>
      </w:r>
      <w:r>
        <w:rPr>
          <w:rFonts w:ascii="Times New Roman" w:hAnsi="Times New Roman" w:cs="Times New Roman" w:eastAsia="Times New Roman" w:hint="default"/>
        </w:rPr>
        <w:t>2007 </w:t>
      </w:r>
      <w:r>
        <w:rPr/>
        <w:t>年起的独立董事津贴进行调整；</w:t>
      </w:r>
    </w:p>
    <w:p>
      <w:pPr>
        <w:pStyle w:val="BodyText"/>
        <w:spacing w:line="348" w:lineRule="auto" w:before="135"/>
        <w:ind w:left="223" w:right="234" w:firstLine="480"/>
        <w:jc w:val="both"/>
      </w:pPr>
      <w:r>
        <w:rPr/>
        <w:t>④公司 </w:t>
      </w:r>
      <w:r>
        <w:rPr>
          <w:rFonts w:ascii="Times New Roman" w:hAnsi="Times New Roman" w:cs="Times New Roman" w:eastAsia="Times New Roman" w:hint="default"/>
        </w:rPr>
        <w:t>2007</w:t>
      </w:r>
      <w:r>
        <w:rPr>
          <w:rFonts w:ascii="Times New Roman" w:hAnsi="Times New Roman" w:cs="Times New Roman" w:eastAsia="Times New Roman" w:hint="default"/>
          <w:spacing w:val="40"/>
        </w:rPr>
        <w:t> </w:t>
      </w:r>
      <w:r>
        <w:rPr/>
        <w:t>年第二次临时股东大会审议通过《关于调整公司外部董事津贴的 </w:t>
      </w:r>
      <w:r>
        <w:rPr>
          <w:spacing w:val="-2"/>
        </w:rPr>
        <w:t>议案》及《关于确定监事薪酬的议案》，对李建颖女士、汪晓玲女士及公司外部董</w:t>
      </w:r>
      <w:r>
        <w:rPr>
          <w:spacing w:val="-97"/>
        </w:rPr>
        <w:t> </w:t>
      </w:r>
      <w:r>
        <w:rPr>
          <w:spacing w:val="-97"/>
        </w:rPr>
      </w:r>
      <w:r>
        <w:rPr/>
        <w:t>事自</w:t>
      </w:r>
      <w:r>
        <w:rPr>
          <w:spacing w:val="-60"/>
        </w:rPr>
        <w:t> </w:t>
      </w:r>
      <w:r>
        <w:rPr>
          <w:rFonts w:ascii="Times New Roman" w:hAnsi="Times New Roman" w:cs="Times New Roman" w:eastAsia="Times New Roman" w:hint="default"/>
        </w:rPr>
        <w:t>2007 </w:t>
      </w:r>
      <w:r>
        <w:rPr/>
        <w:t>年起的薪酬及津贴进行调整。</w:t>
      </w:r>
    </w:p>
    <w:p>
      <w:pPr>
        <w:pStyle w:val="BodyText"/>
        <w:spacing w:line="338" w:lineRule="auto" w:before="16"/>
        <w:ind w:left="223" w:right="231" w:firstLine="480"/>
        <w:jc w:val="both"/>
      </w:pPr>
      <w:r>
        <w:rPr>
          <w:spacing w:val="2"/>
        </w:rPr>
        <w:t>（</w:t>
      </w:r>
      <w:r>
        <w:rPr>
          <w:rFonts w:ascii="Times New Roman" w:hAnsi="Times New Roman" w:cs="Times New Roman" w:eastAsia="Times New Roman" w:hint="default"/>
          <w:spacing w:val="2"/>
        </w:rPr>
        <w:t>2</w:t>
      </w:r>
      <w:r>
        <w:rPr>
          <w:spacing w:val="2"/>
        </w:rPr>
        <w:t>）报告期内，公司董事、监事、高级管理人员从公司获得的报酬（包括基</w:t>
      </w:r>
      <w:r>
        <w:rPr>
          <w:spacing w:val="3"/>
        </w:rPr>
        <w:t> </w:t>
      </w:r>
      <w:r>
        <w:rPr/>
        <w:t>本工资、各项奖金、福利、住房津贴及其他津贴）分别是：</w:t>
      </w:r>
    </w:p>
    <w:p>
      <w:pPr>
        <w:spacing w:line="240" w:lineRule="auto" w:before="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498"/>
        <w:gridCol w:w="2112"/>
        <w:gridCol w:w="1981"/>
        <w:gridCol w:w="2245"/>
      </w:tblGrid>
      <w:tr>
        <w:trPr>
          <w:trHeight w:val="458" w:hRule="exact"/>
        </w:trPr>
        <w:tc>
          <w:tcPr>
            <w:tcW w:w="249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3"/>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2112"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年度实际报酬总额</w:t>
            </w:r>
          </w:p>
          <w:p>
            <w:pPr>
              <w:pStyle w:val="TableParagraph"/>
              <w:spacing w:line="242" w:lineRule="exact"/>
              <w:ind w:left="174" w:right="0"/>
              <w:jc w:val="left"/>
              <w:rPr>
                <w:rFonts w:ascii="宋体" w:hAnsi="宋体" w:cs="宋体" w:eastAsia="宋体" w:hint="default"/>
                <w:sz w:val="18"/>
                <w:szCs w:val="18"/>
              </w:rPr>
            </w:pPr>
            <w:r>
              <w:rPr>
                <w:rFonts w:ascii="宋体" w:hAnsi="宋体" w:cs="宋体" w:eastAsia="宋体" w:hint="default"/>
                <w:sz w:val="18"/>
                <w:szCs w:val="18"/>
              </w:rPr>
              <w:t>（单位：万元，注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81"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年度实际报酬</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总额增减变动</w:t>
            </w:r>
          </w:p>
        </w:tc>
        <w:tc>
          <w:tcPr>
            <w:tcW w:w="2245" w:type="dxa"/>
            <w:tcBorders>
              <w:top w:val="single" w:sz="12" w:space="0" w:color="000000"/>
              <w:left w:val="single" w:sz="4" w:space="0" w:color="000000"/>
              <w:bottom w:val="single" w:sz="4" w:space="0" w:color="000000"/>
              <w:right w:val="single" w:sz="12"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hAnsi="宋体" w:cs="宋体" w:eastAsia="宋体" w:hint="default"/>
                <w:sz w:val="18"/>
                <w:szCs w:val="18"/>
              </w:rPr>
              <w:t>是否在股东单位或其他关</w:t>
            </w:r>
          </w:p>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联单位领取薪酬</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张近东</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150.00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孙为民</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孟祥胜</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金  明</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任  峻</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30.00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李  东</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118.34%</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沈坤荣</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118.34%</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孙剑平</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118.34%</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戴新民</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118.34%</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李建颖</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12.11%</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汪晓玲</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12.11%</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肖忠祥</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12.00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9.89%</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498" w:type="dxa"/>
            <w:tcBorders>
              <w:top w:val="single" w:sz="4" w:space="0" w:color="000000"/>
              <w:left w:val="single" w:sz="12" w:space="0" w:color="000000"/>
              <w:bottom w:val="single" w:sz="4"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朱  华</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45"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2498" w:type="dxa"/>
            <w:tcBorders>
              <w:top w:val="single" w:sz="4" w:space="0" w:color="000000"/>
              <w:left w:val="single" w:sz="12" w:space="0" w:color="000000"/>
              <w:bottom w:val="single" w:sz="12" w:space="0" w:color="000000"/>
              <w:right w:val="single" w:sz="4" w:space="0" w:color="000000"/>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sz w:val="18"/>
                <w:szCs w:val="18"/>
              </w:rPr>
              <w:t>合  计</w:t>
            </w:r>
          </w:p>
        </w:tc>
        <w:tc>
          <w:tcPr>
            <w:tcW w:w="2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452.00</w:t>
            </w:r>
          </w:p>
        </w:tc>
        <w:tc>
          <w:tcPr>
            <w:tcW w:w="1981"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3.34%</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245" w:type="dxa"/>
            <w:tcBorders>
              <w:top w:val="single" w:sz="4" w:space="0" w:color="000000"/>
              <w:left w:val="single" w:sz="4" w:space="0" w:color="000000"/>
              <w:bottom w:val="single" w:sz="12" w:space="0" w:color="000000"/>
              <w:right w:val="single" w:sz="12" w:space="0" w:color="000000"/>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57" w:lineRule="exact" w:before="0"/>
        <w:ind w:left="749" w:right="256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：上述薪酬均为税前薪酬；</w:t>
      </w:r>
    </w:p>
    <w:p>
      <w:pPr>
        <w:spacing w:before="119"/>
        <w:ind w:left="749"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1"/>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：李东先生为公司第三届董事会新任外部董事，沈坤荣先生、孙剑平先生、戴新民先</w:t>
      </w:r>
    </w:p>
    <w:p>
      <w:pPr>
        <w:spacing w:after="0"/>
        <w:jc w:val="left"/>
        <w:rPr>
          <w:rFonts w:ascii="宋体" w:hAnsi="宋体" w:cs="宋体" w:eastAsia="宋体" w:hint="default"/>
          <w:sz w:val="21"/>
          <w:szCs w:val="21"/>
        </w:rPr>
        <w:sectPr>
          <w:pgSz w:w="11910" w:h="16840"/>
          <w:pgMar w:header="826" w:footer="900" w:top="1100" w:bottom="1100" w:left="1420" w:right="1400"/>
        </w:sectPr>
      </w:pPr>
    </w:p>
    <w:p>
      <w:pPr>
        <w:spacing w:before="111"/>
        <w:ind w:left="224" w:right="0" w:firstLine="0"/>
        <w:jc w:val="left"/>
        <w:rPr>
          <w:rFonts w:ascii="宋体" w:hAnsi="宋体" w:cs="宋体" w:eastAsia="宋体" w:hint="default"/>
          <w:sz w:val="21"/>
          <w:szCs w:val="21"/>
        </w:rPr>
      </w:pPr>
      <w:r>
        <w:rPr>
          <w:rFonts w:ascii="宋体" w:hAnsi="宋体" w:cs="宋体" w:eastAsia="宋体" w:hint="default"/>
          <w:sz w:val="21"/>
          <w:szCs w:val="21"/>
        </w:rPr>
        <w:t>生为公司第三届董事会新任独立董事，上述四人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年在公司实际领取薪酬均为 </w:t>
      </w:r>
      <w:r>
        <w:rPr>
          <w:rFonts w:ascii="Times New Roman" w:hAnsi="Times New Roman" w:cs="Times New Roman" w:eastAsia="Times New Roman" w:hint="default"/>
          <w:sz w:val="21"/>
          <w:szCs w:val="21"/>
        </w:rPr>
        <w:t>2.29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万元</w:t>
      </w:r>
    </w:p>
    <w:p>
      <w:pPr>
        <w:spacing w:before="118"/>
        <w:ind w:left="224" w:right="25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z w:val="21"/>
          <w:szCs w:val="21"/>
        </w:rPr>
        <w:t>年</w:t>
      </w:r>
      <w:r>
        <w:rPr>
          <w:rFonts w:ascii="宋体" w:hAnsi="宋体" w:cs="宋体" w:eastAsia="宋体" w:hint="default"/>
          <w:spacing w:val="-2"/>
          <w:sz w:val="21"/>
          <w:szCs w:val="21"/>
        </w:rPr>
        <w:t>当</w:t>
      </w:r>
      <w:r>
        <w:rPr>
          <w:rFonts w:ascii="宋体" w:hAnsi="宋体" w:cs="宋体" w:eastAsia="宋体" w:hint="default"/>
          <w:sz w:val="21"/>
          <w:szCs w:val="21"/>
        </w:rPr>
        <w:t>年任职未满一年</w:t>
      </w:r>
      <w:r>
        <w:rPr>
          <w:rFonts w:ascii="宋体" w:hAnsi="宋体" w:cs="宋体" w:eastAsia="宋体" w:hint="default"/>
          <w:spacing w:val="-105"/>
          <w:sz w:val="21"/>
          <w:szCs w:val="21"/>
        </w:rPr>
        <w:t>）</w:t>
      </w:r>
      <w:r>
        <w:rPr>
          <w:rFonts w:ascii="宋体" w:hAnsi="宋体" w:cs="宋体" w:eastAsia="宋体" w:hint="default"/>
          <w:sz w:val="21"/>
          <w:szCs w:val="21"/>
        </w:rPr>
        <w:t>，津</w:t>
      </w:r>
      <w:r>
        <w:rPr>
          <w:rFonts w:ascii="宋体" w:hAnsi="宋体" w:cs="宋体" w:eastAsia="宋体" w:hint="default"/>
          <w:spacing w:val="-2"/>
          <w:sz w:val="21"/>
          <w:szCs w:val="21"/>
        </w:rPr>
        <w:t>贴</w:t>
      </w:r>
      <w:r>
        <w:rPr>
          <w:rFonts w:ascii="宋体" w:hAnsi="宋体" w:cs="宋体" w:eastAsia="宋体" w:hint="default"/>
          <w:sz w:val="21"/>
          <w:szCs w:val="21"/>
        </w:rPr>
        <w:t>标准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pacing w:val="-2"/>
          <w:sz w:val="21"/>
          <w:szCs w:val="21"/>
        </w:rPr>
        <w:t>年</w:t>
      </w:r>
      <w:r>
        <w:rPr>
          <w:rFonts w:ascii="宋体" w:hAnsi="宋体" w:cs="宋体" w:eastAsia="宋体" w:hint="default"/>
          <w:sz w:val="21"/>
          <w:szCs w:val="21"/>
        </w:rPr>
        <w:t>未发生变化；</w:t>
      </w:r>
    </w:p>
    <w:p>
      <w:pPr>
        <w:spacing w:line="338" w:lineRule="auto" w:before="119"/>
        <w:ind w:left="224" w:right="236" w:firstLine="525"/>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9"/>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：李建颖女士为公司第三届监事会主席，汪晓玲女士、肖忠祥先生为公司第三届监事</w:t>
      </w:r>
      <w:r>
        <w:rPr>
          <w:rFonts w:ascii="宋体" w:hAnsi="宋体" w:cs="宋体" w:eastAsia="宋体" w:hint="default"/>
          <w:sz w:val="21"/>
          <w:szCs w:val="21"/>
        </w:rPr>
        <w:t> 会监事，上述三人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年在公司实际领取薪酬分别为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13.38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8.92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10.92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万元（自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日任职之日起年薪调整），年薪标准</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年未发生变化；</w:t>
      </w:r>
    </w:p>
    <w:p>
      <w:pPr>
        <w:spacing w:line="338" w:lineRule="auto" w:before="23"/>
        <w:ind w:left="223" w:right="195" w:firstLine="525"/>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：报告期内，公司董事、监事、高级管理人员在公司实际领取薪酬总额为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 比上年同期增长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3.34%</w:t>
      </w:r>
      <w:r>
        <w:rPr>
          <w:rFonts w:ascii="宋体" w:hAnsi="宋体" w:cs="宋体" w:eastAsia="宋体" w:hint="default"/>
          <w:sz w:val="21"/>
          <w:szCs w:val="21"/>
        </w:rPr>
        <w:t>，低于公司净利润的增长水平。</w:t>
      </w:r>
    </w:p>
    <w:p>
      <w:pPr>
        <w:pStyle w:val="BodyText"/>
        <w:spacing w:line="338" w:lineRule="auto" w:before="18"/>
        <w:ind w:left="703" w:right="2241"/>
        <w:jc w:val="left"/>
      </w:pPr>
      <w:r>
        <w:rPr>
          <w:rFonts w:ascii="Times New Roman" w:hAnsi="Times New Roman" w:cs="Times New Roman" w:eastAsia="Times New Roman" w:hint="default"/>
        </w:rPr>
        <w:t>5</w:t>
      </w:r>
      <w:r>
        <w:rPr/>
        <w:t>、报告期内，公司董事、监事和高级管理人员变动情况： 本年度，公司董事、监事和高级管理人员没有变动。</w:t>
      </w:r>
    </w:p>
    <w:p>
      <w:pPr>
        <w:spacing w:line="240" w:lineRule="auto" w:before="12"/>
        <w:rPr>
          <w:rFonts w:ascii="宋体" w:hAnsi="宋体" w:cs="宋体" w:eastAsia="宋体" w:hint="default"/>
          <w:sz w:val="35"/>
          <w:szCs w:val="35"/>
        </w:rPr>
      </w:pPr>
    </w:p>
    <w:p>
      <w:pPr>
        <w:pStyle w:val="BodyText"/>
        <w:spacing w:line="240" w:lineRule="auto"/>
        <w:ind w:left="703" w:right="2568"/>
        <w:jc w:val="left"/>
      </w:pPr>
      <w:r>
        <w:rPr/>
        <w:t>二、公司员工情况：</w:t>
      </w:r>
    </w:p>
    <w:p>
      <w:pPr>
        <w:pStyle w:val="BodyText"/>
        <w:spacing w:line="240" w:lineRule="auto" w:before="154"/>
        <w:ind w:left="703" w:right="0"/>
        <w:jc w:val="left"/>
      </w:pPr>
      <w:r>
        <w:rPr/>
        <w:t>截止到</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日，公司母公司共有在册员工</w:t>
      </w:r>
      <w:r>
        <w:rPr>
          <w:spacing w:val="-60"/>
        </w:rPr>
        <w:t> </w:t>
      </w:r>
      <w:r>
        <w:rPr>
          <w:rFonts w:ascii="Times New Roman" w:hAnsi="Times New Roman" w:cs="Times New Roman" w:eastAsia="Times New Roman" w:hint="default"/>
        </w:rPr>
        <w:t>4886 </w:t>
      </w:r>
      <w:r>
        <w:rPr/>
        <w:t>名。</w:t>
      </w:r>
    </w:p>
    <w:p>
      <w:pPr>
        <w:pStyle w:val="BodyText"/>
        <w:spacing w:line="240" w:lineRule="auto" w:before="135"/>
        <w:ind w:left="703" w:right="2568"/>
        <w:jc w:val="left"/>
      </w:pPr>
      <w:r>
        <w:rPr>
          <w:rFonts w:ascii="Times New Roman" w:hAnsi="Times New Roman" w:cs="Times New Roman" w:eastAsia="Times New Roman" w:hint="default"/>
        </w:rPr>
        <w:t>1</w:t>
      </w:r>
      <w:r>
        <w:rPr/>
        <w:t>、按专业结构分：</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45"/>
        <w:gridCol w:w="2946"/>
        <w:gridCol w:w="2946"/>
      </w:tblGrid>
      <w:tr>
        <w:trPr>
          <w:trHeight w:val="359" w:hRule="exact"/>
        </w:trPr>
        <w:tc>
          <w:tcPr>
            <w:tcW w:w="294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分工</w:t>
            </w:r>
          </w:p>
        </w:tc>
        <w:tc>
          <w:tcPr>
            <w:tcW w:w="2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287"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94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left="747"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70"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采购体系人员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33" w:right="0"/>
              <w:jc w:val="left"/>
              <w:rPr>
                <w:rFonts w:ascii="Times New Roman" w:hAnsi="Times New Roman" w:cs="Times New Roman" w:eastAsia="Times New Roman" w:hint="default"/>
                <w:sz w:val="18"/>
                <w:szCs w:val="18"/>
              </w:rPr>
            </w:pPr>
            <w:r>
              <w:rPr>
                <w:rFonts w:ascii="Times New Roman"/>
                <w:sz w:val="18"/>
              </w:rPr>
              <w:t>330</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6.75%</w:t>
            </w:r>
            <w:r>
              <w:rPr>
                <w:rFonts w:ascii="Times New Roman"/>
                <w:sz w:val="18"/>
              </w:rPr>
            </w:r>
          </w:p>
        </w:tc>
      </w:tr>
      <w:tr>
        <w:trPr>
          <w:trHeight w:val="368"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销售体系人员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33" w:right="0"/>
              <w:jc w:val="left"/>
              <w:rPr>
                <w:rFonts w:ascii="Times New Roman" w:hAnsi="Times New Roman" w:cs="Times New Roman" w:eastAsia="Times New Roman" w:hint="default"/>
                <w:sz w:val="18"/>
                <w:szCs w:val="18"/>
              </w:rPr>
            </w:pPr>
            <w:r>
              <w:rPr>
                <w:rFonts w:ascii="Times New Roman"/>
                <w:sz w:val="18"/>
              </w:rPr>
              <w:t>420</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8.60%</w:t>
            </w:r>
            <w:r>
              <w:rPr>
                <w:rFonts w:ascii="Times New Roman"/>
                <w:sz w:val="18"/>
              </w:rPr>
            </w:r>
          </w:p>
        </w:tc>
      </w:tr>
      <w:tr>
        <w:trPr>
          <w:trHeight w:val="370"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财务体系人员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33" w:right="0"/>
              <w:jc w:val="left"/>
              <w:rPr>
                <w:rFonts w:ascii="Times New Roman" w:hAnsi="Times New Roman" w:cs="Times New Roman" w:eastAsia="Times New Roman" w:hint="default"/>
                <w:sz w:val="18"/>
                <w:szCs w:val="18"/>
              </w:rPr>
            </w:pPr>
            <w:r>
              <w:rPr>
                <w:rFonts w:ascii="Times New Roman"/>
                <w:sz w:val="18"/>
              </w:rPr>
              <w:t>638</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13.06%</w:t>
            </w:r>
            <w:r>
              <w:rPr>
                <w:rFonts w:ascii="Times New Roman"/>
                <w:sz w:val="18"/>
              </w:rPr>
            </w:r>
          </w:p>
        </w:tc>
      </w:tr>
      <w:tr>
        <w:trPr>
          <w:trHeight w:val="368"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职能体系人员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87" w:right="0"/>
              <w:jc w:val="left"/>
              <w:rPr>
                <w:rFonts w:ascii="Times New Roman" w:hAnsi="Times New Roman" w:cs="Times New Roman" w:eastAsia="Times New Roman" w:hint="default"/>
                <w:sz w:val="18"/>
                <w:szCs w:val="18"/>
              </w:rPr>
            </w:pPr>
            <w:r>
              <w:rPr>
                <w:rFonts w:ascii="Times New Roman"/>
                <w:sz w:val="18"/>
              </w:rPr>
              <w:t>1034</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21.16%</w:t>
            </w:r>
            <w:r>
              <w:rPr>
                <w:rFonts w:ascii="Times New Roman"/>
                <w:sz w:val="18"/>
              </w:rPr>
            </w:r>
          </w:p>
        </w:tc>
      </w:tr>
      <w:tr>
        <w:trPr>
          <w:trHeight w:val="370"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服务体系人员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33" w:right="0"/>
              <w:jc w:val="left"/>
              <w:rPr>
                <w:rFonts w:ascii="Times New Roman" w:hAnsi="Times New Roman" w:cs="Times New Roman" w:eastAsia="Times New Roman" w:hint="default"/>
                <w:sz w:val="18"/>
                <w:szCs w:val="18"/>
              </w:rPr>
            </w:pPr>
            <w:r>
              <w:rPr>
                <w:rFonts w:ascii="Times New Roman"/>
                <w:sz w:val="18"/>
              </w:rPr>
              <w:t>253</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5.18%</w:t>
            </w:r>
            <w:r>
              <w:rPr>
                <w:rFonts w:ascii="Times New Roman"/>
                <w:sz w:val="18"/>
              </w:rPr>
            </w:r>
          </w:p>
        </w:tc>
      </w:tr>
      <w:tr>
        <w:trPr>
          <w:trHeight w:val="368" w:hRule="exact"/>
        </w:trPr>
        <w:tc>
          <w:tcPr>
            <w:tcW w:w="29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终端作业人员</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91" w:right="0"/>
              <w:jc w:val="left"/>
              <w:rPr>
                <w:rFonts w:ascii="Times New Roman" w:hAnsi="Times New Roman" w:cs="Times New Roman" w:eastAsia="Times New Roman" w:hint="default"/>
                <w:sz w:val="18"/>
                <w:szCs w:val="18"/>
              </w:rPr>
            </w:pPr>
            <w:r>
              <w:rPr>
                <w:rFonts w:ascii="Times New Roman"/>
                <w:sz w:val="18"/>
              </w:rPr>
              <w:t>2211</w:t>
            </w:r>
          </w:p>
        </w:tc>
        <w:tc>
          <w:tcPr>
            <w:tcW w:w="29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45.25%</w:t>
            </w:r>
            <w:r>
              <w:rPr>
                <w:rFonts w:ascii="Times New Roman"/>
                <w:sz w:val="18"/>
              </w:rPr>
            </w:r>
          </w:p>
        </w:tc>
      </w:tr>
      <w:tr>
        <w:trPr>
          <w:trHeight w:val="380" w:hRule="exact"/>
        </w:trPr>
        <w:tc>
          <w:tcPr>
            <w:tcW w:w="294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1287" w:right="0"/>
              <w:jc w:val="left"/>
              <w:rPr>
                <w:rFonts w:ascii="Times New Roman" w:hAnsi="Times New Roman" w:cs="Times New Roman" w:eastAsia="Times New Roman" w:hint="default"/>
                <w:sz w:val="18"/>
                <w:szCs w:val="18"/>
              </w:rPr>
            </w:pPr>
            <w:r>
              <w:rPr>
                <w:rFonts w:ascii="Times New Roman"/>
                <w:sz w:val="18"/>
              </w:rPr>
              <w:t>4886</w:t>
            </w:r>
          </w:p>
        </w:tc>
        <w:tc>
          <w:tcPr>
            <w:tcW w:w="29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8"/>
        <w:rPr>
          <w:rFonts w:ascii="宋体" w:hAnsi="宋体" w:cs="宋体" w:eastAsia="宋体" w:hint="default"/>
          <w:sz w:val="26"/>
          <w:szCs w:val="26"/>
        </w:rPr>
      </w:pPr>
    </w:p>
    <w:p>
      <w:pPr>
        <w:pStyle w:val="BodyText"/>
        <w:spacing w:line="240" w:lineRule="auto" w:before="26"/>
        <w:ind w:left="704" w:right="2568"/>
        <w:jc w:val="left"/>
      </w:pPr>
      <w:r>
        <w:rPr>
          <w:rFonts w:ascii="Times New Roman" w:hAnsi="Times New Roman" w:cs="Times New Roman" w:eastAsia="Times New Roman" w:hint="default"/>
        </w:rPr>
        <w:t>2</w:t>
      </w:r>
      <w:r>
        <w:rPr/>
        <w:t>、按受教育程度分：</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88"/>
        <w:gridCol w:w="2884"/>
        <w:gridCol w:w="2965"/>
      </w:tblGrid>
      <w:tr>
        <w:trPr>
          <w:trHeight w:val="360" w:hRule="exact"/>
        </w:trPr>
        <w:tc>
          <w:tcPr>
            <w:tcW w:w="29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学历</w:t>
            </w:r>
          </w:p>
        </w:tc>
        <w:tc>
          <w:tcPr>
            <w:tcW w:w="2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25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96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left="758"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56" w:right="0"/>
              <w:jc w:val="left"/>
              <w:rPr>
                <w:rFonts w:ascii="Times New Roman" w:hAnsi="Times New Roman" w:cs="Times New Roman" w:eastAsia="Times New Roman" w:hint="default"/>
                <w:sz w:val="18"/>
                <w:szCs w:val="18"/>
              </w:rPr>
            </w:pPr>
            <w:r>
              <w:rPr>
                <w:rFonts w:ascii="Times New Roman"/>
                <w:sz w:val="18"/>
              </w:rPr>
              <w:t>1420</w:t>
            </w:r>
          </w:p>
        </w:tc>
        <w:tc>
          <w:tcPr>
            <w:tcW w:w="29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0"/>
              <w:jc w:val="right"/>
              <w:rPr>
                <w:rFonts w:ascii="Times New Roman" w:hAnsi="Times New Roman" w:cs="Times New Roman" w:eastAsia="Times New Roman" w:hint="default"/>
                <w:sz w:val="18"/>
                <w:szCs w:val="18"/>
              </w:rPr>
            </w:pPr>
            <w:r>
              <w:rPr>
                <w:rFonts w:ascii="Times New Roman"/>
                <w:w w:val="95"/>
                <w:sz w:val="18"/>
              </w:rPr>
              <w:t>29.06%</w:t>
            </w:r>
            <w:r>
              <w:rPr>
                <w:rFonts w:ascii="Times New Roman"/>
                <w:sz w:val="18"/>
              </w:rPr>
            </w:r>
          </w:p>
        </w:tc>
      </w:tr>
      <w:tr>
        <w:trPr>
          <w:trHeight w:val="370"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56" w:right="0"/>
              <w:jc w:val="left"/>
              <w:rPr>
                <w:rFonts w:ascii="Times New Roman" w:hAnsi="Times New Roman" w:cs="Times New Roman" w:eastAsia="Times New Roman" w:hint="default"/>
                <w:sz w:val="18"/>
                <w:szCs w:val="18"/>
              </w:rPr>
            </w:pPr>
            <w:r>
              <w:rPr>
                <w:rFonts w:ascii="Times New Roman"/>
                <w:sz w:val="18"/>
              </w:rPr>
              <w:t>1325</w:t>
            </w:r>
          </w:p>
        </w:tc>
        <w:tc>
          <w:tcPr>
            <w:tcW w:w="29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0"/>
              <w:jc w:val="right"/>
              <w:rPr>
                <w:rFonts w:ascii="Times New Roman" w:hAnsi="Times New Roman" w:cs="Times New Roman" w:eastAsia="Times New Roman" w:hint="default"/>
                <w:sz w:val="18"/>
                <w:szCs w:val="18"/>
              </w:rPr>
            </w:pPr>
            <w:r>
              <w:rPr>
                <w:rFonts w:ascii="Times New Roman"/>
                <w:w w:val="95"/>
                <w:sz w:val="18"/>
              </w:rPr>
              <w:t>27.12%</w:t>
            </w:r>
            <w:r>
              <w:rPr>
                <w:rFonts w:ascii="Times New Roman"/>
                <w:sz w:val="18"/>
              </w:rPr>
            </w:r>
          </w:p>
        </w:tc>
      </w:tr>
      <w:tr>
        <w:trPr>
          <w:trHeight w:val="368"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中专</w:t>
            </w:r>
            <w:r>
              <w:rPr>
                <w:rFonts w:ascii="Times New Roman" w:hAnsi="Times New Roman" w:cs="Times New Roman" w:eastAsia="Times New Roman" w:hint="default"/>
                <w:sz w:val="18"/>
                <w:szCs w:val="18"/>
              </w:rPr>
              <w:t>/</w:t>
            </w:r>
            <w:r>
              <w:rPr>
                <w:rFonts w:ascii="宋体" w:hAnsi="宋体" w:cs="宋体" w:eastAsia="宋体" w:hint="default"/>
                <w:sz w:val="18"/>
                <w:szCs w:val="18"/>
              </w:rPr>
              <w:t>高中</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56" w:right="0"/>
              <w:jc w:val="left"/>
              <w:rPr>
                <w:rFonts w:ascii="Times New Roman" w:hAnsi="Times New Roman" w:cs="Times New Roman" w:eastAsia="Times New Roman" w:hint="default"/>
                <w:sz w:val="18"/>
                <w:szCs w:val="18"/>
              </w:rPr>
            </w:pPr>
            <w:r>
              <w:rPr>
                <w:rFonts w:ascii="Times New Roman"/>
                <w:sz w:val="18"/>
              </w:rPr>
              <w:t>1496</w:t>
            </w:r>
          </w:p>
        </w:tc>
        <w:tc>
          <w:tcPr>
            <w:tcW w:w="29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0"/>
              <w:jc w:val="right"/>
              <w:rPr>
                <w:rFonts w:ascii="Times New Roman" w:hAnsi="Times New Roman" w:cs="Times New Roman" w:eastAsia="Times New Roman" w:hint="default"/>
                <w:sz w:val="18"/>
                <w:szCs w:val="18"/>
              </w:rPr>
            </w:pPr>
            <w:r>
              <w:rPr>
                <w:rFonts w:ascii="Times New Roman"/>
                <w:w w:val="95"/>
                <w:sz w:val="18"/>
              </w:rPr>
              <w:t>30.62%</w:t>
            </w:r>
            <w:r>
              <w:rPr>
                <w:rFonts w:ascii="Times New Roman"/>
                <w:sz w:val="18"/>
              </w:rPr>
            </w:r>
          </w:p>
        </w:tc>
      </w:tr>
      <w:tr>
        <w:trPr>
          <w:trHeight w:val="370" w:hRule="exact"/>
        </w:trPr>
        <w:tc>
          <w:tcPr>
            <w:tcW w:w="29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02" w:right="0"/>
              <w:jc w:val="left"/>
              <w:rPr>
                <w:rFonts w:ascii="Times New Roman" w:hAnsi="Times New Roman" w:cs="Times New Roman" w:eastAsia="Times New Roman" w:hint="default"/>
                <w:sz w:val="18"/>
                <w:szCs w:val="18"/>
              </w:rPr>
            </w:pPr>
            <w:r>
              <w:rPr>
                <w:rFonts w:ascii="Times New Roman"/>
                <w:sz w:val="18"/>
              </w:rPr>
              <w:t>645</w:t>
            </w:r>
          </w:p>
        </w:tc>
        <w:tc>
          <w:tcPr>
            <w:tcW w:w="29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0"/>
              <w:ind w:right="90"/>
              <w:jc w:val="right"/>
              <w:rPr>
                <w:rFonts w:ascii="Times New Roman" w:hAnsi="Times New Roman" w:cs="Times New Roman" w:eastAsia="Times New Roman" w:hint="default"/>
                <w:sz w:val="18"/>
                <w:szCs w:val="18"/>
              </w:rPr>
            </w:pPr>
            <w:r>
              <w:rPr>
                <w:rFonts w:ascii="Times New Roman"/>
                <w:w w:val="95"/>
                <w:sz w:val="18"/>
              </w:rPr>
              <w:t>13.20%</w:t>
            </w:r>
            <w:r>
              <w:rPr>
                <w:rFonts w:ascii="Times New Roman"/>
                <w:sz w:val="18"/>
              </w:rPr>
            </w:r>
          </w:p>
        </w:tc>
      </w:tr>
      <w:tr>
        <w:trPr>
          <w:trHeight w:val="379" w:hRule="exact"/>
        </w:trPr>
        <w:tc>
          <w:tcPr>
            <w:tcW w:w="29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1256" w:right="0"/>
              <w:jc w:val="left"/>
              <w:rPr>
                <w:rFonts w:ascii="Times New Roman" w:hAnsi="Times New Roman" w:cs="Times New Roman" w:eastAsia="Times New Roman" w:hint="default"/>
                <w:sz w:val="18"/>
                <w:szCs w:val="18"/>
              </w:rPr>
            </w:pPr>
            <w:r>
              <w:rPr>
                <w:rFonts w:ascii="Times New Roman"/>
                <w:sz w:val="18"/>
              </w:rPr>
              <w:t>4886</w:t>
            </w:r>
          </w:p>
        </w:tc>
        <w:tc>
          <w:tcPr>
            <w:tcW w:w="29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9"/>
        <w:rPr>
          <w:rFonts w:ascii="宋体" w:hAnsi="宋体" w:cs="宋体" w:eastAsia="宋体" w:hint="default"/>
          <w:sz w:val="26"/>
          <w:szCs w:val="26"/>
        </w:rPr>
      </w:pPr>
    </w:p>
    <w:p>
      <w:pPr>
        <w:pStyle w:val="BodyText"/>
        <w:spacing w:line="240" w:lineRule="auto" w:before="26"/>
        <w:ind w:left="704" w:right="2568"/>
        <w:jc w:val="left"/>
      </w:pPr>
      <w:r>
        <w:rPr>
          <w:rFonts w:ascii="Times New Roman" w:hAnsi="Times New Roman" w:cs="Times New Roman" w:eastAsia="Times New Roman" w:hint="default"/>
        </w:rPr>
        <w:t>3</w:t>
      </w:r>
      <w:r>
        <w:rPr/>
        <w:t>、公司不存在需要承担的离退休职工。</w:t>
      </w:r>
    </w:p>
    <w:p>
      <w:pPr>
        <w:spacing w:after="0" w:line="240" w:lineRule="auto"/>
        <w:jc w:val="left"/>
        <w:sectPr>
          <w:pgSz w:w="11910" w:h="16840"/>
          <w:pgMar w:header="826" w:footer="900" w:top="1100" w:bottom="1100" w:left="1420" w:right="1400"/>
        </w:sectPr>
      </w:pPr>
    </w:p>
    <w:p>
      <w:pPr>
        <w:pStyle w:val="Heading1"/>
        <w:tabs>
          <w:tab w:pos="4132" w:val="left" w:leader="none"/>
        </w:tabs>
        <w:spacing w:line="240" w:lineRule="auto"/>
        <w:ind w:right="101"/>
        <w:jc w:val="left"/>
        <w:rPr>
          <w:b w:val="0"/>
          <w:bCs w:val="0"/>
        </w:rPr>
      </w:pPr>
      <w:bookmarkStart w:name="_TOC_250006" w:id="5"/>
      <w:r>
        <w:rPr>
          <w:w w:val="95"/>
        </w:rPr>
        <w:t>第五节</w:t>
        <w:tab/>
      </w:r>
      <w:r>
        <w:rPr/>
        <w:t>公司治理结构</w:t>
      </w:r>
      <w:bookmarkEnd w:id="5"/>
      <w:r>
        <w:rPr>
          <w:b w:val="0"/>
          <w:bCs w:val="0"/>
        </w:rPr>
      </w:r>
    </w:p>
    <w:p>
      <w:pPr>
        <w:pStyle w:val="BodyText"/>
        <w:spacing w:line="357" w:lineRule="auto" w:before="217"/>
        <w:ind w:left="563" w:right="101" w:firstLine="60"/>
        <w:jc w:val="left"/>
      </w:pPr>
      <w:r>
        <w:rPr/>
        <w:t>一、公司治理情况 </w:t>
      </w:r>
      <w:r>
        <w:rPr>
          <w:spacing w:val="-13"/>
        </w:rPr>
        <w:t>报告期内，公司严格按照《公司法》、《证券法》、《上市公司治理准则》和《深</w:t>
      </w:r>
      <w:r>
        <w:rPr/>
      </w:r>
    </w:p>
    <w:p>
      <w:pPr>
        <w:pStyle w:val="BodyText"/>
        <w:spacing w:line="357" w:lineRule="auto" w:before="36"/>
        <w:ind w:right="101"/>
        <w:jc w:val="left"/>
      </w:pPr>
      <w:r>
        <w:rPr>
          <w:spacing w:val="-1"/>
        </w:rPr>
        <w:t>圳证券交易所股票上市规则》等相关法律、法规的规定，不断完善公司法人治理结</w:t>
      </w:r>
      <w:r>
        <w:rPr>
          <w:spacing w:val="-102"/>
        </w:rPr>
        <w:t> </w:t>
      </w:r>
      <w:r>
        <w:rPr>
          <w:spacing w:val="-102"/>
        </w:rPr>
      </w:r>
      <w:r>
        <w:rPr/>
        <w:t>构，健全内部控制体系，进一步实现规范运作。</w:t>
      </w:r>
    </w:p>
    <w:p>
      <w:pPr>
        <w:pStyle w:val="BodyText"/>
        <w:spacing w:line="357" w:lineRule="auto" w:before="36"/>
        <w:ind w:right="137" w:firstLine="480"/>
        <w:jc w:val="both"/>
      </w:pPr>
      <w:r>
        <w:rPr>
          <w:spacing w:val="-1"/>
        </w:rPr>
        <w:t>目前，公司整体运作比较规范、独立性强、信息披露规范，实际情况与中国证</w:t>
      </w:r>
      <w:r>
        <w:rPr/>
        <w:t> 监会有关上市公司治理的规范性文件要求基本符合。</w:t>
      </w:r>
    </w:p>
    <w:p>
      <w:pPr>
        <w:pStyle w:val="BodyText"/>
        <w:spacing w:line="348" w:lineRule="auto" w:before="36"/>
        <w:ind w:right="132" w:firstLine="480"/>
        <w:jc w:val="both"/>
      </w:pPr>
      <w:r>
        <w:rPr>
          <w:rFonts w:ascii="Times New Roman" w:hAnsi="Times New Roman" w:cs="Times New Roman" w:eastAsia="Times New Roman" w:hint="default"/>
          <w:spacing w:val="2"/>
        </w:rPr>
        <w:t>1</w:t>
      </w:r>
      <w:r>
        <w:rPr>
          <w:spacing w:val="2"/>
        </w:rPr>
        <w:t>、关于股东与股东大会：报告期内，公司严格按照《上市公司股东大会规范</w:t>
      </w:r>
      <w:r>
        <w:rPr>
          <w:spacing w:val="3"/>
        </w:rPr>
        <w:t> </w:t>
      </w:r>
      <w:r>
        <w:rPr>
          <w:spacing w:val="-1"/>
        </w:rPr>
        <w:t>意见》和《股东大会议事规则》的规定和要求，规范股东大会的召集、召开、表决</w:t>
      </w:r>
      <w:r>
        <w:rPr>
          <w:spacing w:val="-107"/>
        </w:rPr>
        <w:t> </w:t>
      </w:r>
      <w:r>
        <w:rPr>
          <w:spacing w:val="-107"/>
        </w:rPr>
      </w:r>
      <w:r>
        <w:rPr/>
        <w:t>程序，平等对待所有股东，确保股东特别是中小股东能充分行使其权利。</w:t>
      </w:r>
    </w:p>
    <w:p>
      <w:pPr>
        <w:pStyle w:val="BodyText"/>
        <w:spacing w:line="350" w:lineRule="auto" w:before="46"/>
        <w:ind w:right="132" w:firstLine="48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w:t>
      </w:r>
      <w:r>
        <w:rPr>
          <w:spacing w:val="3"/>
        </w:rPr>
        <w:t> </w:t>
      </w:r>
      <w:r>
        <w:rPr>
          <w:spacing w:val="-1"/>
        </w:rPr>
        <w:t>权利，并承担相应义务，没有超越公司股东大会直接或间接干预公司的决策和经营</w:t>
      </w:r>
      <w:r>
        <w:rPr>
          <w:spacing w:val="-104"/>
        </w:rPr>
        <w:t> </w:t>
      </w:r>
      <w:r>
        <w:rPr>
          <w:spacing w:val="-104"/>
        </w:rPr>
      </w:r>
      <w:r>
        <w:rPr>
          <w:spacing w:val="-1"/>
        </w:rPr>
        <w:t>活动。公司具有独立的经营能力和完备的供销系统，公司董事会、监事会和内部机</w:t>
      </w:r>
      <w:r>
        <w:rPr>
          <w:spacing w:val="-102"/>
        </w:rPr>
        <w:t> </w:t>
      </w:r>
      <w:r>
        <w:rPr>
          <w:spacing w:val="-102"/>
        </w:rPr>
      </w:r>
      <w:r>
        <w:rPr/>
        <w:t>构能够独立运作。</w:t>
      </w:r>
    </w:p>
    <w:p>
      <w:pPr>
        <w:pStyle w:val="BodyText"/>
        <w:spacing w:line="352" w:lineRule="auto" w:before="43"/>
        <w:ind w:right="136" w:firstLine="480"/>
        <w:jc w:val="both"/>
      </w:pPr>
      <w:r>
        <w:rPr>
          <w:rFonts w:ascii="Times New Roman" w:hAnsi="Times New Roman" w:cs="Times New Roman" w:eastAsia="Times New Roman" w:hint="default"/>
          <w:spacing w:val="-5"/>
        </w:rPr>
        <w:t>3</w:t>
      </w:r>
      <w:r>
        <w:rPr>
          <w:spacing w:val="-5"/>
        </w:rPr>
        <w:t>、关于董事和董事会：公司严格按照《公司法》、公司《章程》规定的选聘程</w:t>
      </w:r>
      <w:r>
        <w:rPr/>
        <w:t> </w:t>
      </w:r>
      <w:r>
        <w:rPr>
          <w:spacing w:val="-1"/>
        </w:rPr>
        <w:t>序选举董事，董事会的人数及结构符合法律法规和公司《章程》的要求。全体董事</w:t>
      </w:r>
      <w:r>
        <w:rPr>
          <w:spacing w:val="-104"/>
        </w:rPr>
        <w:t> </w:t>
      </w:r>
      <w:r>
        <w:rPr>
          <w:spacing w:val="-104"/>
        </w:rPr>
      </w:r>
      <w:r>
        <w:rPr>
          <w:spacing w:val="-8"/>
        </w:rPr>
        <w:t>严格按照《公司法》和公司《章程》、《董事会议事规则》的规定，规范董事会的召</w:t>
      </w:r>
      <w:r>
        <w:rPr>
          <w:spacing w:val="-84"/>
        </w:rPr>
        <w:t> </w:t>
      </w:r>
      <w:r>
        <w:rPr>
          <w:spacing w:val="-84"/>
        </w:rPr>
      </w:r>
      <w:r>
        <w:rPr>
          <w:spacing w:val="-1"/>
        </w:rPr>
        <w:t>集、召开和表决；认真出席董事会和股东大会，积极参加对相关知识的培训，熟悉</w:t>
      </w:r>
      <w:r>
        <w:rPr>
          <w:spacing w:val="-104"/>
        </w:rPr>
        <w:t> </w:t>
      </w:r>
      <w:r>
        <w:rPr>
          <w:spacing w:val="-104"/>
        </w:rPr>
      </w:r>
      <w:r>
        <w:rPr/>
        <w:t>有关法律法规，勤勉尽责。</w:t>
      </w:r>
    </w:p>
    <w:p>
      <w:pPr>
        <w:pStyle w:val="BodyText"/>
        <w:spacing w:line="352" w:lineRule="auto" w:before="41"/>
        <w:ind w:right="136" w:firstLine="480"/>
        <w:jc w:val="both"/>
      </w:pPr>
      <w:r>
        <w:rPr>
          <w:rFonts w:ascii="Times New Roman" w:hAnsi="Times New Roman" w:cs="Times New Roman" w:eastAsia="Times New Roman" w:hint="default"/>
          <w:spacing w:val="-5"/>
        </w:rPr>
        <w:t>4</w:t>
      </w:r>
      <w:r>
        <w:rPr>
          <w:spacing w:val="-5"/>
        </w:rPr>
        <w:t>、关于监事和监事会：公司严格按照《公司法》、公司《章程》的规定选举产</w:t>
      </w:r>
      <w:r>
        <w:rPr/>
        <w:t> </w:t>
      </w:r>
      <w:r>
        <w:rPr>
          <w:spacing w:val="-1"/>
        </w:rPr>
        <w:t>生监事，监事会的人数及结构符合法律法规和公司《章程》的要求。监事会严格按</w:t>
      </w:r>
      <w:r>
        <w:rPr>
          <w:spacing w:val="-104"/>
        </w:rPr>
        <w:t> </w:t>
      </w:r>
      <w:r>
        <w:rPr>
          <w:spacing w:val="-104"/>
        </w:rPr>
      </w:r>
      <w:r>
        <w:rPr>
          <w:spacing w:val="-8"/>
        </w:rPr>
        <w:t>照公司《章程》、《监事会议事规则》的规定，规范监事会的召集、召开和表决，公</w:t>
      </w:r>
      <w:r>
        <w:rPr>
          <w:spacing w:val="-84"/>
        </w:rPr>
        <w:t> </w:t>
      </w:r>
      <w:r>
        <w:rPr>
          <w:spacing w:val="-84"/>
        </w:rPr>
      </w:r>
      <w:r>
        <w:rPr>
          <w:spacing w:val="-1"/>
        </w:rPr>
        <w:t>司监事认真履行职责，诚信、勤勉、尽责地对公司财务以及董事、高级管理人员履</w:t>
      </w:r>
      <w:r>
        <w:rPr>
          <w:spacing w:val="-104"/>
        </w:rPr>
        <w:t> </w:t>
      </w:r>
      <w:r>
        <w:rPr>
          <w:spacing w:val="-104"/>
        </w:rPr>
      </w:r>
      <w:r>
        <w:rPr/>
        <w:t>行职责的合法、合规性进行监督，维护公司及股东的合法权益。</w:t>
      </w:r>
    </w:p>
    <w:p>
      <w:pPr>
        <w:pStyle w:val="BodyText"/>
        <w:spacing w:line="348" w:lineRule="auto" w:before="41"/>
        <w:ind w:right="118" w:firstLine="48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w:t>
      </w:r>
      <w:r>
        <w:rPr>
          <w:spacing w:val="3"/>
        </w:rPr>
        <w:t> </w:t>
      </w:r>
      <w:r>
        <w:rPr/>
        <w:t>监事和高级管理人员的绩效评价标准和激励约束机制，公司高管人员的聘任公开、</w:t>
      </w:r>
      <w:r>
        <w:rPr/>
        <w:t> 透明，符合法律法规的规定。</w:t>
      </w:r>
    </w:p>
    <w:p>
      <w:pPr>
        <w:pStyle w:val="BodyText"/>
        <w:spacing w:line="348" w:lineRule="auto" w:before="46"/>
        <w:ind w:right="132" w:firstLine="48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w:t>
      </w:r>
      <w:r>
        <w:rPr>
          <w:spacing w:val="3"/>
        </w:rPr>
        <w:t> </w:t>
      </w:r>
      <w:r>
        <w:rPr>
          <w:spacing w:val="-1"/>
        </w:rPr>
        <w:t>与相关利益者合作，加强与各方的沟通和交流，实现股东、员工、社会等各方利益</w:t>
      </w:r>
      <w:r>
        <w:rPr>
          <w:spacing w:val="-104"/>
        </w:rPr>
        <w:t> </w:t>
      </w:r>
      <w:r>
        <w:rPr>
          <w:spacing w:val="-104"/>
        </w:rPr>
      </w:r>
      <w:r>
        <w:rPr/>
        <w:t>的均衡，以推动公司持续、稳定、健康地发展。</w:t>
      </w:r>
    </w:p>
    <w:p>
      <w:pPr>
        <w:spacing w:after="0" w:line="348" w:lineRule="auto"/>
        <w:jc w:val="both"/>
        <w:sectPr>
          <w:pgSz w:w="11910" w:h="16840"/>
          <w:pgMar w:header="826" w:footer="900" w:top="1100" w:bottom="1100" w:left="1500" w:right="1500"/>
        </w:sectPr>
      </w:pPr>
    </w:p>
    <w:p>
      <w:pPr>
        <w:pStyle w:val="BodyText"/>
        <w:spacing w:line="355" w:lineRule="auto" w:before="106"/>
        <w:ind w:left="144" w:right="264" w:firstLine="480"/>
        <w:jc w:val="both"/>
      </w:pPr>
      <w:r>
        <w:rPr>
          <w:rFonts w:ascii="Times New Roman" w:hAnsi="Times New Roman" w:cs="Times New Roman" w:eastAsia="Times New Roman" w:hint="default"/>
        </w:rPr>
        <w:t>7</w:t>
      </w:r>
      <w:r>
        <w:rPr/>
        <w:t>、关于信息披露与透明度：公司严格按照《信息披露管理制度》和《投资者</w:t>
      </w:r>
      <w:r>
        <w:rPr>
          <w:spacing w:val="2"/>
        </w:rPr>
        <w:t> </w:t>
      </w:r>
      <w:r>
        <w:rPr>
          <w:spacing w:val="-2"/>
        </w:rPr>
        <w:t>关系管理制度》的要求，指定公司董事会秘书负责信息披露工作、接待股东来访和</w:t>
      </w:r>
      <w:r>
        <w:rPr>
          <w:spacing w:val="-99"/>
        </w:rPr>
        <w:t> </w:t>
      </w:r>
      <w:r>
        <w:rPr>
          <w:spacing w:val="-99"/>
        </w:rPr>
      </w:r>
      <w:r>
        <w:rPr>
          <w:spacing w:val="-2"/>
        </w:rPr>
        <w:t>咨询，严格按照有关规定真实、准确、完整、及时地披露有关信息，确保公司所有</w:t>
      </w:r>
      <w:r>
        <w:rPr>
          <w:spacing w:val="-99"/>
        </w:rPr>
        <w:t> </w:t>
      </w:r>
      <w:r>
        <w:rPr>
          <w:spacing w:val="-99"/>
        </w:rPr>
      </w:r>
      <w:r>
        <w:rPr>
          <w:spacing w:val="-2"/>
        </w:rPr>
        <w:t>股东能够以平等的机会获得信息。同时，公司还将进一步加强与深圳证券交易所的</w:t>
      </w:r>
      <w:r>
        <w:rPr>
          <w:spacing w:val="-100"/>
        </w:rPr>
        <w:t> </w:t>
      </w:r>
      <w:r>
        <w:rPr>
          <w:spacing w:val="-100"/>
        </w:rPr>
      </w:r>
      <w:r>
        <w:rPr>
          <w:spacing w:val="-2"/>
        </w:rPr>
        <w:t>经常性联系和沟通，及时、主动地报告公司的有关事项，从而准确地理解信息披露</w:t>
      </w:r>
      <w:r>
        <w:rPr>
          <w:spacing w:val="-99"/>
        </w:rPr>
        <w:t> </w:t>
      </w:r>
      <w:r>
        <w:rPr>
          <w:spacing w:val="-99"/>
        </w:rPr>
      </w:r>
      <w:r>
        <w:rPr>
          <w:spacing w:val="-2"/>
        </w:rPr>
        <w:t>的规范要求，并不断适应新的披露要求，使公司透明度和信息披露的质量进一步提</w:t>
      </w:r>
      <w:r>
        <w:rPr>
          <w:spacing w:val="-100"/>
        </w:rPr>
        <w:t> </w:t>
      </w:r>
      <w:r>
        <w:rPr>
          <w:spacing w:val="-100"/>
        </w:rPr>
      </w:r>
      <w:r>
        <w:rPr/>
        <w:t>高。</w:t>
      </w:r>
    </w:p>
    <w:p>
      <w:pPr>
        <w:spacing w:line="240" w:lineRule="auto" w:before="8"/>
        <w:rPr>
          <w:rFonts w:ascii="宋体" w:hAnsi="宋体" w:cs="宋体" w:eastAsia="宋体" w:hint="default"/>
          <w:sz w:val="34"/>
          <w:szCs w:val="34"/>
        </w:rPr>
      </w:pPr>
    </w:p>
    <w:p>
      <w:pPr>
        <w:pStyle w:val="BodyText"/>
        <w:spacing w:line="240" w:lineRule="auto"/>
        <w:ind w:left="624" w:right="108"/>
        <w:jc w:val="left"/>
      </w:pPr>
      <w:r>
        <w:rPr/>
        <w:t>二、公司董事长、独立董事及其他董事履行职责情况</w:t>
      </w:r>
    </w:p>
    <w:p>
      <w:pPr>
        <w:pStyle w:val="BodyText"/>
        <w:spacing w:line="352" w:lineRule="auto" w:before="154"/>
        <w:ind w:left="144" w:right="236" w:firstLine="480"/>
        <w:jc w:val="both"/>
      </w:pPr>
      <w:r>
        <w:rPr>
          <w:rFonts w:ascii="Times New Roman" w:hAnsi="Times New Roman" w:cs="Times New Roman" w:eastAsia="Times New Roman" w:hint="default"/>
          <w:spacing w:val="-5"/>
        </w:rPr>
        <w:t>1</w:t>
      </w:r>
      <w:r>
        <w:rPr>
          <w:spacing w:val="-5"/>
        </w:rPr>
        <w:t>、报告期内，公司全体董事严格按照《公司法》、《深圳证券交易所中小企业</w:t>
      </w:r>
      <w:r>
        <w:rPr>
          <w:spacing w:val="2"/>
        </w:rPr>
        <w:t> </w:t>
      </w:r>
      <w:r>
        <w:rPr>
          <w:spacing w:val="-1"/>
        </w:rPr>
        <w:t>板块上市公司董事行为指引》及公司《章程》的规定和要求，履行董事职责，遵守</w:t>
      </w:r>
      <w:r>
        <w:rPr>
          <w:spacing w:val="-104"/>
        </w:rPr>
        <w:t> </w:t>
      </w:r>
      <w:r>
        <w:rPr>
          <w:spacing w:val="-104"/>
        </w:rPr>
      </w:r>
      <w:r>
        <w:rPr>
          <w:spacing w:val="-1"/>
        </w:rPr>
        <w:t>董事行为规范，积极参加中国证监会江苏监管局、深圳证券交易所组织的上市公司</w:t>
      </w:r>
      <w:r>
        <w:rPr>
          <w:spacing w:val="-104"/>
        </w:rPr>
        <w:t> </w:t>
      </w:r>
      <w:r>
        <w:rPr>
          <w:spacing w:val="-104"/>
        </w:rPr>
      </w:r>
      <w:r>
        <w:rPr>
          <w:spacing w:val="-1"/>
        </w:rPr>
        <w:t>董事、监事、高级管理人员培训学习，提高规范运作水平。董事在董事会会议投票</w:t>
      </w:r>
      <w:r>
        <w:rPr>
          <w:spacing w:val="-104"/>
        </w:rPr>
        <w:t> </w:t>
      </w:r>
      <w:r>
        <w:rPr>
          <w:spacing w:val="-104"/>
        </w:rPr>
      </w:r>
      <w:r>
        <w:rPr>
          <w:spacing w:val="-1"/>
        </w:rPr>
        <w:t>表决重大事项或其他对公司有重大影响的事项时，严格遵循公司董事会议事规则的</w:t>
      </w:r>
      <w:r>
        <w:rPr>
          <w:spacing w:val="-104"/>
        </w:rPr>
        <w:t> </w:t>
      </w:r>
      <w:r>
        <w:rPr>
          <w:spacing w:val="-104"/>
        </w:rPr>
      </w:r>
      <w:r>
        <w:rPr/>
        <w:t>有关审议规定，审慎决策，切实保护公司和投资者利益。</w:t>
      </w:r>
    </w:p>
    <w:p>
      <w:pPr>
        <w:pStyle w:val="BodyText"/>
        <w:spacing w:line="350" w:lineRule="auto" w:before="41"/>
        <w:ind w:left="144" w:right="108" w:firstLine="480"/>
        <w:jc w:val="left"/>
      </w:pPr>
      <w:r>
        <w:rPr>
          <w:rFonts w:ascii="Times New Roman" w:hAnsi="Times New Roman" w:cs="Times New Roman" w:eastAsia="Times New Roman" w:hint="default"/>
          <w:spacing w:val="-5"/>
        </w:rPr>
        <w:t>2</w:t>
      </w:r>
      <w:r>
        <w:rPr>
          <w:spacing w:val="-5"/>
        </w:rPr>
        <w:t>、公司董事长张近东先生在履行职责时，严格按照《公司法》、《深圳证券交</w:t>
      </w:r>
      <w:r>
        <w:rPr>
          <w:spacing w:val="3"/>
        </w:rPr>
        <w:t> </w:t>
      </w:r>
      <w:r>
        <w:rPr>
          <w:spacing w:val="-4"/>
        </w:rPr>
        <w:t>易所中小企业板块上市公司董事行为指引》和公司《章程》规定，行使董事长职权。</w:t>
      </w:r>
      <w:r>
        <w:rPr>
          <w:spacing w:val="-112"/>
        </w:rPr>
        <w:t> </w:t>
      </w:r>
      <w:r>
        <w:rPr>
          <w:spacing w:val="-112"/>
        </w:rPr>
      </w:r>
      <w:r>
        <w:rPr/>
        <w:t>在召集、主持董事会会议时，带头执行董事会集体决策机制，并积极推动公司治理</w:t>
      </w:r>
      <w:r>
        <w:rPr/>
        <w:t> </w:t>
      </w:r>
      <w:r>
        <w:rPr>
          <w:spacing w:val="-4"/>
        </w:rPr>
        <w:t>工作和内部控制建设，督促执行股东大会和董事会的各项决议，确保公司规范运作。</w:t>
      </w:r>
    </w:p>
    <w:p>
      <w:pPr>
        <w:pStyle w:val="BodyText"/>
        <w:spacing w:line="355" w:lineRule="auto" w:before="43"/>
        <w:ind w:left="144" w:right="218" w:firstLine="480"/>
        <w:jc w:val="both"/>
      </w:pPr>
      <w:r>
        <w:rPr>
          <w:rFonts w:ascii="Times New Roman" w:hAnsi="Times New Roman" w:cs="Times New Roman" w:eastAsia="Times New Roman" w:hint="default"/>
          <w:spacing w:val="2"/>
        </w:rPr>
        <w:t>3</w:t>
      </w:r>
      <w:r>
        <w:rPr>
          <w:spacing w:val="2"/>
        </w:rPr>
        <w:t>、公司第三届董事会独立董事沈坤荣先生、孙剑平先生和戴新民先生，严格</w:t>
      </w:r>
      <w:r>
        <w:rPr>
          <w:spacing w:val="3"/>
        </w:rPr>
        <w:t> </w:t>
      </w:r>
      <w:r>
        <w:rPr>
          <w:spacing w:val="-1"/>
        </w:rPr>
        <w:t>按照有关法律、法规及公司《章程》的规定履行职责，按时亲自或以通讯方式参加</w:t>
      </w:r>
      <w:r>
        <w:rPr>
          <w:spacing w:val="-104"/>
        </w:rPr>
        <w:t> </w:t>
      </w:r>
      <w:r>
        <w:rPr>
          <w:spacing w:val="-104"/>
        </w:rPr>
      </w:r>
      <w:r>
        <w:rPr/>
        <w:t>了年内召开的十六次董事会，认真审议各项议案，客观的发表自己的看法及观点， </w:t>
      </w:r>
      <w:r>
        <w:rPr>
          <w:spacing w:val="-1"/>
        </w:rPr>
        <w:t>并利用自己的专业知识做出独立、公正的判断。同时各位独立董事还深入公司现场</w:t>
      </w:r>
      <w:r>
        <w:rPr>
          <w:spacing w:val="-104"/>
        </w:rPr>
        <w:t> </w:t>
      </w:r>
      <w:r>
        <w:rPr>
          <w:spacing w:val="-104"/>
        </w:rPr>
      </w:r>
      <w:r>
        <w:rPr>
          <w:spacing w:val="-1"/>
        </w:rPr>
        <w:t>调查，了解公司经营状况和内部控制的建设及董事会决议执行情况，为公司经营和</w:t>
      </w:r>
      <w:r>
        <w:rPr>
          <w:spacing w:val="-104"/>
        </w:rPr>
        <w:t> </w:t>
      </w:r>
      <w:r>
        <w:rPr>
          <w:spacing w:val="-104"/>
        </w:rPr>
      </w:r>
      <w:r>
        <w:rPr>
          <w:spacing w:val="-1"/>
        </w:rPr>
        <w:t>发展提出了合理化的意见和建议。对报告期内对外担保、关联交易、以募集资金置</w:t>
      </w:r>
      <w:r>
        <w:rPr>
          <w:spacing w:val="-102"/>
        </w:rPr>
        <w:t> </w:t>
      </w:r>
      <w:r>
        <w:rPr>
          <w:spacing w:val="-102"/>
        </w:rPr>
      </w:r>
      <w:r>
        <w:rPr>
          <w:spacing w:val="-1"/>
        </w:rPr>
        <w:t>换预先已投入募投项目的自筹资金等事项发表独立意见，不受公司和主要股东的影</w:t>
      </w:r>
      <w:r>
        <w:rPr>
          <w:spacing w:val="-104"/>
        </w:rPr>
        <w:t> </w:t>
      </w:r>
      <w:r>
        <w:rPr>
          <w:spacing w:val="-104"/>
        </w:rPr>
      </w:r>
      <w:r>
        <w:rPr/>
        <w:t>响，切实维护了中小股东的利益。</w:t>
      </w:r>
    </w:p>
    <w:p>
      <w:pPr>
        <w:pStyle w:val="BodyText"/>
        <w:spacing w:line="357" w:lineRule="auto" w:before="38"/>
        <w:ind w:left="144" w:right="237" w:firstLine="480"/>
        <w:jc w:val="both"/>
      </w:pPr>
      <w:r>
        <w:rPr>
          <w:spacing w:val="-1"/>
        </w:rPr>
        <w:t>报告期内，公司所有独立董事对公司董事会的议案及公司其他事项没有提出异</w:t>
      </w:r>
      <w:r>
        <w:rPr/>
        <w:t> 议。</w:t>
      </w:r>
    </w:p>
    <w:p>
      <w:pPr>
        <w:spacing w:after="0" w:line="357" w:lineRule="auto"/>
        <w:jc w:val="both"/>
        <w:sectPr>
          <w:pgSz w:w="11910" w:h="16840"/>
          <w:pgMar w:header="826" w:footer="900" w:top="1100" w:bottom="1100" w:left="1500" w:right="1400"/>
        </w:sectPr>
      </w:pPr>
    </w:p>
    <w:p>
      <w:pPr>
        <w:pStyle w:val="BodyText"/>
        <w:spacing w:line="240" w:lineRule="auto" w:before="106"/>
        <w:ind w:left="824" w:right="233"/>
        <w:jc w:val="left"/>
      </w:pPr>
      <w:r>
        <w:rPr>
          <w:rFonts w:ascii="Times New Roman" w:hAnsi="Times New Roman" w:cs="Times New Roman" w:eastAsia="Times New Roman" w:hint="default"/>
        </w:rPr>
        <w:t>4</w:t>
      </w:r>
      <w:r>
        <w:rPr/>
        <w:t>、公司董事出席董事会的情况：</w:t>
      </w:r>
    </w:p>
    <w:p>
      <w:pPr>
        <w:spacing w:line="240" w:lineRule="auto" w:before="5"/>
        <w:rPr>
          <w:rFonts w:ascii="宋体" w:hAnsi="宋体" w:cs="宋体" w:eastAsia="宋体" w:hint="default"/>
          <w:sz w:val="13"/>
          <w:szCs w:val="13"/>
        </w:rPr>
      </w:pPr>
    </w:p>
    <w:tbl>
      <w:tblPr>
        <w:tblW w:w="0" w:type="auto"/>
        <w:jc w:val="left"/>
        <w:tblInd w:w="221" w:type="dxa"/>
        <w:tblLayout w:type="fixed"/>
        <w:tblCellMar>
          <w:top w:w="0" w:type="dxa"/>
          <w:left w:w="0" w:type="dxa"/>
          <w:bottom w:w="0" w:type="dxa"/>
          <w:right w:w="0" w:type="dxa"/>
        </w:tblCellMar>
        <w:tblLook w:val="01E0"/>
      </w:tblPr>
      <w:tblGrid>
        <w:gridCol w:w="1012"/>
        <w:gridCol w:w="1880"/>
        <w:gridCol w:w="1075"/>
        <w:gridCol w:w="1226"/>
        <w:gridCol w:w="1188"/>
        <w:gridCol w:w="947"/>
        <w:gridCol w:w="1508"/>
      </w:tblGrid>
      <w:tr>
        <w:trPr>
          <w:trHeight w:val="463" w:hRule="exact"/>
        </w:trPr>
        <w:tc>
          <w:tcPr>
            <w:tcW w:w="10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5"/>
              <w:ind w:right="8"/>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8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075"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应出席次</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数（次）</w:t>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48" w:right="0" w:hanging="90"/>
              <w:jc w:val="left"/>
              <w:rPr>
                <w:rFonts w:ascii="宋体" w:hAnsi="宋体" w:cs="宋体" w:eastAsia="宋体" w:hint="default"/>
                <w:sz w:val="18"/>
                <w:szCs w:val="18"/>
              </w:rPr>
            </w:pPr>
            <w:r>
              <w:rPr>
                <w:rFonts w:ascii="宋体" w:hAnsi="宋体" w:cs="宋体" w:eastAsia="宋体" w:hint="default"/>
                <w:sz w:val="18"/>
                <w:szCs w:val="18"/>
              </w:rPr>
              <w:t>亲自出席次</w:t>
            </w:r>
          </w:p>
          <w:p>
            <w:pPr>
              <w:pStyle w:val="TableParagraph"/>
              <w:spacing w:line="235" w:lineRule="exact"/>
              <w:ind w:left="248" w:right="0"/>
              <w:jc w:val="left"/>
              <w:rPr>
                <w:rFonts w:ascii="宋体" w:hAnsi="宋体" w:cs="宋体" w:eastAsia="宋体" w:hint="default"/>
                <w:sz w:val="18"/>
                <w:szCs w:val="18"/>
              </w:rPr>
            </w:pPr>
            <w:r>
              <w:rPr>
                <w:rFonts w:ascii="宋体" w:hAnsi="宋体" w:cs="宋体" w:eastAsia="宋体" w:hint="default"/>
                <w:sz w:val="18"/>
                <w:szCs w:val="18"/>
              </w:rPr>
              <w:t>数（次）</w:t>
            </w:r>
          </w:p>
        </w:tc>
        <w:tc>
          <w:tcPr>
            <w:tcW w:w="118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29" w:right="0" w:hanging="90"/>
              <w:jc w:val="left"/>
              <w:rPr>
                <w:rFonts w:ascii="宋体" w:hAnsi="宋体" w:cs="宋体" w:eastAsia="宋体" w:hint="default"/>
                <w:sz w:val="18"/>
                <w:szCs w:val="18"/>
              </w:rPr>
            </w:pPr>
            <w:r>
              <w:rPr>
                <w:rFonts w:ascii="宋体" w:hAnsi="宋体" w:cs="宋体" w:eastAsia="宋体" w:hint="default"/>
                <w:sz w:val="18"/>
                <w:szCs w:val="18"/>
              </w:rPr>
              <w:t>委托出席次</w:t>
            </w:r>
          </w:p>
          <w:p>
            <w:pPr>
              <w:pStyle w:val="TableParagraph"/>
              <w:spacing w:line="235" w:lineRule="exact"/>
              <w:ind w:left="229" w:right="0"/>
              <w:jc w:val="left"/>
              <w:rPr>
                <w:rFonts w:ascii="宋体" w:hAnsi="宋体" w:cs="宋体" w:eastAsia="宋体" w:hint="default"/>
                <w:sz w:val="18"/>
                <w:szCs w:val="18"/>
              </w:rPr>
            </w:pPr>
            <w:r>
              <w:rPr>
                <w:rFonts w:ascii="宋体" w:hAnsi="宋体" w:cs="宋体" w:eastAsia="宋体" w:hint="default"/>
                <w:sz w:val="18"/>
                <w:szCs w:val="18"/>
              </w:rPr>
              <w:t>数（次）</w:t>
            </w:r>
          </w:p>
        </w:tc>
        <w:tc>
          <w:tcPr>
            <w:tcW w:w="947"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缺席次数</w:t>
            </w:r>
          </w:p>
          <w:p>
            <w:pPr>
              <w:pStyle w:val="TableParagraph"/>
              <w:spacing w:line="235" w:lineRule="exact"/>
              <w:ind w:left="197" w:right="0"/>
              <w:jc w:val="left"/>
              <w:rPr>
                <w:rFonts w:ascii="宋体" w:hAnsi="宋体" w:cs="宋体" w:eastAsia="宋体" w:hint="default"/>
                <w:sz w:val="18"/>
                <w:szCs w:val="18"/>
              </w:rPr>
            </w:pPr>
            <w:r>
              <w:rPr>
                <w:rFonts w:ascii="宋体" w:hAnsi="宋体" w:cs="宋体" w:eastAsia="宋体" w:hint="default"/>
                <w:sz w:val="18"/>
                <w:szCs w:val="18"/>
              </w:rPr>
              <w:t>（次）</w:t>
            </w:r>
          </w:p>
        </w:tc>
        <w:tc>
          <w:tcPr>
            <w:tcW w:w="1508" w:type="dxa"/>
            <w:tcBorders>
              <w:top w:val="single" w:sz="12" w:space="0" w:color="000000"/>
              <w:left w:val="single" w:sz="4" w:space="0" w:color="000000"/>
              <w:bottom w:val="single" w:sz="4" w:space="0" w:color="000000"/>
              <w:right w:val="single" w:sz="12" w:space="0" w:color="000000"/>
            </w:tcBorders>
          </w:tcPr>
          <w:p>
            <w:pPr>
              <w:pStyle w:val="TableParagraph"/>
              <w:spacing w:line="206" w:lineRule="exact"/>
              <w:ind w:left="208" w:right="0" w:hanging="90"/>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5" w:lineRule="exact"/>
              <w:ind w:left="208"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370"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张近东</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孙为民</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孟祥胜</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90"/>
                <w:sz w:val="18"/>
                <w:szCs w:val="18"/>
              </w:rPr>
              <w:t> </w:t>
            </w:r>
            <w:r>
              <w:rPr>
                <w:rFonts w:ascii="宋体" w:hAnsi="宋体" w:cs="宋体" w:eastAsia="宋体" w:hint="default"/>
                <w:sz w:val="18"/>
                <w:szCs w:val="18"/>
              </w:rPr>
              <w:t>明</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90"/>
                <w:sz w:val="18"/>
                <w:szCs w:val="18"/>
              </w:rPr>
              <w:t> </w:t>
            </w:r>
            <w:r>
              <w:rPr>
                <w:rFonts w:ascii="宋体" w:hAnsi="宋体" w:cs="宋体" w:eastAsia="宋体" w:hint="default"/>
                <w:sz w:val="18"/>
                <w:szCs w:val="18"/>
              </w:rPr>
              <w:t>峻</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董事、董秘</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90"/>
                <w:sz w:val="18"/>
                <w:szCs w:val="18"/>
              </w:rPr>
              <w:t> </w:t>
            </w:r>
            <w:r>
              <w:rPr>
                <w:rFonts w:ascii="宋体" w:hAnsi="宋体" w:cs="宋体" w:eastAsia="宋体" w:hint="default"/>
                <w:sz w:val="18"/>
                <w:szCs w:val="18"/>
              </w:rPr>
              <w:t>东</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外部董事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2</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沈坤荣</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孙剑平</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0" w:hRule="exact"/>
        </w:trPr>
        <w:tc>
          <w:tcPr>
            <w:tcW w:w="10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戴新民</w:t>
            </w:r>
          </w:p>
        </w:tc>
        <w:tc>
          <w:tcPr>
            <w:tcW w:w="1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16</w:t>
            </w:r>
          </w:p>
        </w:tc>
        <w:tc>
          <w:tcPr>
            <w:tcW w:w="11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422" w:right="0"/>
              <w:jc w:val="left"/>
              <w:rPr>
                <w:rFonts w:ascii="Times New Roman" w:hAnsi="Times New Roman" w:cs="Times New Roman" w:eastAsia="Times New Roman" w:hint="default"/>
                <w:sz w:val="18"/>
                <w:szCs w:val="18"/>
              </w:rPr>
            </w:pPr>
            <w:r>
              <w:rPr>
                <w:rFonts w:ascii="Times New Roman"/>
                <w:sz w:val="18"/>
              </w:rPr>
              <w:t>0</w:t>
            </w:r>
          </w:p>
        </w:tc>
        <w:tc>
          <w:tcPr>
            <w:tcW w:w="15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2"/>
              <w:ind w:left="65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26"/>
          <w:szCs w:val="26"/>
        </w:rPr>
      </w:pPr>
    </w:p>
    <w:p>
      <w:pPr>
        <w:pStyle w:val="BodyText"/>
        <w:spacing w:line="357" w:lineRule="auto" w:before="26"/>
        <w:ind w:left="825" w:right="233" w:hanging="2"/>
        <w:jc w:val="left"/>
      </w:pPr>
      <w:r>
        <w:rPr/>
        <w:t>三、公司与控股股东在业务、人员、资产、机构、财务等方面的情况 </w:t>
      </w:r>
      <w:r>
        <w:rPr>
          <w:spacing w:val="-1"/>
        </w:rPr>
        <w:t>因公司控股股东为自然人，故不存在公司与控股股东在业务、人员、资产、机</w:t>
      </w:r>
    </w:p>
    <w:p>
      <w:pPr>
        <w:pStyle w:val="BodyText"/>
        <w:spacing w:line="357" w:lineRule="auto" w:before="36"/>
        <w:ind w:left="105" w:right="236"/>
        <w:jc w:val="left"/>
      </w:pPr>
      <w:r>
        <w:rPr>
          <w:spacing w:val="-1"/>
        </w:rPr>
        <w:t>构等方面的问题，同时公司的控股股东及其关联公司未以任何形式占用公司的货币资</w:t>
      </w:r>
      <w:r>
        <w:rPr>
          <w:spacing w:val="-104"/>
        </w:rPr>
        <w:t> </w:t>
      </w:r>
      <w:r>
        <w:rPr>
          <w:spacing w:val="-104"/>
        </w:rPr>
      </w:r>
      <w:r>
        <w:rPr/>
        <w:t>金或其他资产，公司具有独立完整的业务及自主经营能力。</w:t>
      </w:r>
    </w:p>
    <w:p>
      <w:pPr>
        <w:spacing w:line="240" w:lineRule="auto" w:before="4"/>
        <w:rPr>
          <w:rFonts w:ascii="宋体" w:hAnsi="宋体" w:cs="宋体" w:eastAsia="宋体" w:hint="default"/>
          <w:sz w:val="34"/>
          <w:szCs w:val="34"/>
        </w:rPr>
      </w:pPr>
    </w:p>
    <w:p>
      <w:pPr>
        <w:pStyle w:val="BodyText"/>
        <w:spacing w:line="240" w:lineRule="auto"/>
        <w:ind w:left="823" w:right="233"/>
        <w:jc w:val="left"/>
      </w:pPr>
      <w:r>
        <w:rPr/>
        <w:t>四、公司内部控制制度的建立和健全情况</w:t>
      </w:r>
    </w:p>
    <w:p>
      <w:pPr>
        <w:pStyle w:val="BodyText"/>
        <w:spacing w:line="350" w:lineRule="auto" w:before="154"/>
        <w:ind w:left="343" w:right="218"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7"/>
        </w:rPr>
        <w:t>年，在进一步巩固公司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7"/>
        </w:rPr>
        <w:t>年专项治理活动成果的基础上，公司根据《公</w:t>
      </w:r>
      <w:r>
        <w:rPr/>
        <w:t> </w:t>
      </w:r>
      <w:r>
        <w:rPr>
          <w:spacing w:val="-13"/>
        </w:rPr>
        <w:t>司法》、《证券法》、《企业内部控制基本规范》等有关法律、法规和规章制度要求，</w:t>
      </w:r>
      <w:r>
        <w:rPr>
          <w:spacing w:val="-106"/>
        </w:rPr>
        <w:t> </w:t>
      </w:r>
      <w:r>
        <w:rPr>
          <w:spacing w:val="-106"/>
        </w:rPr>
      </w:r>
      <w:r>
        <w:rPr>
          <w:spacing w:val="-1"/>
        </w:rPr>
        <w:t>结合公司的实际情况、自身特点和管理需要，制定了贯穿公司的整个业务流程以及</w:t>
      </w:r>
      <w:r>
        <w:rPr>
          <w:spacing w:val="-104"/>
        </w:rPr>
        <w:t> </w:t>
      </w:r>
      <w:r>
        <w:rPr>
          <w:spacing w:val="-104"/>
        </w:rPr>
      </w:r>
      <w:r>
        <w:rPr/>
        <w:t>经营管理各层面、各体系的内部控制制度，并且不断进行完善与改进。</w:t>
      </w:r>
    </w:p>
    <w:p>
      <w:pPr>
        <w:pStyle w:val="BodyText"/>
        <w:spacing w:line="338" w:lineRule="auto" w:before="43"/>
        <w:ind w:left="821" w:right="233" w:firstLine="2"/>
        <w:jc w:val="left"/>
      </w:pPr>
      <w:r>
        <w:rPr>
          <w:rFonts w:ascii="Times New Roman" w:hAnsi="Times New Roman" w:cs="Times New Roman" w:eastAsia="Times New Roman" w:hint="default"/>
        </w:rPr>
        <w:t>1</w:t>
      </w:r>
      <w:r>
        <w:rPr/>
        <w:t>、董事会对公司内部控制自我评价 </w:t>
      </w:r>
      <w:r>
        <w:rPr>
          <w:spacing w:val="-1"/>
        </w:rPr>
        <w:t>公司建立了较为完善的法人治理结构，内部控制体系较为健全，符合有关法律</w:t>
      </w:r>
    </w:p>
    <w:p>
      <w:pPr>
        <w:pStyle w:val="BodyText"/>
        <w:spacing w:line="357" w:lineRule="auto" w:before="55"/>
        <w:ind w:left="343" w:right="109"/>
        <w:jc w:val="left"/>
      </w:pPr>
      <w:r>
        <w:rPr>
          <w:spacing w:val="-4"/>
        </w:rPr>
        <w:t>法规规定。且公司内部控制制度能够贯彻落实执行，在公司经营管理各个关键环节、</w:t>
      </w:r>
      <w:r>
        <w:rPr>
          <w:spacing w:val="-112"/>
        </w:rPr>
        <w:t> </w:t>
      </w:r>
      <w:r>
        <w:rPr>
          <w:spacing w:val="-112"/>
        </w:rPr>
      </w:r>
      <w:r>
        <w:rPr/>
        <w:t>关联交易、对外担保、重大投资、信息披露等方面发挥了较好的管理控制作用，能</w:t>
      </w:r>
      <w:r>
        <w:rPr/>
        <w:t> 够对公司各项业务的健康运行及经营风险的控制提供保证，公司内部控制制度是有 效的。</w:t>
      </w:r>
    </w:p>
    <w:p>
      <w:pPr>
        <w:pStyle w:val="BodyText"/>
        <w:spacing w:line="357" w:lineRule="auto" w:before="36"/>
        <w:ind w:left="343" w:right="236" w:firstLine="480"/>
        <w:jc w:val="both"/>
      </w:pPr>
      <w:r>
        <w:rPr>
          <w:spacing w:val="-1"/>
        </w:rPr>
        <w:t>在公司未来经营发展中，公司将不断深化管理，进一步完善内部控制制度，使</w:t>
      </w:r>
      <w:r>
        <w:rPr/>
        <w:t> 之适应公司发展的需要和国家有关法律法规的要求。</w:t>
      </w:r>
    </w:p>
    <w:p>
      <w:pPr>
        <w:pStyle w:val="BodyText"/>
        <w:spacing w:line="348" w:lineRule="auto" w:before="36"/>
        <w:ind w:left="343" w:right="217" w:firstLine="480"/>
        <w:jc w:val="both"/>
      </w:pPr>
      <w:r>
        <w:rPr>
          <w:spacing w:val="-5"/>
        </w:rPr>
        <w:t>公司董事会《关于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年度内部控制的自我评价报告》刊登在</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 </w:t>
      </w:r>
      <w:r>
        <w:rPr>
          <w:spacing w:val="-1"/>
        </w:rPr>
        <w:t>日《证券时报》、《上海证券报》、《中国证券报》、《证券日报》及巨潮资讯网</w:t>
      </w:r>
      <w:r>
        <w:rPr>
          <w:spacing w:val="-93"/>
        </w:rPr>
        <w:t> </w:t>
      </w:r>
      <w:r>
        <w:rPr>
          <w:spacing w:val="-93"/>
        </w:rPr>
      </w:r>
      <w:hyperlink r:id="rId11">
        <w:r>
          <w:rPr>
            <w:rFonts w:ascii="Times New Roman" w:hAnsi="Times New Roman" w:cs="Times New Roman" w:eastAsia="Times New Roman" w:hint="default"/>
          </w:rPr>
          <w:t>www.cninfo.com</w:t>
        </w:r>
        <w:r>
          <w:rPr/>
          <w:t>上。</w:t>
        </w:r>
      </w:hyperlink>
    </w:p>
    <w:p>
      <w:pPr>
        <w:spacing w:after="0" w:line="348" w:lineRule="auto"/>
        <w:jc w:val="both"/>
        <w:sectPr>
          <w:pgSz w:w="11910" w:h="16840"/>
          <w:pgMar w:header="826" w:footer="900" w:top="1100" w:bottom="1100" w:left="1300" w:right="1400"/>
        </w:sectPr>
      </w:pPr>
    </w:p>
    <w:p>
      <w:pPr>
        <w:pStyle w:val="BodyText"/>
        <w:spacing w:line="338" w:lineRule="auto" w:before="106"/>
        <w:ind w:left="623" w:right="235"/>
        <w:jc w:val="left"/>
      </w:pPr>
      <w:r>
        <w:rPr>
          <w:rFonts w:ascii="Times New Roman" w:hAnsi="Times New Roman" w:cs="Times New Roman" w:eastAsia="Times New Roman" w:hint="default"/>
        </w:rPr>
        <w:t>2</w:t>
      </w:r>
      <w:r>
        <w:rPr/>
        <w:t>、独立董事关于公司内部控制自我评价报告的独立意见： </w:t>
      </w:r>
      <w:r>
        <w:rPr>
          <w:spacing w:val="-1"/>
        </w:rPr>
        <w:t>公司内部控制重点活动按公司内部控制各项制度的规定进行，公司对控股子公</w:t>
      </w:r>
    </w:p>
    <w:p>
      <w:pPr>
        <w:pStyle w:val="BodyText"/>
        <w:spacing w:line="350" w:lineRule="auto" w:before="55"/>
        <w:ind w:right="108"/>
        <w:jc w:val="left"/>
      </w:pPr>
      <w:r>
        <w:rPr/>
        <w:t>司、关联交易、对外担保、募集资金使用、重大投资、信息披露的内部控制严格、 充分、有效，保证了公司经营管理的正常进行，符合公司的实际情况，具有合理性 </w:t>
      </w:r>
      <w:r>
        <w:rPr>
          <w:spacing w:val="-4"/>
        </w:rPr>
        <w:t>和有效性。经审阅，我们认为《关于公司</w:t>
      </w:r>
      <w:r>
        <w:rPr>
          <w:rFonts w:ascii="Times New Roman" w:hAnsi="Times New Roman" w:cs="Times New Roman" w:eastAsia="Times New Roman" w:hint="default"/>
          <w:spacing w:val="-4"/>
        </w:rPr>
        <w:t>2008</w:t>
      </w:r>
      <w:r>
        <w:rPr>
          <w:spacing w:val="-4"/>
        </w:rPr>
        <w:t>年度内部控制的自我评价报告》全面、</w:t>
      </w:r>
      <w:r>
        <w:rPr>
          <w:spacing w:val="-104"/>
        </w:rPr>
        <w:t> </w:t>
      </w:r>
      <w:r>
        <w:rPr>
          <w:spacing w:val="-104"/>
        </w:rPr>
      </w:r>
      <w:r>
        <w:rPr/>
        <w:t>客观、真实地反映了公司内部控制体系建设和运作的实际情况。</w:t>
      </w:r>
    </w:p>
    <w:p>
      <w:pPr>
        <w:pStyle w:val="BodyText"/>
        <w:spacing w:line="240" w:lineRule="auto" w:before="43"/>
        <w:ind w:left="623" w:right="108"/>
        <w:jc w:val="left"/>
        <w:rPr>
          <w:rFonts w:ascii="Times New Roman" w:hAnsi="Times New Roman" w:cs="Times New Roman" w:eastAsia="Times New Roman" w:hint="default"/>
        </w:rPr>
      </w:pPr>
      <w:r>
        <w:rPr>
          <w:spacing w:val="-3"/>
        </w:rPr>
        <w:t>公司独立董事关于公司《内部控制自我评价报告》的独立意见刊登在</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p>
    <w:p>
      <w:pPr>
        <w:pStyle w:val="BodyText"/>
        <w:spacing w:line="338" w:lineRule="auto" w:before="135"/>
        <w:ind w:left="623" w:right="228" w:hanging="480"/>
        <w:jc w:val="left"/>
      </w:pP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日巨潮资讯网</w:t>
      </w:r>
      <w:hyperlink r:id="rId11">
        <w:r>
          <w:rPr>
            <w:rFonts w:ascii="Times New Roman" w:hAnsi="Times New Roman" w:cs="Times New Roman" w:eastAsia="Times New Roman" w:hint="default"/>
          </w:rPr>
          <w:t>www.cninfo.com</w:t>
        </w:r>
        <w:r>
          <w:rPr/>
          <w:t>上。</w:t>
        </w:r>
      </w:hyperlink>
      <w:r>
        <w:rPr>
          <w:w w:val="99"/>
        </w:rPr>
        <w:t> </w:t>
      </w:r>
      <w:r>
        <w:rPr>
          <w:rFonts w:ascii="Times New Roman" w:hAnsi="Times New Roman" w:cs="Times New Roman" w:eastAsia="Times New Roman" w:hint="default"/>
        </w:rPr>
        <w:t>3</w:t>
      </w:r>
      <w:r>
        <w:rPr/>
        <w:t>、保荐机构对公司内部控制自我评价的核查意见</w:t>
      </w:r>
      <w:r>
        <w:rPr>
          <w:w w:val="99"/>
        </w:rPr>
        <w:t> </w:t>
      </w:r>
      <w:r>
        <w:rPr/>
        <w:t>安信证券股份有限公司（以下简称</w:t>
      </w:r>
      <w:r>
        <w:rPr>
          <w:rFonts w:ascii="Times New Roman" w:hAnsi="Times New Roman" w:cs="Times New Roman" w:eastAsia="Times New Roman" w:hint="default"/>
        </w:rPr>
        <w:t>“</w:t>
      </w:r>
      <w:r>
        <w:rPr/>
        <w:t>安信证券</w:t>
      </w:r>
      <w:r>
        <w:rPr>
          <w:rFonts w:ascii="Times New Roman" w:hAnsi="Times New Roman" w:cs="Times New Roman" w:eastAsia="Times New Roman" w:hint="default"/>
        </w:rPr>
        <w:t>”</w:t>
      </w:r>
      <w:r>
        <w:rPr/>
        <w:t>）作为公司非公开发行股票并上</w:t>
      </w:r>
    </w:p>
    <w:p>
      <w:pPr>
        <w:pStyle w:val="BodyText"/>
        <w:spacing w:line="338" w:lineRule="auto" w:before="27"/>
        <w:ind w:right="237"/>
        <w:jc w:val="both"/>
      </w:pPr>
      <w:r>
        <w:rPr>
          <w:spacing w:val="-1"/>
        </w:rPr>
        <w:t>市的保荐机构，根据深圳证券交易所《关于做好中小企业板上市公司</w:t>
      </w:r>
      <w:r>
        <w:rPr>
          <w:rFonts w:ascii="Times New Roman" w:hAnsi="Times New Roman" w:cs="Times New Roman" w:eastAsia="Times New Roman" w:hint="default"/>
          <w:spacing w:val="-1"/>
        </w:rPr>
        <w:t>2008</w:t>
      </w:r>
      <w:r>
        <w:rPr>
          <w:spacing w:val="-1"/>
        </w:rPr>
        <w:t>年年度报</w:t>
      </w:r>
      <w:r>
        <w:rPr>
          <w:spacing w:val="-102"/>
        </w:rPr>
        <w:t> </w:t>
      </w:r>
      <w:r>
        <w:rPr>
          <w:spacing w:val="-2"/>
        </w:rPr>
        <w:t>告工作的通知》的要求，对《苏宁电器股份有限公司董事会关于</w:t>
      </w:r>
      <w:r>
        <w:rPr>
          <w:rFonts w:ascii="Times New Roman" w:hAnsi="Times New Roman" w:cs="Times New Roman" w:eastAsia="Times New Roman" w:hint="default"/>
          <w:spacing w:val="-2"/>
        </w:rPr>
        <w:t>2008</w:t>
      </w:r>
      <w:r>
        <w:rPr>
          <w:spacing w:val="-2"/>
        </w:rPr>
        <w:t>年度内部控制</w:t>
      </w:r>
      <w:r>
        <w:rPr>
          <w:spacing w:val="-87"/>
        </w:rPr>
        <w:t> </w:t>
      </w:r>
      <w:r>
        <w:rPr/>
        <w:t>的自我评价报告》发表如下意见：</w:t>
      </w:r>
    </w:p>
    <w:p>
      <w:pPr>
        <w:pStyle w:val="BodyText"/>
        <w:spacing w:line="350" w:lineRule="auto" w:before="55"/>
        <w:ind w:right="235" w:firstLine="480"/>
        <w:jc w:val="left"/>
      </w:pPr>
      <w:r>
        <w:rPr>
          <w:spacing w:val="-1"/>
        </w:rPr>
        <w:t>经过现场检查、高管会谈及查阅相关文件，安信证券认为，苏宁电器已经建立</w:t>
      </w:r>
      <w:r>
        <w:rPr/>
        <w:t> </w:t>
      </w:r>
      <w:r>
        <w:rPr>
          <w:spacing w:val="-1"/>
        </w:rPr>
        <w:t>了较为完善的法人治理结构，建立了较为完备的有关公司治理及内部控制的各项规</w:t>
      </w:r>
      <w:r>
        <w:rPr>
          <w:spacing w:val="-104"/>
        </w:rPr>
        <w:t> </w:t>
      </w:r>
      <w:r>
        <w:rPr>
          <w:spacing w:val="-104"/>
        </w:rPr>
      </w:r>
      <w:r>
        <w:rPr>
          <w:spacing w:val="-1"/>
        </w:rPr>
        <w:t>章制度，并能够结合公司的实际情况、业务特点及监管部门的最新要求，对相关规</w:t>
      </w:r>
      <w:r>
        <w:rPr>
          <w:spacing w:val="-102"/>
        </w:rPr>
        <w:t> </w:t>
      </w:r>
      <w:r>
        <w:rPr>
          <w:spacing w:val="-102"/>
        </w:rPr>
      </w:r>
      <w:r>
        <w:rPr/>
        <w:t>章制度进行修改完善。</w:t>
      </w:r>
      <w:r>
        <w:rPr>
          <w:rFonts w:ascii="Times New Roman" w:hAnsi="Times New Roman" w:cs="Times New Roman" w:eastAsia="Times New Roman" w:hint="default"/>
        </w:rPr>
        <w:t>2008 </w:t>
      </w:r>
      <w:r>
        <w:rPr/>
        <w:t>年度，公司内部控制制度执行情况良好，符合有关法 律法规和证券监管部门对上市公司内控制度管理的规范要求。公司对</w:t>
      </w:r>
      <w:r>
        <w:rPr>
          <w:rFonts w:ascii="Times New Roman" w:hAnsi="Times New Roman" w:cs="Times New Roman" w:eastAsia="Times New Roman" w:hint="default"/>
        </w:rPr>
        <w:t>2008 </w:t>
      </w:r>
      <w:r>
        <w:rPr/>
        <w:t>年度内 部控制的自我评价是较为真实、客观的。</w:t>
      </w:r>
    </w:p>
    <w:p>
      <w:pPr>
        <w:pStyle w:val="BodyText"/>
        <w:spacing w:line="240" w:lineRule="auto" w:before="43"/>
        <w:ind w:left="623" w:right="108"/>
        <w:jc w:val="left"/>
      </w:pPr>
      <w:r>
        <w:rPr/>
        <w:t>安信证券关于公司《内部控制自我评价报告》的独立意见刊登在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p>
    <w:p>
      <w:pPr>
        <w:pStyle w:val="BodyText"/>
        <w:spacing w:line="240" w:lineRule="auto" w:before="135"/>
        <w:ind w:right="108"/>
        <w:jc w:val="left"/>
      </w:pPr>
      <w:r>
        <w:rPr>
          <w:rFonts w:ascii="Times New Roman" w:hAnsi="Times New Roman" w:cs="Times New Roman" w:eastAsia="Times New Roman" w:hint="default"/>
        </w:rPr>
        <w:t>28</w:t>
      </w:r>
      <w:r>
        <w:rPr>
          <w:rFonts w:ascii="Times New Roman" w:hAnsi="Times New Roman" w:cs="Times New Roman" w:eastAsia="Times New Roman" w:hint="default"/>
          <w:spacing w:val="-29"/>
        </w:rPr>
        <w:t> </w:t>
      </w:r>
      <w:r>
        <w:rPr/>
        <w:t>日巨潮资讯网</w:t>
      </w:r>
      <w:hyperlink r:id="rId11">
        <w:r>
          <w:rPr>
            <w:rFonts w:ascii="Times New Roman" w:hAnsi="Times New Roman" w:cs="Times New Roman" w:eastAsia="Times New Roman" w:hint="default"/>
          </w:rPr>
          <w:t>www.cninfo.com</w:t>
        </w:r>
        <w:r>
          <w:rPr/>
          <w:t>上。</w:t>
        </w:r>
      </w:hyperlink>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357" w:lineRule="auto"/>
        <w:ind w:right="237" w:firstLine="480"/>
        <w:jc w:val="right"/>
      </w:pPr>
      <w:r>
        <w:rPr>
          <w:spacing w:val="-1"/>
        </w:rPr>
        <w:t>五、公司对高级管理人员的考评和激励机制、相关奖励制度的建立及实施情况</w:t>
      </w:r>
      <w:r>
        <w:rPr/>
        <w:t> </w:t>
      </w:r>
      <w:r>
        <w:rPr>
          <w:spacing w:val="-1"/>
        </w:rPr>
        <w:t>报告期内，公司以量化的考核指标定期对高级管理人员进行业绩考核。经过考</w:t>
      </w:r>
      <w:r>
        <w:rPr/>
        <w:t> </w:t>
      </w:r>
      <w:r>
        <w:rPr>
          <w:spacing w:val="-5"/>
        </w:rPr>
        <w:t>评，</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3"/>
        </w:rPr>
        <w:t> </w:t>
      </w:r>
      <w:r>
        <w:rPr>
          <w:spacing w:val="-2"/>
        </w:rPr>
        <w:t>年度公司高管人员认真的履行了工作职责，工作业绩良好，较好的完成了</w:t>
      </w:r>
    </w:p>
    <w:p>
      <w:pPr>
        <w:pStyle w:val="BodyText"/>
        <w:spacing w:line="357" w:lineRule="auto" w:before="5"/>
        <w:ind w:left="623" w:right="235" w:hanging="480"/>
        <w:jc w:val="left"/>
      </w:pPr>
      <w:r>
        <w:rPr/>
        <w:t>本年度所确定的各项任务。 </w:t>
      </w:r>
      <w:r>
        <w:rPr>
          <w:spacing w:val="-1"/>
        </w:rPr>
        <w:t>同时，公司未来还将继续推进《股票期权激励计划》的出台和实施，以进一步</w:t>
      </w:r>
    </w:p>
    <w:p>
      <w:pPr>
        <w:pStyle w:val="BodyText"/>
        <w:spacing w:line="357" w:lineRule="auto" w:before="36"/>
        <w:ind w:right="108"/>
        <w:jc w:val="left"/>
      </w:pPr>
      <w:r>
        <w:rPr>
          <w:spacing w:val="-1"/>
        </w:rPr>
        <w:t>完善公司治理结构，健全公司激励约束机制，有效调动管理人员和重要骨干的积极</w:t>
      </w:r>
      <w:r>
        <w:rPr>
          <w:spacing w:val="-104"/>
        </w:rPr>
        <w:t> </w:t>
      </w:r>
      <w:r>
        <w:rPr>
          <w:spacing w:val="-104"/>
        </w:rPr>
      </w:r>
      <w:r>
        <w:rPr/>
        <w:t>性，吸引和留住优秀管理人才和业务骨干，从而更好地促进公司长期稳定发展。</w:t>
      </w:r>
    </w:p>
    <w:p>
      <w:pPr>
        <w:spacing w:after="0" w:line="357" w:lineRule="auto"/>
        <w:jc w:val="left"/>
        <w:sectPr>
          <w:pgSz w:w="11910" w:h="16840"/>
          <w:pgMar w:header="826" w:footer="900" w:top="1100" w:bottom="1100" w:left="1500" w:right="1400"/>
        </w:sectPr>
      </w:pPr>
    </w:p>
    <w:p>
      <w:pPr>
        <w:pStyle w:val="BodyText"/>
        <w:spacing w:line="240" w:lineRule="auto" w:before="106"/>
        <w:ind w:left="704" w:right="2568"/>
        <w:jc w:val="left"/>
      </w:pPr>
      <w:r>
        <w:rPr/>
        <w:t>六、公司内部审计制度的建立和执行情况</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512"/>
        <w:gridCol w:w="898"/>
        <w:gridCol w:w="2428"/>
      </w:tblGrid>
      <w:tr>
        <w:trPr>
          <w:trHeight w:val="488" w:hRule="exact"/>
        </w:trPr>
        <w:tc>
          <w:tcPr>
            <w:tcW w:w="5512" w:type="dxa"/>
            <w:tcBorders>
              <w:top w:val="single" w:sz="12" w:space="0" w:color="000000"/>
              <w:left w:val="single" w:sz="12" w:space="0" w:color="000000"/>
              <w:bottom w:val="single" w:sz="4" w:space="0" w:color="000000"/>
              <w:right w:val="single" w:sz="4" w:space="0" w:color="000000"/>
            </w:tcBorders>
          </w:tcPr>
          <w:p>
            <w:pP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适用</w:t>
            </w:r>
          </w:p>
        </w:tc>
        <w:tc>
          <w:tcPr>
            <w:tcW w:w="242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7"/>
              <w:ind w:left="8"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37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898"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36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．内部审计制度建立</w:t>
            </w:r>
          </w:p>
        </w:tc>
        <w:tc>
          <w:tcPr>
            <w:tcW w:w="898"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604"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103"/>
              <w:jc w:val="left"/>
              <w:rPr>
                <w:rFonts w:ascii="宋体" w:hAnsi="宋体" w:cs="宋体" w:eastAsia="宋体" w:hint="default"/>
                <w:sz w:val="18"/>
                <w:szCs w:val="18"/>
              </w:rPr>
            </w:pPr>
            <w:r>
              <w:rPr>
                <w:rFonts w:ascii="宋体" w:hAnsi="宋体" w:cs="宋体" w:eastAsia="宋体" w:hint="default"/>
                <w:spacing w:val="2"/>
                <w:sz w:val="18"/>
                <w:szCs w:val="18"/>
              </w:rPr>
              <w:t>公司是否在股票上市后六个月内建立内部审计制度，内部审计制度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是否经公司董事会审议通过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．机构设置</w:t>
            </w:r>
          </w:p>
        </w:tc>
        <w:tc>
          <w:tcPr>
            <w:tcW w:w="898"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776"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103"/>
              <w:jc w:val="both"/>
              <w:rPr>
                <w:rFonts w:ascii="宋体" w:hAnsi="宋体" w:cs="宋体" w:eastAsia="宋体" w:hint="default"/>
                <w:sz w:val="18"/>
                <w:szCs w:val="18"/>
              </w:rPr>
            </w:pPr>
            <w:r>
              <w:rPr>
                <w:rFonts w:ascii="宋体" w:hAnsi="宋体" w:cs="宋体" w:eastAsia="宋体" w:hint="default"/>
                <w:spacing w:val="2"/>
                <w:sz w:val="18"/>
                <w:szCs w:val="18"/>
              </w:rPr>
              <w:t>公司董事会是否设立审计委员会，公司在股票上市后六个月内是否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设立独立于财务部门的内部审计部门，内部审计部门是否对审计委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员会负责</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36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．人员安排</w:t>
            </w:r>
          </w:p>
        </w:tc>
        <w:tc>
          <w:tcPr>
            <w:tcW w:w="898"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54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7"/>
              <w:ind w:left="93" w:right="10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）审计委员会成员是否全部由董事组成，独立董事占半数以上并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担任召集人，且至少有一名独立董事为会计专业人士</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469"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审计工作</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免</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37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898"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786"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30"/>
              <w:ind w:left="93"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．审计委员会是否根据内部审计部门出具的评价报告及相关资料， </w:t>
            </w:r>
            <w:r>
              <w:rPr>
                <w:rFonts w:ascii="宋体" w:hAnsi="宋体" w:cs="宋体" w:eastAsia="宋体" w:hint="default"/>
                <w:spacing w:val="2"/>
                <w:sz w:val="18"/>
                <w:szCs w:val="18"/>
              </w:rPr>
              <w:t>对与财务报告和信息披露事务相关的内部控制制度的建立和实施情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况出具年度内部控制自我评价报告</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1519"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before="22"/>
              <w:ind w:left="9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．本年度内部控制自我评价报告是否包括以下内容：</w:t>
            </w:r>
          </w:p>
          <w:p>
            <w:pPr>
              <w:pStyle w:val="TableParagraph"/>
              <w:spacing w:line="234" w:lineRule="exact" w:before="15"/>
              <w:ind w:left="9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）内部控制制度是否建立健全和有效实施；（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的缺陷和异常事项及其处理情况（如适用）；（</w:t>
            </w:r>
            <w:r>
              <w:rPr>
                <w:rFonts w:ascii="Times New Roman" w:hAnsi="Times New Roman" w:cs="Times New Roman" w:eastAsia="Times New Roman" w:hint="default"/>
                <w:sz w:val="18"/>
                <w:szCs w:val="18"/>
              </w:rPr>
              <w:t>3</w:t>
            </w:r>
            <w:r>
              <w:rPr>
                <w:rFonts w:ascii="宋体" w:hAnsi="宋体" w:cs="宋体" w:eastAsia="宋体" w:hint="default"/>
                <w:sz w:val="18"/>
                <w:szCs w:val="18"/>
              </w:rPr>
              <w:t>）改进和完善内部 控制制度建立及其实施的有关措施；（</w:t>
            </w:r>
            <w:r>
              <w:rPr>
                <w:rFonts w:ascii="Times New Roman" w:hAnsi="Times New Roman" w:cs="Times New Roman" w:eastAsia="Times New Roman" w:hint="default"/>
                <w:sz w:val="18"/>
                <w:szCs w:val="18"/>
              </w:rPr>
              <w:t>4</w:t>
            </w:r>
            <w:r>
              <w:rPr>
                <w:rFonts w:ascii="宋体" w:hAnsi="宋体" w:cs="宋体" w:eastAsia="宋体" w:hint="default"/>
                <w:sz w:val="18"/>
                <w:szCs w:val="18"/>
              </w:rPr>
              <w:t>）上一年度内部控制存在的 </w:t>
            </w:r>
            <w:r>
              <w:rPr>
                <w:rFonts w:ascii="宋体" w:hAnsi="宋体" w:cs="宋体" w:eastAsia="宋体" w:hint="default"/>
                <w:spacing w:val="-1"/>
                <w:sz w:val="18"/>
                <w:szCs w:val="18"/>
              </w:rPr>
              <w:t>缺陷和异常事项的改进情况（如适用）；（</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）本年度内部控制审查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与评价工作完成情况的说明。</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467"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1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．内部控制自我评价报告结论是否为内部控制有效。如为内部控制</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无效，请说明内部控制存在的重大缺陷</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36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．本年度是否聘请会计师事务所对内部控制有效性出具鉴证报告</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1181"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93" w:right="102"/>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．会计师事务所对公司内部控制有效性是否出具非无保留结论鉴证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报告。如是，公司董事会、监事会是否针对鉴证结论涉及事项做出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专项说明</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28"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按规定，会计师事务所每两</w:t>
            </w:r>
            <w:r>
              <w:rPr>
                <w:rFonts w:ascii="宋体" w:hAnsi="宋体" w:cs="宋体" w:eastAsia="宋体" w:hint="default"/>
                <w:sz w:val="18"/>
                <w:szCs w:val="18"/>
              </w:rPr>
            </w:r>
          </w:p>
          <w:p>
            <w:pPr>
              <w:pStyle w:val="TableParagraph"/>
              <w:spacing w:line="240" w:lineRule="auto"/>
              <w:ind w:left="103" w:right="1"/>
              <w:jc w:val="left"/>
              <w:rPr>
                <w:rFonts w:ascii="宋体" w:hAnsi="宋体" w:cs="宋体" w:eastAsia="宋体" w:hint="default"/>
                <w:sz w:val="18"/>
                <w:szCs w:val="18"/>
              </w:rPr>
            </w:pPr>
            <w:r>
              <w:rPr>
                <w:rFonts w:ascii="宋体" w:hAnsi="宋体" w:cs="宋体" w:eastAsia="宋体" w:hint="default"/>
                <w:spacing w:val="4"/>
                <w:sz w:val="18"/>
                <w:szCs w:val="18"/>
              </w:rPr>
              <w:t>年需对公司年度内部控制有 </w:t>
            </w:r>
            <w:r>
              <w:rPr>
                <w:rFonts w:ascii="宋体" w:hAnsi="宋体" w:cs="宋体" w:eastAsia="宋体" w:hint="default"/>
                <w:spacing w:val="-3"/>
                <w:sz w:val="18"/>
                <w:szCs w:val="18"/>
              </w:rPr>
              <w:t>效性出具鉴证报告；本年度，</w:t>
            </w:r>
            <w:r>
              <w:rPr>
                <w:rFonts w:ascii="宋体" w:hAnsi="宋体" w:cs="宋体" w:eastAsia="宋体" w:hint="default"/>
                <w:sz w:val="18"/>
                <w:szCs w:val="18"/>
              </w:rPr>
              <w:t> </w:t>
            </w:r>
            <w:r>
              <w:rPr>
                <w:rFonts w:ascii="宋体" w:hAnsi="宋体" w:cs="宋体" w:eastAsia="宋体" w:hint="default"/>
                <w:spacing w:val="4"/>
                <w:sz w:val="18"/>
                <w:szCs w:val="18"/>
              </w:rPr>
              <w:t>会计师未对公司年度内部控</w:t>
            </w:r>
            <w:r>
              <w:rPr>
                <w:rFonts w:ascii="宋体" w:hAnsi="宋体" w:cs="宋体" w:eastAsia="宋体" w:hint="default"/>
                <w:spacing w:val="4"/>
                <w:sz w:val="18"/>
                <w:szCs w:val="18"/>
              </w:rPr>
              <w:t> </w:t>
            </w:r>
            <w:r>
              <w:rPr>
                <w:rFonts w:ascii="宋体" w:hAnsi="宋体" w:cs="宋体" w:eastAsia="宋体" w:hint="default"/>
                <w:sz w:val="18"/>
                <w:szCs w:val="18"/>
              </w:rPr>
              <w:t>制有效性进行鉴证。</w:t>
            </w:r>
          </w:p>
        </w:tc>
      </w:tr>
      <w:tr>
        <w:trPr>
          <w:trHeight w:val="51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3"/>
              <w:ind w:left="9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．独立董事、监事会是否出具明确同意意见（如为异议意见，请说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明）</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823"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．保荐机构和保荐代表人是否出具明确同意的核查意见（如适用）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428" w:type="dxa"/>
            <w:tcBorders>
              <w:top w:val="single" w:sz="4" w:space="0" w:color="000000"/>
              <w:left w:val="single" w:sz="4" w:space="0" w:color="000000"/>
              <w:bottom w:val="single" w:sz="4" w:space="0" w:color="000000"/>
              <w:right w:val="single" w:sz="12" w:space="0" w:color="000000"/>
            </w:tcBorders>
          </w:tcPr>
          <w:p>
            <w:pPr/>
          </w:p>
        </w:tc>
      </w:tr>
      <w:tr>
        <w:trPr>
          <w:trHeight w:val="61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2"/>
              <w:ind w:left="9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32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2"/>
              <w:ind w:left="10"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619"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7"/>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．审计委员会的主要工作内容与工作成效</w:t>
            </w:r>
          </w:p>
        </w:tc>
        <w:tc>
          <w:tcPr>
            <w:tcW w:w="3325" w:type="dxa"/>
            <w:gridSpan w:val="2"/>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26" w:footer="900" w:top="1100" w:bottom="1100" w:left="1420" w:right="1400"/>
        </w:sect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12"/>
        <w:gridCol w:w="3325"/>
      </w:tblGrid>
      <w:tr>
        <w:trPr>
          <w:trHeight w:val="2852"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4"/>
              <w:ind w:left="9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）说明审计委员会每季度召开会议审议内部审计部门提交的工作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计划和报告的具体情况</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34" w:lineRule="exact" w:before="9"/>
              <w:ind w:left="103" w:right="62"/>
              <w:jc w:val="left"/>
              <w:rPr>
                <w:rFonts w:ascii="宋体" w:hAnsi="宋体" w:cs="宋体" w:eastAsia="宋体" w:hint="default"/>
                <w:sz w:val="18"/>
                <w:szCs w:val="18"/>
              </w:rPr>
            </w:pPr>
            <w:r>
              <w:rPr>
                <w:rFonts w:ascii="宋体" w:hAnsi="宋体" w:cs="宋体" w:eastAsia="宋体" w:hint="default"/>
                <w:spacing w:val="2"/>
                <w:sz w:val="18"/>
                <w:szCs w:val="18"/>
              </w:rPr>
              <w:t>第一季度：内部审计部门向审计委员会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提交了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年审计工作计划，审计委员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会对计划内容予以批复。 </w:t>
            </w:r>
            <w:r>
              <w:rPr>
                <w:rFonts w:ascii="宋体" w:hAnsi="宋体" w:cs="宋体" w:eastAsia="宋体" w:hint="default"/>
                <w:spacing w:val="2"/>
                <w:sz w:val="18"/>
                <w:szCs w:val="18"/>
              </w:rPr>
              <w:t>第二季度：召开第三届审计委员会第八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8"/>
                <w:sz w:val="18"/>
                <w:szCs w:val="18"/>
              </w:rPr>
              <w:t>次会议</w:t>
            </w:r>
            <w:r>
              <w:rPr>
                <w:rFonts w:ascii="宋体" w:hAnsi="宋体" w:cs="宋体" w:eastAsia="宋体" w:hint="default"/>
                <w:spacing w:val="-59"/>
                <w:sz w:val="18"/>
                <w:szCs w:val="18"/>
              </w:rPr>
              <w:t> </w:t>
            </w:r>
            <w:r>
              <w:rPr>
                <w:rFonts w:ascii="宋体" w:hAnsi="宋体" w:cs="宋体" w:eastAsia="宋体" w:hint="default"/>
                <w:spacing w:val="14"/>
                <w:sz w:val="18"/>
                <w:szCs w:val="18"/>
              </w:rPr>
              <w:t>审议</w:t>
            </w:r>
            <w:r>
              <w:rPr>
                <w:rFonts w:ascii="宋体" w:hAnsi="宋体" w:cs="宋体" w:eastAsia="宋体" w:hint="default"/>
                <w:spacing w:val="-59"/>
                <w:sz w:val="18"/>
                <w:szCs w:val="18"/>
              </w:rPr>
              <w:t> </w:t>
            </w:r>
            <w:r>
              <w:rPr>
                <w:rFonts w:ascii="宋体" w:hAnsi="宋体" w:cs="宋体" w:eastAsia="宋体" w:hint="default"/>
                <w:spacing w:val="18"/>
                <w:sz w:val="18"/>
                <w:szCs w:val="18"/>
              </w:rPr>
              <w:t>了内部</w:t>
            </w:r>
            <w:r>
              <w:rPr>
                <w:rFonts w:ascii="宋体" w:hAnsi="宋体" w:cs="宋体" w:eastAsia="宋体" w:hint="default"/>
                <w:spacing w:val="-59"/>
                <w:sz w:val="18"/>
                <w:szCs w:val="18"/>
              </w:rPr>
              <w:t> </w:t>
            </w:r>
            <w:r>
              <w:rPr>
                <w:rFonts w:ascii="宋体" w:hAnsi="宋体" w:cs="宋体" w:eastAsia="宋体" w:hint="default"/>
                <w:spacing w:val="14"/>
                <w:sz w:val="18"/>
                <w:szCs w:val="18"/>
              </w:rPr>
              <w:t>审计</w:t>
            </w:r>
            <w:r>
              <w:rPr>
                <w:rFonts w:ascii="宋体" w:hAnsi="宋体" w:cs="宋体" w:eastAsia="宋体" w:hint="default"/>
                <w:spacing w:val="-59"/>
                <w:sz w:val="18"/>
                <w:szCs w:val="18"/>
              </w:rPr>
              <w:t> </w:t>
            </w:r>
            <w:r>
              <w:rPr>
                <w:rFonts w:ascii="宋体" w:hAnsi="宋体" w:cs="宋体" w:eastAsia="宋体" w:hint="default"/>
                <w:spacing w:val="18"/>
                <w:sz w:val="18"/>
                <w:szCs w:val="18"/>
              </w:rPr>
              <w:t>部门提</w:t>
            </w:r>
            <w:r>
              <w:rPr>
                <w:rFonts w:ascii="宋体" w:hAnsi="宋体" w:cs="宋体" w:eastAsia="宋体" w:hint="default"/>
                <w:spacing w:val="-59"/>
                <w:sz w:val="18"/>
                <w:szCs w:val="18"/>
              </w:rPr>
              <w:t> </w:t>
            </w:r>
            <w:r>
              <w:rPr>
                <w:rFonts w:ascii="宋体" w:hAnsi="宋体" w:cs="宋体" w:eastAsia="宋体" w:hint="default"/>
                <w:spacing w:val="14"/>
                <w:sz w:val="18"/>
                <w:szCs w:val="18"/>
              </w:rPr>
              <w:t>交的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7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 </w:t>
            </w:r>
            <w:r>
              <w:rPr>
                <w:rFonts w:ascii="宋体" w:hAnsi="宋体" w:cs="宋体" w:eastAsia="宋体" w:hint="default"/>
                <w:spacing w:val="-8"/>
                <w:sz w:val="18"/>
                <w:szCs w:val="18"/>
              </w:rPr>
              <w:t>年一季度审计工作总结》；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第三季度：召开第三届审计委员会第九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4"/>
                <w:sz w:val="18"/>
                <w:szCs w:val="18"/>
              </w:rPr>
              <w:t>次会议，审议了内部审计部门提交的</w:t>
            </w:r>
            <w:r>
              <w:rPr>
                <w:rFonts w:ascii="宋体" w:hAnsi="宋体" w:cs="宋体" w:eastAsia="宋体" w:hint="default"/>
                <w:sz w:val="18"/>
                <w:szCs w:val="18"/>
              </w:rPr>
            </w:r>
          </w:p>
          <w:p>
            <w:pPr>
              <w:pStyle w:val="TableParagraph"/>
              <w:spacing w:line="234" w:lineRule="exact"/>
              <w:ind w:left="103" w:right="7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年第二季度审计工作总结》；</w:t>
            </w:r>
            <w:r>
              <w:rPr>
                <w:rFonts w:ascii="宋体" w:hAnsi="宋体" w:cs="宋体" w:eastAsia="宋体" w:hint="default"/>
                <w:sz w:val="18"/>
                <w:szCs w:val="18"/>
              </w:rPr>
              <w:t> </w:t>
            </w:r>
            <w:r>
              <w:rPr>
                <w:rFonts w:ascii="宋体" w:hAnsi="宋体" w:cs="宋体" w:eastAsia="宋体" w:hint="default"/>
                <w:spacing w:val="2"/>
                <w:sz w:val="18"/>
                <w:szCs w:val="18"/>
              </w:rPr>
              <w:t>第四季度：召开第三届审计委员会第十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4"/>
                <w:sz w:val="18"/>
                <w:szCs w:val="18"/>
              </w:rPr>
              <w:t>次会议，审议了内部审计部门提交的</w:t>
            </w:r>
            <w:r>
              <w:rPr>
                <w:rFonts w:ascii="宋体" w:hAnsi="宋体" w:cs="宋体" w:eastAsia="宋体" w:hint="default"/>
                <w:sz w:val="18"/>
                <w:szCs w:val="18"/>
              </w:rPr>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年第三季度审计工作总结</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67"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）说明审计委员会每季度向董事会报告内部审计工作的具体情况</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103" w:right="85"/>
              <w:jc w:val="left"/>
              <w:rPr>
                <w:rFonts w:ascii="宋体" w:hAnsi="宋体" w:cs="宋体" w:eastAsia="宋体" w:hint="default"/>
                <w:sz w:val="18"/>
                <w:szCs w:val="18"/>
              </w:rPr>
            </w:pPr>
            <w:r>
              <w:rPr>
                <w:rFonts w:ascii="宋体" w:hAnsi="宋体" w:cs="宋体" w:eastAsia="宋体" w:hint="default"/>
                <w:spacing w:val="2"/>
                <w:sz w:val="18"/>
                <w:szCs w:val="18"/>
              </w:rPr>
              <w:t>审计委员会每季度向董事会报告内部审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计工作进展情况，以及审计结果报告。</w:t>
            </w:r>
          </w:p>
        </w:tc>
      </w:tr>
      <w:tr>
        <w:trPr>
          <w:trHeight w:val="784"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7"/>
              <w:ind w:left="93" w:right="101"/>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）审计委员会认为公司内部控制存在重大缺陷或重大风险的，说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明内部控制存在的重大缺陷或重大风险，并说明是否及时向董事会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报告，并提请董事会及时向证券交易所报告并予以披露（如适用）</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53"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）说明审计委员会所做的其他工作</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35" w:lineRule="auto" w:before="42"/>
              <w:ind w:left="103" w:right="85"/>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、按照年报审计工作规程，做好</w:t>
            </w:r>
            <w:r>
              <w:rPr>
                <w:rFonts w:ascii="宋体" w:hAnsi="宋体" w:cs="宋体" w:eastAsia="宋体" w:hint="default"/>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年报审计的相关工作，对财务报表出具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审核意见，对审计机构的审计工作进行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总结评价，并建议续聘，提交董事会审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议。</w:t>
            </w:r>
          </w:p>
          <w:p>
            <w:pPr>
              <w:pStyle w:val="TableParagraph"/>
              <w:spacing w:line="234" w:lineRule="exact" w:before="22"/>
              <w:ind w:left="103"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、认真审核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年公司各定期财务报 </w:t>
            </w:r>
            <w:r>
              <w:rPr>
                <w:rFonts w:ascii="宋体" w:hAnsi="宋体" w:cs="宋体" w:eastAsia="宋体" w:hint="default"/>
                <w:spacing w:val="2"/>
                <w:sz w:val="18"/>
                <w:szCs w:val="18"/>
              </w:rPr>
              <w:t>表，在半年度报告审计工作中，与审计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会计师就报告中关注问题进行沟通，督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促审计师勤勉、尽责的履职。</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、与公司年度审计机构协商确定了公司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年度财务报告的审计工作时间安排以及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审计重点问题。</w:t>
            </w:r>
          </w:p>
        </w:tc>
      </w:tr>
      <w:tr>
        <w:trPr>
          <w:trHeight w:val="37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．内部审计部门的主要工作内容与工作成效</w:t>
            </w:r>
          </w:p>
        </w:tc>
        <w:tc>
          <w:tcPr>
            <w:tcW w:w="3325" w:type="dxa"/>
            <w:tcBorders>
              <w:top w:val="single" w:sz="4" w:space="0" w:color="000000"/>
              <w:left w:val="single" w:sz="4" w:space="0" w:color="000000"/>
              <w:bottom w:val="single" w:sz="4" w:space="0" w:color="000000"/>
              <w:right w:val="single" w:sz="12" w:space="0" w:color="000000"/>
            </w:tcBorders>
          </w:tcPr>
          <w:p>
            <w:pPr/>
          </w:p>
        </w:tc>
      </w:tr>
      <w:tr>
        <w:trPr>
          <w:trHeight w:val="1720"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34" w:lineRule="exact"/>
              <w:ind w:left="9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）说明内部审计部门每季度向审计委员会报告内部审计计划的执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行情况以及内部审计工作中发现的问题的具体情况</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03" w:right="85"/>
              <w:jc w:val="both"/>
              <w:rPr>
                <w:rFonts w:ascii="宋体" w:hAnsi="宋体" w:cs="宋体" w:eastAsia="宋体" w:hint="default"/>
                <w:sz w:val="18"/>
                <w:szCs w:val="18"/>
              </w:rPr>
            </w:pPr>
            <w:r>
              <w:rPr>
                <w:rFonts w:ascii="宋体" w:hAnsi="宋体" w:cs="宋体" w:eastAsia="宋体" w:hint="default"/>
                <w:spacing w:val="2"/>
                <w:sz w:val="18"/>
                <w:szCs w:val="18"/>
              </w:rPr>
              <w:t>每个季度，内部审计机构均向审计委员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汇报本季度内部审计工作的进展情况：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本季度内开展的财务、综合管理等方面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的例行审计；针对重要岗位离任、募集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资金存放与使用情况等专项审计，针对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审计中发现的问题，向相关责任部门提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出的整改意见和建议等。</w:t>
            </w:r>
          </w:p>
        </w:tc>
      </w:tr>
      <w:tr>
        <w:trPr>
          <w:trHeight w:val="155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4" w:lineRule="exact"/>
              <w:ind w:left="93" w:right="102"/>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）说明内部审计部门本年度按照内审指引及相关规定要求对重要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的对外投资、购买和出售资产、对外担保、关联交易、募集资金使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用和信息披露事务管理等事项进行审计并出具内部审计报告的具体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left="103" w:right="85"/>
              <w:jc w:val="both"/>
              <w:rPr>
                <w:rFonts w:ascii="宋体" w:hAnsi="宋体" w:cs="宋体" w:eastAsia="宋体" w:hint="default"/>
                <w:sz w:val="18"/>
                <w:szCs w:val="18"/>
              </w:rPr>
            </w:pPr>
            <w:r>
              <w:rPr>
                <w:rFonts w:ascii="宋体" w:hAnsi="宋体" w:cs="宋体" w:eastAsia="宋体" w:hint="default"/>
                <w:spacing w:val="2"/>
                <w:sz w:val="18"/>
                <w:szCs w:val="18"/>
              </w:rPr>
              <w:t>本年度，内部审计机构根据相关规定对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公司购置重庆嘉年华大厦部分楼层事项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进行了审计，并出具《购置资产专项审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计报告》；对公司募集资金存放和使用按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季度进行了审计，并出具《募集资金专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3"/>
                <w:sz w:val="18"/>
                <w:szCs w:val="18"/>
              </w:rPr>
              <w:t>项审计报告》。</w:t>
            </w:r>
          </w:p>
        </w:tc>
      </w:tr>
      <w:tr>
        <w:trPr>
          <w:trHeight w:val="772"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22"/>
              <w:ind w:left="93" w:right="10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内部审计部门在对内部控制审查过程中发现内部控制存在重大</w:t>
            </w:r>
            <w:r>
              <w:rPr>
                <w:rFonts w:ascii="宋体" w:hAnsi="宋体" w:cs="宋体" w:eastAsia="宋体" w:hint="default"/>
                <w:sz w:val="18"/>
                <w:szCs w:val="18"/>
              </w:rPr>
              <w:t> </w:t>
            </w:r>
            <w:r>
              <w:rPr>
                <w:rFonts w:ascii="宋体" w:hAnsi="宋体" w:cs="宋体" w:eastAsia="宋体" w:hint="default"/>
                <w:spacing w:val="2"/>
                <w:sz w:val="18"/>
                <w:szCs w:val="18"/>
              </w:rPr>
              <w:t>缺陷或重大风险的，说明内部控制存在的重大缺陷或重大风险，并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说明是否向审计委员会报告（如适用）</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4"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34"/>
              <w:ind w:left="93" w:right="102"/>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）说明内部审计部门是否按照有关规定评价公司与财务报告和信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息披露事务相关的内部控制制度建立和实施的有效性，并向审计委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员会提交内部控制评价报告</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79"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42"/>
              <w:ind w:left="9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）说明内部审计部门向审计委员会提交下一年度内部审计工作计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划和本年度内部审计工作报告的具体情况</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34" w:lineRule="exact" w:before="25"/>
              <w:ind w:left="103" w:right="73"/>
              <w:jc w:val="both"/>
              <w:rPr>
                <w:rFonts w:ascii="宋体" w:hAnsi="宋体" w:cs="宋体" w:eastAsia="宋体" w:hint="default"/>
                <w:sz w:val="18"/>
                <w:szCs w:val="18"/>
              </w:rPr>
            </w:pPr>
            <w:r>
              <w:rPr>
                <w:rFonts w:ascii="宋体" w:hAnsi="宋体" w:cs="宋体" w:eastAsia="宋体" w:hint="default"/>
                <w:sz w:val="18"/>
                <w:szCs w:val="18"/>
              </w:rPr>
              <w:t>已向审计委员提交</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年度内部审计工 </w:t>
            </w:r>
            <w:r>
              <w:rPr>
                <w:rFonts w:ascii="宋体" w:hAnsi="宋体" w:cs="宋体" w:eastAsia="宋体" w:hint="default"/>
                <w:spacing w:val="14"/>
                <w:sz w:val="18"/>
                <w:szCs w:val="18"/>
              </w:rPr>
              <w:t>作报告以及下一年度内部审计工作计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划。</w:t>
            </w:r>
          </w:p>
        </w:tc>
      </w:tr>
      <w:tr>
        <w:trPr>
          <w:trHeight w:val="618"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62"/>
              <w:ind w:left="9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）说明内部审计工作底稿和内部审计报告的编制和归档是否符合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相关规定</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26" w:footer="900" w:top="1100" w:bottom="1100" w:left="1420" w:right="1400"/>
        </w:sectPr>
      </w:pPr>
    </w:p>
    <w:p>
      <w:pPr>
        <w:spacing w:line="240" w:lineRule="auto" w:before="7"/>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12"/>
        <w:gridCol w:w="3325"/>
      </w:tblGrid>
      <w:tr>
        <w:trPr>
          <w:trHeight w:val="1093" w:hRule="exact"/>
        </w:trPr>
        <w:tc>
          <w:tcPr>
            <w:tcW w:w="55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）说明内部审计部门所做的其他工作</w:t>
            </w:r>
          </w:p>
        </w:tc>
        <w:tc>
          <w:tcPr>
            <w:tcW w:w="3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pacing w:val="14"/>
                <w:sz w:val="18"/>
                <w:szCs w:val="18"/>
              </w:rPr>
              <w:t>公司内部审计机构增设内部控制分系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部，强化对审计中发现问题的原因分析，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更好的提供改进建议，并为各部门提供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内部控制资讯服务。</w:t>
            </w:r>
          </w:p>
        </w:tc>
      </w:tr>
      <w:tr>
        <w:trPr>
          <w:trHeight w:val="464" w:hRule="exact"/>
        </w:trPr>
        <w:tc>
          <w:tcPr>
            <w:tcW w:w="55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3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45"/>
        <w:ind w:left="704" w:right="2568"/>
        <w:jc w:val="left"/>
      </w:pPr>
      <w:r>
        <w:rPr/>
        <w:t>七、公司治理专项活动</w:t>
      </w:r>
    </w:p>
    <w:p>
      <w:pPr>
        <w:pStyle w:val="BodyText"/>
        <w:spacing w:line="357" w:lineRule="auto" w:before="154"/>
        <w:ind w:left="223" w:right="237" w:firstLine="600"/>
        <w:jc w:val="both"/>
      </w:pPr>
      <w:r>
        <w:rPr/>
        <w:t>报告期内，公司在进一步巩固</w:t>
      </w:r>
      <w:r>
        <w:rPr>
          <w:spacing w:val="-70"/>
        </w:rPr>
        <w:t> </w:t>
      </w:r>
      <w:r>
        <w:rPr/>
        <w:t>2007</w:t>
      </w:r>
      <w:r>
        <w:rPr>
          <w:spacing w:val="-70"/>
        </w:rPr>
        <w:t> </w:t>
      </w:r>
      <w:r>
        <w:rPr/>
        <w:t>年专项治理工作成果的基础上，继续深入</w:t>
      </w:r>
      <w:r>
        <w:rPr/>
        <w:t> </w:t>
      </w:r>
      <w:r>
        <w:rPr>
          <w:spacing w:val="-1"/>
        </w:rPr>
        <w:t>推进治理活动，作好专项活动的整改收尾工作，并对公司治理专项活动进行了全面</w:t>
      </w:r>
      <w:r>
        <w:rPr>
          <w:spacing w:val="-104"/>
        </w:rPr>
        <w:t> </w:t>
      </w:r>
      <w:r>
        <w:rPr>
          <w:spacing w:val="-104"/>
        </w:rPr>
      </w:r>
      <w:r>
        <w:rPr/>
        <w:t>总结。</w:t>
      </w:r>
    </w:p>
    <w:p>
      <w:pPr>
        <w:pStyle w:val="BodyText"/>
        <w:spacing w:line="240" w:lineRule="auto" w:before="36"/>
        <w:ind w:left="775" w:right="2568"/>
        <w:jc w:val="left"/>
      </w:pPr>
      <w:r>
        <w:rPr/>
        <w:t>1、报告期内公司治理专项活动具体工作</w:t>
      </w:r>
    </w:p>
    <w:p>
      <w:pPr>
        <w:pStyle w:val="BodyText"/>
        <w:spacing w:line="357" w:lineRule="auto" w:before="154"/>
        <w:ind w:left="223" w:right="234" w:firstLine="552"/>
        <w:jc w:val="both"/>
      </w:pPr>
      <w:r>
        <w:rPr/>
        <w:t>2008</w:t>
      </w:r>
      <w:r>
        <w:rPr>
          <w:spacing w:val="17"/>
        </w:rPr>
        <w:t> </w:t>
      </w:r>
      <w:r>
        <w:rPr/>
        <w:t>年，根据相关法规要求，公司先后对《董事、监事和高级管理人员所持</w:t>
      </w:r>
      <w:r>
        <w:rPr>
          <w:spacing w:val="1"/>
        </w:rPr>
        <w:t> </w:t>
      </w:r>
      <w:r>
        <w:rPr>
          <w:spacing w:val="-8"/>
        </w:rPr>
        <w:t>公司股份及其变动管理规则》、《信息披露管理制度》、公司《章程》等做了修订，</w:t>
      </w:r>
      <w:r>
        <w:rPr>
          <w:spacing w:val="-110"/>
        </w:rPr>
        <w:t> </w:t>
      </w:r>
      <w:r>
        <w:rPr>
          <w:spacing w:val="-110"/>
        </w:rPr>
      </w:r>
      <w:r>
        <w:rPr>
          <w:spacing w:val="-8"/>
        </w:rPr>
        <w:t>并制定了《审计委员会年报工作规则》、《独立董事年报工作制度》，不断完善公司</w:t>
      </w:r>
      <w:r>
        <w:rPr>
          <w:spacing w:val="-110"/>
        </w:rPr>
        <w:t> </w:t>
      </w:r>
      <w:r>
        <w:rPr>
          <w:spacing w:val="-110"/>
        </w:rPr>
      </w:r>
      <w:r>
        <w:rPr/>
        <w:t>内部控制制度建设。</w:t>
      </w:r>
    </w:p>
    <w:p>
      <w:pPr>
        <w:pStyle w:val="BodyText"/>
        <w:spacing w:line="357" w:lineRule="auto" w:before="36"/>
        <w:ind w:left="223" w:right="218" w:firstLine="552"/>
        <w:jc w:val="both"/>
      </w:pPr>
      <w:r>
        <w:rPr>
          <w:spacing w:val="-3"/>
        </w:rPr>
        <w:t>报告期内，通过组织董事、监事及高级管理人员参加深交所、江苏证监局、保</w:t>
      </w:r>
      <w:r>
        <w:rPr/>
        <w:t> </w:t>
      </w:r>
      <w:r>
        <w:rPr>
          <w:spacing w:val="-1"/>
        </w:rPr>
        <w:t>荐机构举办的各项培训，相关人员加深了对各项法律法规的理解和认识，有利于更</w:t>
      </w:r>
      <w:r>
        <w:rPr>
          <w:spacing w:val="-104"/>
        </w:rPr>
        <w:t> </w:t>
      </w:r>
      <w:r>
        <w:rPr>
          <w:spacing w:val="-104"/>
        </w:rPr>
      </w:r>
      <w:r>
        <w:rPr/>
        <w:t>好的履行工作职责。与此同时，公司进一步加强对董事会专门委员会职能的重视， 充分发挥各委员的专业特长，有效提高了董事会决策的科学性和前瞻性。</w:t>
      </w:r>
    </w:p>
    <w:p>
      <w:pPr>
        <w:pStyle w:val="BodyText"/>
        <w:spacing w:line="357" w:lineRule="auto" w:before="36"/>
        <w:ind w:left="223" w:right="109" w:firstLine="480"/>
        <w:jc w:val="left"/>
      </w:pPr>
      <w:r>
        <w:rPr/>
        <w:t>此外，报告期内，公司还组织人员对公司与控股股东及其他关联方资金往来、 </w:t>
      </w:r>
      <w:r>
        <w:rPr>
          <w:spacing w:val="-8"/>
        </w:rPr>
        <w:t>资金占用情况进行了认真、全面的核查。在发生关联交易时，公司能够严格按照《关</w:t>
      </w:r>
      <w:r>
        <w:rPr>
          <w:spacing w:val="-84"/>
        </w:rPr>
        <w:t> </w:t>
      </w:r>
      <w:r>
        <w:rPr>
          <w:spacing w:val="-84"/>
        </w:rPr>
      </w:r>
      <w:r>
        <w:rPr>
          <w:spacing w:val="-4"/>
        </w:rPr>
        <w:t>联交易决策制度》的规定履行相关审批程序，充分发挥独立董事、审计委员会委员、</w:t>
      </w:r>
      <w:r>
        <w:rPr>
          <w:spacing w:val="-113"/>
        </w:rPr>
        <w:t> </w:t>
      </w:r>
      <w:r>
        <w:rPr>
          <w:spacing w:val="-113"/>
        </w:rPr>
      </w:r>
      <w:r>
        <w:rPr/>
        <w:t>内部审计机构在关联交易中的审核作用，借助保荐机构的外部监督，有效杜绝了大</w:t>
      </w:r>
      <w:r>
        <w:rPr/>
        <w:t> 股东占用公司资金的可能性。同时，公司进一步督促控股股东及其关联方加强对相 关法律法规的学习，提高其对资金占用危害性以及严重性的认识，从思想意识上消 除资金占用的可能性。公司防止控股股东及其附属企业占用上市公司资金、侵害上 市公司利益的长效机制得以有效建立。</w:t>
      </w:r>
    </w:p>
    <w:p>
      <w:pPr>
        <w:pStyle w:val="BodyText"/>
        <w:spacing w:line="240" w:lineRule="auto" w:before="36"/>
        <w:ind w:left="823" w:right="2568"/>
        <w:jc w:val="left"/>
      </w:pPr>
      <w:r>
        <w:rPr>
          <w:rFonts w:ascii="Times New Roman" w:hAnsi="Times New Roman" w:cs="Times New Roman" w:eastAsia="Times New Roman" w:hint="default"/>
        </w:rPr>
        <w:t>2</w:t>
      </w:r>
      <w:r>
        <w:rPr/>
        <w:t>、公司治理专项活动进展情况</w:t>
      </w:r>
    </w:p>
    <w:p>
      <w:pPr>
        <w:pStyle w:val="BodyText"/>
        <w:spacing w:line="357" w:lineRule="auto" w:before="135"/>
        <w:ind w:left="223" w:right="237" w:firstLine="480"/>
        <w:jc w:val="both"/>
      </w:pPr>
      <w:r>
        <w:rPr/>
        <w:t>公司治理是一项长期而系统的工作，自 2007</w:t>
      </w:r>
      <w:r>
        <w:rPr>
          <w:spacing w:val="-20"/>
        </w:rPr>
        <w:t> </w:t>
      </w:r>
      <w:r>
        <w:rPr/>
        <w:t>年开展公司治理专项活动以来，</w:t>
      </w:r>
      <w:r>
        <w:rPr/>
        <w:t> </w:t>
      </w:r>
      <w:r>
        <w:rPr>
          <w:spacing w:val="-1"/>
        </w:rPr>
        <w:t>公司经历了自查、公众评议、监督检查、整改提高和总结说明等阶段，严格按照中</w:t>
      </w:r>
      <w:r>
        <w:rPr>
          <w:spacing w:val="-104"/>
        </w:rPr>
        <w:t> </w:t>
      </w:r>
      <w:r>
        <w:rPr>
          <w:spacing w:val="-104"/>
        </w:rPr>
      </w:r>
      <w:r>
        <w:rPr>
          <w:spacing w:val="-1"/>
        </w:rPr>
        <w:t>国证监会、江苏证监局、深圳证券交易所的要求，不断建立健全公司内控制度、完</w:t>
      </w:r>
      <w:r>
        <w:rPr>
          <w:spacing w:val="-104"/>
        </w:rPr>
        <w:t> </w:t>
      </w:r>
      <w:r>
        <w:rPr>
          <w:spacing w:val="-104"/>
        </w:rPr>
      </w:r>
      <w:r>
        <w:rPr/>
        <w:t>善各项治理工作，在实际中不断发现问题，解决问题，取得了较好的效果。</w:t>
      </w:r>
    </w:p>
    <w:p>
      <w:pPr>
        <w:spacing w:after="0" w:line="357" w:lineRule="auto"/>
        <w:jc w:val="both"/>
        <w:sectPr>
          <w:pgSz w:w="11910" w:h="16840"/>
          <w:pgMar w:header="826" w:footer="900" w:top="1100" w:bottom="1100" w:left="1420" w:right="1400"/>
        </w:sectPr>
      </w:pPr>
    </w:p>
    <w:p>
      <w:pPr>
        <w:pStyle w:val="BodyText"/>
        <w:spacing w:line="240" w:lineRule="auto" w:before="106"/>
        <w:ind w:left="744" w:right="108"/>
        <w:jc w:val="left"/>
      </w:pPr>
      <w:r>
        <w:rPr/>
        <w:t>（1）公司自查阶段</w:t>
      </w:r>
    </w:p>
    <w:p>
      <w:pPr>
        <w:pStyle w:val="BodyText"/>
        <w:spacing w:line="357" w:lineRule="auto" w:before="154"/>
        <w:ind w:right="234" w:firstLine="600"/>
        <w:jc w:val="both"/>
      </w:pPr>
      <w:r>
        <w:rPr/>
        <w:t>2007</w:t>
      </w:r>
      <w:r>
        <w:rPr>
          <w:spacing w:val="-70"/>
        </w:rPr>
        <w:t> </w:t>
      </w:r>
      <w:r>
        <w:rPr/>
        <w:t>年，根据中国证券监督管理委员会证监公司字〔2007〕28</w:t>
      </w:r>
      <w:r>
        <w:rPr>
          <w:spacing w:val="-70"/>
        </w:rPr>
        <w:t> </w:t>
      </w:r>
      <w:r>
        <w:rPr/>
        <w:t>号文《关于加</w:t>
      </w:r>
      <w:r>
        <w:rPr/>
        <w:t> </w:t>
      </w:r>
      <w:r>
        <w:rPr>
          <w:spacing w:val="-2"/>
        </w:rPr>
        <w:t>强上市公司治理专项活动有关事项的通知》、中国证券监督管理委员会江苏监管局</w:t>
      </w:r>
      <w:r>
        <w:rPr>
          <w:spacing w:val="-96"/>
        </w:rPr>
        <w:t> </w:t>
      </w:r>
      <w:r>
        <w:rPr>
          <w:spacing w:val="-96"/>
        </w:rPr>
      </w:r>
      <w:r>
        <w:rPr/>
        <w:t>苏证监字</w:t>
      </w:r>
      <w:r>
        <w:rPr>
          <w:spacing w:val="-20"/>
        </w:rPr>
        <w:t> </w:t>
      </w:r>
      <w:r>
        <w:rPr/>
        <w:t>2007〔104〕号文《关于开展上市公司治理专项活动相关工作的通知》的</w:t>
      </w:r>
      <w:r>
        <w:rPr/>
        <w:t> </w:t>
      </w:r>
      <w:r>
        <w:rPr>
          <w:spacing w:val="-1"/>
        </w:rPr>
        <w:t>要求，公司成立了加强上市公司治理专项活动的工作小组，对公司开展全面自查工</w:t>
      </w:r>
      <w:r>
        <w:rPr>
          <w:spacing w:val="-104"/>
        </w:rPr>
        <w:t> </w:t>
      </w:r>
      <w:r>
        <w:rPr>
          <w:spacing w:val="-104"/>
        </w:rPr>
      </w:r>
      <w:r>
        <w:rPr/>
        <w:t>作。</w:t>
      </w:r>
    </w:p>
    <w:p>
      <w:pPr>
        <w:pStyle w:val="BodyText"/>
        <w:spacing w:line="240" w:lineRule="auto" w:before="36"/>
        <w:ind w:left="563" w:right="0"/>
        <w:jc w:val="left"/>
      </w:pPr>
      <w:r>
        <w:rPr>
          <w:spacing w:val="30"/>
        </w:rPr>
        <w:t>2007年4月6</w:t>
      </w:r>
      <w:r>
        <w:rPr>
          <w:spacing w:val="-55"/>
        </w:rPr>
        <w:t> </w:t>
      </w:r>
      <w:r>
        <w:rPr>
          <w:spacing w:val="-5"/>
        </w:rPr>
        <w:t>日，经第二届董事会第十四次会议审议通过，公司在巨潮资讯网、</w:t>
      </w:r>
    </w:p>
    <w:p>
      <w:pPr>
        <w:pStyle w:val="BodyText"/>
        <w:spacing w:line="357" w:lineRule="auto" w:before="154"/>
        <w:ind w:right="99"/>
        <w:jc w:val="left"/>
      </w:pPr>
      <w:r>
        <w:rPr>
          <w:spacing w:val="2"/>
        </w:rPr>
        <w:t>《证券时报</w:t>
      </w:r>
      <w:r>
        <w:rPr>
          <w:spacing w:val="-118"/>
        </w:rPr>
        <w:t>》、</w:t>
      </w:r>
      <w:r>
        <w:rPr>
          <w:spacing w:val="2"/>
        </w:rPr>
        <w:t>《中国证券报</w:t>
      </w:r>
      <w:r>
        <w:rPr>
          <w:spacing w:val="-118"/>
        </w:rPr>
        <w:t>》、</w:t>
      </w:r>
      <w:r>
        <w:rPr>
          <w:spacing w:val="2"/>
        </w:rPr>
        <w:t>《上海证券报</w:t>
      </w:r>
      <w:r>
        <w:rPr>
          <w:spacing w:val="-118"/>
        </w:rPr>
        <w:t>》</w:t>
      </w:r>
      <w:r>
        <w:rPr>
          <w:spacing w:val="-117"/>
        </w:rPr>
        <w:t>、</w:t>
      </w:r>
      <w:r>
        <w:rPr>
          <w:spacing w:val="2"/>
        </w:rPr>
        <w:t>《证券日报</w:t>
      </w:r>
      <w:r>
        <w:rPr>
          <w:spacing w:val="-118"/>
        </w:rPr>
        <w:t>》</w:t>
      </w:r>
      <w:r>
        <w:rPr>
          <w:spacing w:val="2"/>
        </w:rPr>
        <w:t>（以下简称“指定信息</w:t>
      </w:r>
      <w:r>
        <w:rPr>
          <w:spacing w:val="2"/>
        </w:rPr>
        <w:t> </w:t>
      </w:r>
      <w:r>
        <w:rPr/>
        <w:t>披露媒体</w:t>
      </w:r>
      <w:r>
        <w:rPr>
          <w:spacing w:val="-120"/>
        </w:rPr>
        <w:t>”</w:t>
      </w:r>
      <w:r>
        <w:rPr>
          <w:spacing w:val="-6"/>
        </w:rPr>
        <w:t>）</w:t>
      </w:r>
      <w:r>
        <w:rPr/>
        <w:t>上刊登</w:t>
      </w:r>
      <w:r>
        <w:rPr>
          <w:spacing w:val="-6"/>
        </w:rPr>
        <w:t>了</w:t>
      </w:r>
      <w:r>
        <w:rPr/>
        <w:t>《苏宁电器股份有限公司关</w:t>
      </w:r>
      <w:r>
        <w:rPr>
          <w:spacing w:val="-6"/>
        </w:rPr>
        <w:t>于</w:t>
      </w:r>
      <w:r>
        <w:rPr/>
        <w:t>“加强上市公司治理专项活动”</w:t>
      </w:r>
      <w:r>
        <w:rPr/>
        <w:t> 的自查报告</w:t>
      </w:r>
      <w:r>
        <w:rPr>
          <w:spacing w:val="-120"/>
        </w:rPr>
        <w:t>》</w:t>
      </w:r>
      <w:r>
        <w:rPr>
          <w:spacing w:val="-107"/>
        </w:rPr>
        <w:t>；</w:t>
      </w:r>
      <w:r>
        <w:rPr/>
        <w:t>200</w:t>
      </w:r>
      <w:r>
        <w:rPr>
          <w:spacing w:val="60"/>
        </w:rPr>
        <w:t>7年5</w:t>
      </w:r>
      <w:r>
        <w:rPr/>
        <w:t>月</w:t>
      </w:r>
      <w:r>
        <w:rPr>
          <w:spacing w:val="-60"/>
        </w:rPr>
        <w:t> </w:t>
      </w:r>
      <w:r>
        <w:rPr/>
        <w:t>18</w:t>
      </w:r>
      <w:r>
        <w:rPr>
          <w:spacing w:val="-60"/>
        </w:rPr>
        <w:t> </w:t>
      </w:r>
      <w:r>
        <w:rPr/>
        <w:t>日</w:t>
      </w:r>
      <w:r>
        <w:rPr>
          <w:spacing w:val="-107"/>
        </w:rPr>
        <w:t>，</w:t>
      </w:r>
      <w:r>
        <w:rPr/>
        <w:t>公司第二届董事会第四十五次会议审议通过</w:t>
      </w:r>
      <w:r>
        <w:rPr>
          <w:spacing w:val="-107"/>
        </w:rPr>
        <w:t>了</w:t>
      </w:r>
      <w:r>
        <w:rPr/>
        <w:t>《自</w:t>
      </w:r>
      <w:r>
        <w:rPr/>
        <w:t> 查报告及整改计划</w:t>
      </w:r>
      <w:r>
        <w:rPr>
          <w:spacing w:val="-120"/>
        </w:rPr>
        <w:t>》</w:t>
      </w:r>
      <w:r>
        <w:rPr/>
        <w:t>，相关内容提交了江苏证监局、深圳证券交易所审核、备案。</w:t>
      </w:r>
    </w:p>
    <w:p>
      <w:pPr>
        <w:pStyle w:val="BodyText"/>
        <w:spacing w:line="240" w:lineRule="auto" w:before="36"/>
        <w:ind w:left="563" w:right="108"/>
        <w:jc w:val="left"/>
      </w:pPr>
      <w:r>
        <w:rPr/>
        <w:t>（2）公众评议及监督检查阶段</w:t>
      </w:r>
    </w:p>
    <w:p>
      <w:pPr>
        <w:pStyle w:val="BodyText"/>
        <w:spacing w:line="240" w:lineRule="auto" w:before="154"/>
        <w:ind w:left="563" w:right="108"/>
        <w:jc w:val="left"/>
      </w:pPr>
      <w:r>
        <w:rPr/>
        <w:t>2007</w:t>
      </w:r>
      <w:r>
        <w:rPr>
          <w:spacing w:val="-54"/>
        </w:rPr>
        <w:t> </w:t>
      </w:r>
      <w:r>
        <w:rPr/>
        <w:t>年</w:t>
      </w:r>
      <w:r>
        <w:rPr>
          <w:spacing w:val="-54"/>
        </w:rPr>
        <w:t> </w:t>
      </w:r>
      <w:r>
        <w:rPr/>
        <w:t>4</w:t>
      </w:r>
      <w:r>
        <w:rPr>
          <w:spacing w:val="-55"/>
        </w:rPr>
        <w:t> </w:t>
      </w:r>
      <w:r>
        <w:rPr/>
        <w:t>月</w:t>
      </w:r>
      <w:r>
        <w:rPr>
          <w:spacing w:val="-54"/>
        </w:rPr>
        <w:t> </w:t>
      </w:r>
      <w:r>
        <w:rPr/>
        <w:t>6</w:t>
      </w:r>
      <w:r>
        <w:rPr>
          <w:spacing w:val="-54"/>
        </w:rPr>
        <w:t> </w:t>
      </w:r>
      <w:r>
        <w:rPr/>
        <w:t>日至</w:t>
      </w:r>
      <w:r>
        <w:rPr>
          <w:spacing w:val="-54"/>
        </w:rPr>
        <w:t> </w:t>
      </w:r>
      <w:r>
        <w:rPr/>
        <w:t>2007</w:t>
      </w:r>
      <w:r>
        <w:rPr>
          <w:spacing w:val="-54"/>
        </w:rPr>
        <w:t> </w:t>
      </w:r>
      <w:r>
        <w:rPr/>
        <w:t>年</w:t>
      </w:r>
      <w:r>
        <w:rPr>
          <w:spacing w:val="-54"/>
        </w:rPr>
        <w:t> </w:t>
      </w:r>
      <w:r>
        <w:rPr/>
        <w:t>10</w:t>
      </w:r>
      <w:r>
        <w:rPr>
          <w:spacing w:val="-55"/>
        </w:rPr>
        <w:t> </w:t>
      </w:r>
      <w:r>
        <w:rPr/>
        <w:t>月</w:t>
      </w:r>
      <w:r>
        <w:rPr>
          <w:spacing w:val="-54"/>
        </w:rPr>
        <w:t> </w:t>
      </w:r>
      <w:r>
        <w:rPr/>
        <w:t>29</w:t>
      </w:r>
      <w:r>
        <w:rPr>
          <w:spacing w:val="-54"/>
        </w:rPr>
        <w:t> </w:t>
      </w:r>
      <w:r>
        <w:rPr/>
        <w:t>日，公司针对上市公司治理专项活动开展</w:t>
      </w:r>
    </w:p>
    <w:p>
      <w:pPr>
        <w:pStyle w:val="BodyText"/>
        <w:spacing w:line="357" w:lineRule="auto" w:before="154"/>
        <w:ind w:right="233"/>
        <w:jc w:val="both"/>
      </w:pPr>
      <w:r>
        <w:rPr/>
        <w:t>公众评议。2007</w:t>
      </w:r>
      <w:r>
        <w:rPr>
          <w:spacing w:val="-54"/>
        </w:rPr>
        <w:t> </w:t>
      </w:r>
      <w:r>
        <w:rPr/>
        <w:t>年</w:t>
      </w:r>
      <w:r>
        <w:rPr>
          <w:spacing w:val="-54"/>
        </w:rPr>
        <w:t> </w:t>
      </w:r>
      <w:r>
        <w:rPr/>
        <w:t>6</w:t>
      </w:r>
      <w:r>
        <w:rPr>
          <w:spacing w:val="-54"/>
        </w:rPr>
        <w:t> </w:t>
      </w:r>
      <w:r>
        <w:rPr/>
        <w:t>月，江苏证监局对公司进行了现场检查，并于</w:t>
      </w:r>
      <w:r>
        <w:rPr>
          <w:spacing w:val="-54"/>
        </w:rPr>
        <w:t> </w:t>
      </w:r>
      <w:r>
        <w:rPr>
          <w:spacing w:val="22"/>
        </w:rPr>
        <w:t>2007年7</w:t>
      </w:r>
      <w:r>
        <w:rPr>
          <w:spacing w:val="-54"/>
        </w:rPr>
        <w:t> </w:t>
      </w:r>
      <w:r>
        <w:rPr/>
        <w:t>月向</w:t>
      </w:r>
      <w:r>
        <w:rPr/>
        <w:t> </w:t>
      </w:r>
      <w:r>
        <w:rPr>
          <w:spacing w:val="-2"/>
        </w:rPr>
        <w:t>公司出具了《关于对苏宁电器公司治理状况的综合评价和整改建议的函》（苏证监</w:t>
      </w:r>
      <w:r>
        <w:rPr>
          <w:spacing w:val="-92"/>
        </w:rPr>
        <w:t> </w:t>
      </w:r>
      <w:r>
        <w:rPr>
          <w:spacing w:val="-92"/>
        </w:rPr>
      </w:r>
      <w:r>
        <w:rPr>
          <w:spacing w:val="-5"/>
        </w:rPr>
        <w:t>函〔2007〕149</w:t>
      </w:r>
      <w:r>
        <w:rPr>
          <w:spacing w:val="-56"/>
        </w:rPr>
        <w:t> </w:t>
      </w:r>
      <w:r>
        <w:rPr>
          <w:spacing w:val="-13"/>
        </w:rPr>
        <w:t>号）；深圳证券交易所于</w:t>
      </w:r>
      <w:r>
        <w:rPr>
          <w:spacing w:val="-56"/>
        </w:rPr>
        <w:t> </w:t>
      </w:r>
      <w:r>
        <w:rPr/>
        <w:t>2007</w:t>
      </w:r>
      <w:r>
        <w:rPr>
          <w:spacing w:val="-56"/>
        </w:rPr>
        <w:t> </w:t>
      </w:r>
      <w:r>
        <w:rPr/>
        <w:t>年</w:t>
      </w:r>
      <w:r>
        <w:rPr>
          <w:spacing w:val="-56"/>
        </w:rPr>
        <w:t> </w:t>
      </w:r>
      <w:r>
        <w:rPr/>
        <w:t>11</w:t>
      </w:r>
      <w:r>
        <w:rPr>
          <w:spacing w:val="-56"/>
        </w:rPr>
        <w:t> </w:t>
      </w:r>
      <w:r>
        <w:rPr>
          <w:spacing w:val="-2"/>
        </w:rPr>
        <w:t>月向公司出具了《关于对苏宁电</w:t>
      </w:r>
    </w:p>
    <w:p>
      <w:pPr>
        <w:pStyle w:val="BodyText"/>
        <w:spacing w:line="240" w:lineRule="auto" w:before="36"/>
        <w:ind w:right="0"/>
        <w:jc w:val="both"/>
        <w:rPr>
          <w:rFonts w:ascii="Times New Roman" w:hAnsi="Times New Roman" w:cs="Times New Roman" w:eastAsia="Times New Roman" w:hint="default"/>
        </w:rPr>
      </w:pPr>
      <w:r>
        <w:rPr>
          <w:spacing w:val="5"/>
        </w:rPr>
        <w:t>器股份有限公司治理状况的综合评价意见</w:t>
      </w:r>
      <w:r>
        <w:rPr>
          <w:spacing w:val="-115"/>
        </w:rPr>
        <w:t>》</w:t>
      </w:r>
      <w:r>
        <w:rPr>
          <w:spacing w:val="5"/>
        </w:rPr>
        <w:t>（发审部公司治理评价</w:t>
      </w:r>
      <w:r>
        <w:rPr>
          <w:spacing w:val="6"/>
        </w:rPr>
        <w:t>函</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6"/>
        </w:rPr>
        <w:t>]</w:t>
      </w:r>
      <w:r>
        <w:rPr/>
        <w:t>第</w:t>
      </w:r>
      <w:r>
        <w:rPr>
          <w:spacing w:val="6"/>
        </w:rPr>
        <w:t> </w:t>
      </w:r>
      <w:r>
        <w:rPr>
          <w:rFonts w:ascii="Times New Roman" w:hAnsi="Times New Roman" w:cs="Times New Roman" w:eastAsia="Times New Roman" w:hint="default"/>
          <w:spacing w:val="-1"/>
        </w:rPr>
        <w:t>128</w:t>
      </w:r>
      <w:r>
        <w:rPr>
          <w:rFonts w:ascii="Times New Roman" w:hAnsi="Times New Roman" w:cs="Times New Roman" w:eastAsia="Times New Roman" w:hint="default"/>
        </w:rPr>
      </w:r>
    </w:p>
    <w:p>
      <w:pPr>
        <w:pStyle w:val="BodyText"/>
        <w:spacing w:line="240" w:lineRule="auto" w:before="135"/>
        <w:ind w:right="0"/>
        <w:jc w:val="both"/>
      </w:pPr>
      <w:r>
        <w:rPr/>
        <w:t>号</w:t>
      </w:r>
      <w:r>
        <w:rPr>
          <w:spacing w:val="-120"/>
        </w:rPr>
        <w:t>）</w:t>
      </w:r>
      <w:r>
        <w:rPr/>
        <w:t>。</w:t>
      </w:r>
    </w:p>
    <w:p>
      <w:pPr>
        <w:pStyle w:val="BodyText"/>
        <w:spacing w:line="338" w:lineRule="auto" w:before="154"/>
        <w:ind w:left="623" w:right="235"/>
        <w:jc w:val="left"/>
      </w:pPr>
      <w:r>
        <w:rPr/>
        <w:t>（</w:t>
      </w:r>
      <w:r>
        <w:rPr>
          <w:rFonts w:ascii="Times New Roman" w:hAnsi="Times New Roman" w:cs="Times New Roman" w:eastAsia="Times New Roman" w:hint="default"/>
        </w:rPr>
        <w:t>3</w:t>
      </w:r>
      <w:r>
        <w:rPr/>
        <w:t>）整改提高阶段 </w:t>
      </w:r>
      <w:r>
        <w:rPr>
          <w:spacing w:val="-1"/>
        </w:rPr>
        <w:t>针对公司自查结果、监管部门的整改建议以及公众评议中发现的问题，公司专</w:t>
      </w:r>
    </w:p>
    <w:p>
      <w:pPr>
        <w:pStyle w:val="BodyText"/>
        <w:spacing w:line="348" w:lineRule="auto" w:before="55"/>
        <w:ind w:right="117"/>
        <w:jc w:val="both"/>
      </w:pPr>
      <w:r>
        <w:rPr>
          <w:spacing w:val="-3"/>
        </w:rPr>
        <w:t>项小组制定了严密的整改计划，及时进行了整改。</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5"/>
        </w:rPr>
        <w:t>日，经公司第三</w:t>
      </w:r>
      <w:r>
        <w:rPr>
          <w:spacing w:val="-114"/>
        </w:rPr>
        <w:t> </w:t>
      </w:r>
      <w:r>
        <w:rPr>
          <w:spacing w:val="-114"/>
        </w:rPr>
      </w:r>
      <w:r>
        <w:rPr/>
        <w:t>届董事会第六次会议审议通过，公司在指定信息披露媒体上刊登了《苏宁电器股份</w:t>
      </w:r>
      <w:r>
        <w:rPr/>
        <w:t> </w:t>
      </w:r>
      <w:r>
        <w:rPr>
          <w:spacing w:val="-16"/>
        </w:rPr>
        <w:t>有限公司关于“加强上市公司治理专项活动”的整改报告》（以下简称“整改报告”）。</w:t>
      </w:r>
    </w:p>
    <w:p>
      <w:pPr>
        <w:pStyle w:val="BodyText"/>
        <w:spacing w:line="240" w:lineRule="auto" w:before="46"/>
        <w:ind w:left="623" w:right="108"/>
        <w:jc w:val="left"/>
      </w:pPr>
      <w:r>
        <w:rPr/>
        <w:t>（4）总结说明阶段</w:t>
      </w:r>
    </w:p>
    <w:p>
      <w:pPr>
        <w:pStyle w:val="BodyText"/>
        <w:spacing w:line="338" w:lineRule="auto" w:before="154"/>
        <w:ind w:right="225" w:firstLine="480"/>
        <w:jc w:val="left"/>
      </w:pPr>
      <w:r>
        <w:rPr/>
        <w:t>根据中国证券监督管理委员会公告〔</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27 </w:t>
      </w:r>
      <w:r>
        <w:rPr/>
        <w:t>号文件要求，</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年公司进一 步了巩固专项治理活动成果。经严格自查，截至</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日，公司《整改报</w:t>
      </w:r>
    </w:p>
    <w:p>
      <w:pPr>
        <w:pStyle w:val="BodyText"/>
        <w:spacing w:line="350" w:lineRule="auto" w:before="27"/>
        <w:ind w:right="234"/>
        <w:jc w:val="both"/>
      </w:pPr>
      <w:r>
        <w:rPr/>
        <w:t>告》中所列整改措施均以一一落实，所列事项均整改到位。</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日，经</w:t>
      </w:r>
      <w:r>
        <w:rPr>
          <w:spacing w:val="-1"/>
        </w:rPr>
        <w:t> 公司第三届董事会第十七次会议审议通过，公司在指定信息披露媒体上刊登了《苏</w:t>
      </w:r>
      <w:r>
        <w:rPr>
          <w:spacing w:val="-104"/>
        </w:rPr>
        <w:t> </w:t>
      </w:r>
      <w:r>
        <w:rPr>
          <w:spacing w:val="-104"/>
        </w:rPr>
      </w:r>
      <w:r>
        <w:rPr>
          <w:spacing w:val="-2"/>
        </w:rPr>
        <w:t>宁电器股份有限公司关于公司治理整改情况说明的报告》，相关总结报告也已报送</w:t>
      </w:r>
      <w:r>
        <w:rPr>
          <w:spacing w:val="-94"/>
        </w:rPr>
        <w:t> </w:t>
      </w:r>
      <w:r>
        <w:rPr>
          <w:spacing w:val="-94"/>
        </w:rPr>
      </w:r>
      <w:r>
        <w:rPr/>
        <w:t>江苏证监局。</w:t>
      </w:r>
    </w:p>
    <w:p>
      <w:pPr>
        <w:spacing w:after="0" w:line="350" w:lineRule="auto"/>
        <w:jc w:val="both"/>
        <w:sectPr>
          <w:pgSz w:w="11910" w:h="16840"/>
          <w:pgMar w:header="826" w:footer="900" w:top="1100" w:bottom="1100" w:left="1500" w:right="1400"/>
        </w:sectPr>
      </w:pPr>
    </w:p>
    <w:p>
      <w:pPr>
        <w:pStyle w:val="Heading1"/>
        <w:tabs>
          <w:tab w:pos="4132" w:val="left" w:leader="none"/>
        </w:tabs>
        <w:spacing w:line="240" w:lineRule="auto"/>
        <w:ind w:right="198"/>
        <w:jc w:val="left"/>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217"/>
        <w:ind w:left="144" w:right="217" w:firstLine="480"/>
        <w:jc w:val="both"/>
      </w:pPr>
      <w:r>
        <w:rPr>
          <w:spacing w:val="-1"/>
        </w:rPr>
        <w:t>报告期内，公司共召开一次年度股东大会和两次临时股东大会。股东大会的通</w:t>
      </w:r>
      <w:r>
        <w:rPr/>
        <w:t> </w:t>
      </w:r>
      <w:r>
        <w:rPr>
          <w:spacing w:val="-8"/>
        </w:rPr>
        <w:t>知、召开、出席人员的资格、表决程序符合《公司法》、《上市公司股东大会规范意</w:t>
      </w:r>
      <w:r>
        <w:rPr>
          <w:spacing w:val="-84"/>
        </w:rPr>
        <w:t> </w:t>
      </w:r>
      <w:r>
        <w:rPr>
          <w:spacing w:val="-84"/>
        </w:rPr>
      </w:r>
      <w:r>
        <w:rPr/>
        <w:t>见》和公司《章程》的有关规定。</w:t>
      </w:r>
    </w:p>
    <w:p>
      <w:pPr>
        <w:spacing w:line="240" w:lineRule="auto" w:before="0"/>
        <w:rPr>
          <w:rFonts w:ascii="宋体" w:hAnsi="宋体" w:cs="宋体" w:eastAsia="宋体" w:hint="default"/>
          <w:sz w:val="24"/>
          <w:szCs w:val="24"/>
        </w:rPr>
      </w:pPr>
    </w:p>
    <w:p>
      <w:pPr>
        <w:pStyle w:val="BodyText"/>
        <w:spacing w:line="240" w:lineRule="auto" w:before="190"/>
        <w:ind w:left="579" w:right="198"/>
        <w:jc w:val="left"/>
      </w:pPr>
      <w:r>
        <w:rPr/>
        <w:t>1、公司于</w:t>
      </w:r>
      <w:r>
        <w:rPr>
          <w:spacing w:val="-60"/>
        </w:rPr>
        <w:t> </w:t>
      </w:r>
      <w:r>
        <w:rPr>
          <w:spacing w:val="30"/>
        </w:rPr>
        <w:t>2008年1月2</w:t>
      </w:r>
      <w:r>
        <w:rPr>
          <w:spacing w:val="-60"/>
        </w:rPr>
        <w:t> </w:t>
      </w:r>
      <w:r>
        <w:rPr/>
        <w:t>日在公司会议室召开</w:t>
      </w:r>
      <w:r>
        <w:rPr>
          <w:spacing w:val="-60"/>
        </w:rPr>
        <w:t> </w:t>
      </w:r>
      <w:r>
        <w:rPr/>
        <w:t>2007</w:t>
      </w:r>
      <w:r>
        <w:rPr>
          <w:spacing w:val="-60"/>
        </w:rPr>
        <w:t> </w:t>
      </w:r>
      <w:r>
        <w:rPr/>
        <w:t>年第三次临时股东大会。</w:t>
      </w:r>
    </w:p>
    <w:p>
      <w:pPr>
        <w:pStyle w:val="BodyText"/>
        <w:spacing w:line="357" w:lineRule="auto" w:before="154"/>
        <w:ind w:left="144" w:right="138" w:firstLine="435"/>
        <w:jc w:val="both"/>
      </w:pPr>
      <w:r>
        <w:rPr/>
        <w:t>2007</w:t>
      </w:r>
      <w:r>
        <w:rPr>
          <w:spacing w:val="-44"/>
        </w:rPr>
        <w:t> </w:t>
      </w:r>
      <w:r>
        <w:rPr/>
        <w:t>年</w:t>
      </w:r>
      <w:r>
        <w:rPr>
          <w:spacing w:val="-44"/>
        </w:rPr>
        <w:t> </w:t>
      </w:r>
      <w:r>
        <w:rPr/>
        <w:t>12</w:t>
      </w:r>
      <w:r>
        <w:rPr>
          <w:spacing w:val="-42"/>
        </w:rPr>
        <w:t> </w:t>
      </w:r>
      <w:r>
        <w:rPr/>
        <w:t>月</w:t>
      </w:r>
      <w:r>
        <w:rPr>
          <w:spacing w:val="-44"/>
        </w:rPr>
        <w:t> </w:t>
      </w:r>
      <w:r>
        <w:rPr/>
        <w:t>15</w:t>
      </w:r>
      <w:r>
        <w:rPr>
          <w:spacing w:val="-44"/>
        </w:rPr>
        <w:t> </w:t>
      </w:r>
      <w:r>
        <w:rPr/>
        <w:t>日，公司在巨潮资讯网</w:t>
      </w:r>
      <w:r>
        <w:rPr>
          <w:spacing w:val="-120"/>
        </w:rPr>
        <w:t>、</w:t>
      </w:r>
      <w:r>
        <w:rPr/>
        <w:t>《证券时报</w:t>
      </w:r>
      <w:r>
        <w:rPr>
          <w:spacing w:val="-120"/>
        </w:rPr>
        <w:t>》、</w:t>
      </w:r>
      <w:r>
        <w:rPr/>
        <w:t>《中国证券报</w:t>
      </w:r>
      <w:r>
        <w:rPr>
          <w:spacing w:val="-120"/>
        </w:rPr>
        <w:t>》、</w:t>
      </w:r>
      <w:r>
        <w:rPr/>
        <w:t>《上海</w:t>
      </w:r>
      <w:r>
        <w:rPr/>
        <w:t> 证券报</w:t>
      </w:r>
      <w:r>
        <w:rPr>
          <w:spacing w:val="-120"/>
        </w:rPr>
        <w:t>》、</w:t>
      </w:r>
      <w:r>
        <w:rPr/>
        <w:t>《证券日报》上以公告形式发出会议通知，明确了召开股东大会的时间、</w:t>
      </w:r>
      <w:r>
        <w:rPr/>
        <w:t> 地点、内容及参会方法等。2007</w:t>
      </w:r>
      <w:r>
        <w:rPr>
          <w:spacing w:val="-60"/>
        </w:rPr>
        <w:t> </w:t>
      </w:r>
      <w:r>
        <w:rPr/>
        <w:t>年</w:t>
      </w:r>
      <w:r>
        <w:rPr>
          <w:spacing w:val="-60"/>
        </w:rPr>
        <w:t> </w:t>
      </w:r>
      <w:r>
        <w:rPr/>
        <w:t>12</w:t>
      </w:r>
      <w:r>
        <w:rPr>
          <w:spacing w:val="-60"/>
        </w:rPr>
        <w:t> </w:t>
      </w:r>
      <w:r>
        <w:rPr/>
        <w:t>月</w:t>
      </w:r>
      <w:r>
        <w:rPr>
          <w:spacing w:val="-60"/>
        </w:rPr>
        <w:t> </w:t>
      </w:r>
      <w:r>
        <w:rPr/>
        <w:t>22</w:t>
      </w:r>
      <w:r>
        <w:rPr>
          <w:spacing w:val="-60"/>
        </w:rPr>
        <w:t> </w:t>
      </w:r>
      <w:r>
        <w:rPr/>
        <w:t>日，公司在巨潮资讯网</w:t>
      </w:r>
      <w:r>
        <w:rPr>
          <w:spacing w:val="-120"/>
        </w:rPr>
        <w:t>、</w:t>
      </w:r>
      <w:r>
        <w:rPr/>
        <w:t>《证券时报</w:t>
      </w:r>
      <w:r>
        <w:rPr>
          <w:spacing w:val="-120"/>
        </w:rPr>
        <w:t>》</w:t>
      </w:r>
      <w:r>
        <w:rPr/>
        <w:t>、</w:t>
      </w:r>
    </w:p>
    <w:p>
      <w:pPr>
        <w:pStyle w:val="BodyText"/>
        <w:spacing w:line="357" w:lineRule="auto" w:before="36"/>
        <w:ind w:left="144" w:right="198"/>
        <w:jc w:val="left"/>
      </w:pPr>
      <w:r>
        <w:rPr>
          <w:spacing w:val="6"/>
        </w:rPr>
        <w:t>《中国证券报</w:t>
      </w:r>
      <w:r>
        <w:rPr>
          <w:spacing w:val="-114"/>
        </w:rPr>
        <w:t>》、</w:t>
      </w:r>
      <w:r>
        <w:rPr>
          <w:spacing w:val="6"/>
        </w:rPr>
        <w:t>《上海证券报</w:t>
      </w:r>
      <w:r>
        <w:rPr>
          <w:spacing w:val="-114"/>
        </w:rPr>
        <w:t>》、</w:t>
      </w:r>
      <w:r>
        <w:rPr>
          <w:spacing w:val="6"/>
        </w:rPr>
        <w:t>《证券日报》上以公告形式发出《关于延期召开</w:t>
      </w:r>
      <w:r>
        <w:rPr>
          <w:spacing w:val="6"/>
        </w:rPr>
        <w:t> </w:t>
      </w:r>
      <w:r>
        <w:rPr/>
        <w:t>2007</w:t>
      </w:r>
      <w:r>
        <w:rPr>
          <w:spacing w:val="-56"/>
        </w:rPr>
        <w:t> </w:t>
      </w:r>
      <w:r>
        <w:rPr/>
        <w:t>年第三次临时股东大会的公告</w:t>
      </w:r>
      <w:r>
        <w:rPr>
          <w:spacing w:val="-120"/>
        </w:rPr>
        <w:t>》</w:t>
      </w:r>
      <w:r>
        <w:rPr/>
        <w:t>。股东大会于</w:t>
      </w:r>
      <w:r>
        <w:rPr>
          <w:spacing w:val="-56"/>
        </w:rPr>
        <w:t> </w:t>
      </w:r>
      <w:r>
        <w:rPr/>
        <w:t>200</w:t>
      </w:r>
      <w:r>
        <w:rPr>
          <w:spacing w:val="64"/>
        </w:rPr>
        <w:t>8年1月</w:t>
      </w:r>
      <w:r>
        <w:rPr/>
        <w:t>2</w:t>
      </w:r>
      <w:r>
        <w:rPr>
          <w:spacing w:val="-56"/>
        </w:rPr>
        <w:t> </w:t>
      </w:r>
      <w:r>
        <w:rPr/>
        <w:t>日上午</w:t>
      </w:r>
      <w:r>
        <w:rPr>
          <w:spacing w:val="-56"/>
        </w:rPr>
        <w:t> </w:t>
      </w:r>
      <w:r>
        <w:rPr/>
        <w:t>10：00</w:t>
      </w:r>
      <w:r>
        <w:rPr>
          <w:spacing w:val="-56"/>
        </w:rPr>
        <w:t> </w:t>
      </w:r>
      <w:r>
        <w:rPr/>
        <w:t>在</w:t>
      </w:r>
    </w:p>
    <w:p>
      <w:pPr>
        <w:pStyle w:val="BodyText"/>
        <w:spacing w:line="240" w:lineRule="auto" w:before="36"/>
        <w:ind w:left="144" w:right="87"/>
        <w:jc w:val="left"/>
      </w:pPr>
      <w:r>
        <w:rPr/>
        <w:t>公司十七楼会议室召开，出席会议的股东及股东代理人共计 31</w:t>
      </w:r>
      <w:r>
        <w:rPr>
          <w:spacing w:val="-20"/>
        </w:rPr>
        <w:t> </w:t>
      </w:r>
      <w:r>
        <w:rPr/>
        <w:t>人，代表公司股份</w:t>
      </w:r>
    </w:p>
    <w:p>
      <w:pPr>
        <w:pStyle w:val="BodyText"/>
        <w:spacing w:line="357" w:lineRule="auto" w:before="154"/>
        <w:ind w:left="144" w:right="202"/>
        <w:jc w:val="left"/>
      </w:pPr>
      <w:r>
        <w:rPr/>
        <w:t>809,264,311</w:t>
      </w:r>
      <w:r>
        <w:rPr>
          <w:spacing w:val="-53"/>
        </w:rPr>
        <w:t> </w:t>
      </w:r>
      <w:r>
        <w:rPr>
          <w:spacing w:val="-6"/>
        </w:rPr>
        <w:t>股，占公司股本总额的</w:t>
      </w:r>
      <w:r>
        <w:rPr>
          <w:spacing w:val="-53"/>
        </w:rPr>
        <w:t> </w:t>
      </w:r>
      <w:r>
        <w:rPr>
          <w:spacing w:val="-9"/>
        </w:rPr>
        <w:t>56.14%。会议的召开符合《公司法》和公司《章</w:t>
      </w:r>
      <w:r>
        <w:rPr/>
        <w:t> 程》的规定。大会以记名表决方式，审议并通过了以下议案：</w:t>
      </w:r>
    </w:p>
    <w:p>
      <w:pPr>
        <w:pStyle w:val="BodyText"/>
        <w:spacing w:line="240" w:lineRule="auto" w:before="36"/>
        <w:ind w:left="579" w:right="198"/>
        <w:jc w:val="left"/>
      </w:pPr>
      <w:r>
        <w:rPr/>
        <w:t>（1</w:t>
      </w:r>
      <w:r>
        <w:rPr>
          <w:spacing w:val="-120"/>
        </w:rPr>
        <w:t>）</w:t>
      </w:r>
      <w:r>
        <w:rPr/>
        <w:t>《关于变更公司 2007 年度财务审计机构的议案</w:t>
      </w:r>
      <w:r>
        <w:rPr>
          <w:spacing w:val="-120"/>
        </w:rPr>
        <w:t>》</w:t>
      </w:r>
      <w:r>
        <w:rPr/>
        <w:t>；</w:t>
      </w:r>
    </w:p>
    <w:p>
      <w:pPr>
        <w:pStyle w:val="BodyText"/>
        <w:spacing w:line="240" w:lineRule="auto" w:before="154"/>
        <w:ind w:left="579" w:right="198"/>
        <w:jc w:val="left"/>
      </w:pPr>
      <w:r>
        <w:rPr/>
        <w:t>（2</w:t>
      </w:r>
      <w:r>
        <w:rPr>
          <w:spacing w:val="-120"/>
        </w:rPr>
        <w:t>）</w:t>
      </w:r>
      <w:r>
        <w:rPr/>
        <w:t>《关于修改公司〈章程〉的议案</w:t>
      </w:r>
      <w:r>
        <w:rPr>
          <w:spacing w:val="-120"/>
        </w:rPr>
        <w:t>》</w:t>
      </w:r>
      <w:r>
        <w:rPr/>
        <w:t>；</w:t>
      </w:r>
    </w:p>
    <w:p>
      <w:pPr>
        <w:pStyle w:val="BodyText"/>
        <w:spacing w:line="240" w:lineRule="auto" w:before="154"/>
        <w:ind w:left="579" w:right="198"/>
        <w:jc w:val="left"/>
      </w:pPr>
      <w:r>
        <w:rPr/>
        <w:t>（3</w:t>
      </w:r>
      <w:r>
        <w:rPr>
          <w:spacing w:val="-120"/>
        </w:rPr>
        <w:t>）</w:t>
      </w:r>
      <w:r>
        <w:rPr/>
        <w:t>《关于修改〈股东大会议事规则〉的议案</w:t>
      </w:r>
      <w:r>
        <w:rPr>
          <w:spacing w:val="-120"/>
        </w:rPr>
        <w:t>》</w:t>
      </w:r>
      <w:r>
        <w:rPr/>
        <w:t>；</w:t>
      </w:r>
    </w:p>
    <w:p>
      <w:pPr>
        <w:pStyle w:val="BodyText"/>
        <w:spacing w:line="357" w:lineRule="auto" w:before="154"/>
        <w:ind w:left="579" w:right="199"/>
        <w:jc w:val="left"/>
      </w:pPr>
      <w:r>
        <w:rPr>
          <w:spacing w:val="-10"/>
        </w:rPr>
        <w:t>（4）《关于修改〈重大投资与财务决策制度〉的议案》。</w:t>
      </w:r>
      <w:r>
        <w:rPr>
          <w:spacing w:val="-100"/>
        </w:rPr>
        <w:t> </w:t>
      </w:r>
      <w:r>
        <w:rPr>
          <w:spacing w:val="-100"/>
        </w:rPr>
      </w:r>
      <w:r>
        <w:rPr/>
        <w:t>江苏世纪同仁律师事务所朱增进律师出席本次股东大会进行见证，</w:t>
      </w:r>
      <w:r>
        <w:rPr>
          <w:spacing w:val="-94"/>
        </w:rPr>
        <w:t> </w:t>
      </w:r>
      <w:r>
        <w:rPr/>
        <w:t>并出具法律</w:t>
      </w:r>
    </w:p>
    <w:p>
      <w:pPr>
        <w:pStyle w:val="BodyText"/>
        <w:spacing w:line="357" w:lineRule="auto" w:before="36"/>
        <w:ind w:left="144" w:right="200"/>
        <w:jc w:val="left"/>
      </w:pPr>
      <w:r>
        <w:rPr/>
        <w:t>意见书</w:t>
      </w:r>
      <w:r>
        <w:rPr>
          <w:spacing w:val="-20"/>
        </w:rPr>
        <w:t>。</w:t>
      </w:r>
      <w:r>
        <w:rPr/>
        <w:t>大会决议分别刊登于</w:t>
      </w:r>
      <w:r>
        <w:rPr>
          <w:spacing w:val="-60"/>
        </w:rPr>
        <w:t> </w:t>
      </w:r>
      <w:r>
        <w:rPr/>
        <w:t>200</w:t>
      </w:r>
      <w:r>
        <w:rPr>
          <w:spacing w:val="60"/>
        </w:rPr>
        <w:t>8年1月</w:t>
      </w:r>
      <w:r>
        <w:rPr/>
        <w:t>3</w:t>
      </w:r>
      <w:r>
        <w:rPr>
          <w:spacing w:val="-60"/>
        </w:rPr>
        <w:t> </w:t>
      </w:r>
      <w:r>
        <w:rPr/>
        <w:t>日的巨潮资讯网</w:t>
      </w:r>
      <w:r>
        <w:rPr>
          <w:spacing w:val="-120"/>
        </w:rPr>
        <w:t>、</w:t>
      </w:r>
      <w:r>
        <w:rPr/>
        <w:t>《证券时报</w:t>
      </w:r>
      <w:r>
        <w:rPr>
          <w:spacing w:val="-120"/>
        </w:rPr>
        <w:t>》、</w:t>
      </w:r>
      <w:r>
        <w:rPr/>
        <w:t>《中国</w:t>
      </w:r>
      <w:r>
        <w:rPr/>
        <w:t> 证券报</w:t>
      </w:r>
      <w:r>
        <w:rPr>
          <w:spacing w:val="-120"/>
        </w:rPr>
        <w:t>》、</w:t>
      </w:r>
      <w:r>
        <w:rPr/>
        <w:t>《上海证券报</w:t>
      </w:r>
      <w:r>
        <w:rPr>
          <w:spacing w:val="-120"/>
        </w:rPr>
        <w:t>》、</w:t>
      </w:r>
      <w:r>
        <w:rPr/>
        <w:t>《证券日报</w:t>
      </w:r>
      <w:r>
        <w:rPr>
          <w:spacing w:val="-120"/>
        </w:rPr>
        <w:t>》</w:t>
      </w:r>
      <w:r>
        <w:rPr/>
        <w:t>。</w:t>
      </w:r>
    </w:p>
    <w:p>
      <w:pPr>
        <w:spacing w:line="240" w:lineRule="auto" w:before="0"/>
        <w:rPr>
          <w:rFonts w:ascii="宋体" w:hAnsi="宋体" w:cs="宋体" w:eastAsia="宋体" w:hint="default"/>
          <w:sz w:val="24"/>
          <w:szCs w:val="24"/>
        </w:rPr>
      </w:pPr>
    </w:p>
    <w:p>
      <w:pPr>
        <w:pStyle w:val="BodyText"/>
        <w:spacing w:line="240" w:lineRule="auto" w:before="190"/>
        <w:ind w:left="579" w:right="198"/>
        <w:jc w:val="left"/>
      </w:pPr>
      <w:r>
        <w:rPr/>
        <w:t>2、公司于</w:t>
      </w:r>
      <w:r>
        <w:rPr>
          <w:spacing w:val="-59"/>
        </w:rPr>
        <w:t> </w:t>
      </w:r>
      <w:r>
        <w:rPr>
          <w:spacing w:val="25"/>
        </w:rPr>
        <w:t>2008年3月</w:t>
      </w:r>
      <w:r>
        <w:rPr>
          <w:spacing w:val="-59"/>
        </w:rPr>
        <w:t> </w:t>
      </w:r>
      <w:r>
        <w:rPr/>
        <w:t>20</w:t>
      </w:r>
      <w:r>
        <w:rPr>
          <w:spacing w:val="-59"/>
        </w:rPr>
        <w:t> </w:t>
      </w:r>
      <w:r>
        <w:rPr/>
        <w:t>日在公司会议室召开</w:t>
      </w:r>
      <w:r>
        <w:rPr>
          <w:spacing w:val="-59"/>
        </w:rPr>
        <w:t> </w:t>
      </w:r>
      <w:r>
        <w:rPr/>
        <w:t>2007</w:t>
      </w:r>
      <w:r>
        <w:rPr>
          <w:spacing w:val="-59"/>
        </w:rPr>
        <w:t> </w:t>
      </w:r>
      <w:r>
        <w:rPr/>
        <w:t>年年度股东大会。</w:t>
      </w:r>
    </w:p>
    <w:p>
      <w:pPr>
        <w:pStyle w:val="BodyText"/>
        <w:spacing w:line="357" w:lineRule="auto" w:before="154"/>
        <w:ind w:left="144" w:right="216" w:firstLine="435"/>
        <w:jc w:val="both"/>
      </w:pPr>
      <w:r>
        <w:rPr>
          <w:spacing w:val="25"/>
        </w:rPr>
        <w:t>2008年2月</w:t>
      </w:r>
      <w:r>
        <w:rPr/>
        <w:t> 29</w:t>
      </w:r>
      <w:r>
        <w:rPr>
          <w:spacing w:val="-92"/>
        </w:rPr>
        <w:t> </w:t>
      </w:r>
      <w:r>
        <w:rPr>
          <w:spacing w:val="-22"/>
        </w:rPr>
        <w:t>日，公司在巨潮资讯网、《证券时报》、《中国证券报》、《上海证</w:t>
      </w:r>
      <w:r>
        <w:rPr/>
        <w:t> </w:t>
      </w:r>
      <w:r>
        <w:rPr>
          <w:spacing w:val="-7"/>
        </w:rPr>
        <w:t>券报》、《证券日报》上以公告形式发出会议通知，明确了召开股东大会的时间、地</w:t>
      </w:r>
      <w:r>
        <w:rPr/>
        <w:t> 点、内容及参会方法等。股东大会于</w:t>
      </w:r>
      <w:r>
        <w:rPr>
          <w:spacing w:val="-51"/>
        </w:rPr>
        <w:t> </w:t>
      </w:r>
      <w:r>
        <w:rPr/>
        <w:t>2008</w:t>
      </w:r>
      <w:r>
        <w:rPr>
          <w:spacing w:val="-51"/>
        </w:rPr>
        <w:t> </w:t>
      </w:r>
      <w:r>
        <w:rPr/>
        <w:t>年</w:t>
      </w:r>
      <w:r>
        <w:rPr>
          <w:spacing w:val="-52"/>
        </w:rPr>
        <w:t> </w:t>
      </w:r>
      <w:r>
        <w:rPr/>
        <w:t>3</w:t>
      </w:r>
      <w:r>
        <w:rPr>
          <w:spacing w:val="-51"/>
        </w:rPr>
        <w:t> </w:t>
      </w:r>
      <w:r>
        <w:rPr/>
        <w:t>月</w:t>
      </w:r>
      <w:r>
        <w:rPr>
          <w:spacing w:val="-51"/>
        </w:rPr>
        <w:t> </w:t>
      </w:r>
      <w:r>
        <w:rPr/>
        <w:t>20</w:t>
      </w:r>
      <w:r>
        <w:rPr>
          <w:spacing w:val="-51"/>
        </w:rPr>
        <w:t> </w:t>
      </w:r>
      <w:r>
        <w:rPr/>
        <w:t>日上午</w:t>
      </w:r>
      <w:r>
        <w:rPr>
          <w:spacing w:val="-51"/>
        </w:rPr>
        <w:t> </w:t>
      </w:r>
      <w:r>
        <w:rPr/>
        <w:t>10：00</w:t>
      </w:r>
      <w:r>
        <w:rPr>
          <w:spacing w:val="-51"/>
        </w:rPr>
        <w:t> </w:t>
      </w:r>
      <w:r>
        <w:rPr/>
        <w:t>在公司十七楼</w:t>
      </w:r>
    </w:p>
    <w:p>
      <w:pPr>
        <w:pStyle w:val="BodyText"/>
        <w:spacing w:line="357" w:lineRule="auto" w:before="36"/>
        <w:ind w:left="144" w:right="87"/>
        <w:jc w:val="left"/>
      </w:pPr>
      <w:r>
        <w:rPr/>
        <w:t>会议室召开，出席会议的股东及股东代理人共计</w:t>
      </w:r>
      <w:r>
        <w:rPr>
          <w:spacing w:val="-68"/>
        </w:rPr>
        <w:t> </w:t>
      </w:r>
      <w:r>
        <w:rPr/>
        <w:t>37</w:t>
      </w:r>
      <w:r>
        <w:rPr>
          <w:spacing w:val="-68"/>
        </w:rPr>
        <w:t> </w:t>
      </w:r>
      <w:r>
        <w:rPr>
          <w:spacing w:val="-5"/>
        </w:rPr>
        <w:t>人，代表公司股份</w:t>
      </w:r>
      <w:r>
        <w:rPr>
          <w:spacing w:val="-68"/>
        </w:rPr>
        <w:t> </w:t>
      </w:r>
      <w:r>
        <w:rPr/>
        <w:t>738,077,626</w:t>
      </w:r>
      <w:r>
        <w:rPr/>
        <w:t> </w:t>
      </w:r>
      <w:r>
        <w:rPr>
          <w:spacing w:val="-4"/>
        </w:rPr>
        <w:t>股，占公司股本总额的</w:t>
      </w:r>
      <w:r>
        <w:rPr>
          <w:spacing w:val="-47"/>
        </w:rPr>
        <w:t> </w:t>
      </w:r>
      <w:r>
        <w:rPr>
          <w:spacing w:val="-6"/>
        </w:rPr>
        <w:t>51.20%。会议的召开符合《公司法》和公司《章程》的规定。</w:t>
      </w:r>
      <w:r>
        <w:rPr>
          <w:spacing w:val="-118"/>
        </w:rPr>
        <w:t> </w:t>
      </w:r>
      <w:r>
        <w:rPr>
          <w:spacing w:val="-118"/>
        </w:rPr>
      </w:r>
      <w:r>
        <w:rPr/>
        <w:t>大会以记名表决方式，审议并通过了以下议案：</w:t>
      </w:r>
    </w:p>
    <w:p>
      <w:pPr>
        <w:pStyle w:val="BodyText"/>
        <w:spacing w:line="240" w:lineRule="auto" w:before="36"/>
        <w:ind w:left="579" w:right="198"/>
        <w:jc w:val="left"/>
      </w:pPr>
      <w:r>
        <w:rPr/>
        <w:t>（1</w:t>
      </w:r>
      <w:r>
        <w:rPr>
          <w:spacing w:val="-120"/>
        </w:rPr>
        <w:t>）</w:t>
      </w:r>
      <w:r>
        <w:rPr/>
        <w:t>《2007 年度董事会工作报告</w:t>
      </w:r>
      <w:r>
        <w:rPr>
          <w:spacing w:val="-120"/>
        </w:rPr>
        <w:t>》</w:t>
      </w:r>
      <w:r>
        <w:rPr/>
        <w:t>；</w:t>
      </w:r>
    </w:p>
    <w:p>
      <w:pPr>
        <w:spacing w:after="0" w:line="240" w:lineRule="auto"/>
        <w:jc w:val="left"/>
        <w:sectPr>
          <w:pgSz w:w="11910" w:h="16840"/>
          <w:pgMar w:header="826" w:footer="900" w:top="1100" w:bottom="1100" w:left="1500" w:right="1420"/>
        </w:sectPr>
      </w:pPr>
    </w:p>
    <w:p>
      <w:pPr>
        <w:pStyle w:val="BodyText"/>
        <w:spacing w:line="240" w:lineRule="auto" w:before="106"/>
        <w:ind w:left="579" w:right="108"/>
        <w:jc w:val="left"/>
      </w:pPr>
      <w:r>
        <w:rPr/>
        <w:t>（2</w:t>
      </w:r>
      <w:r>
        <w:rPr>
          <w:spacing w:val="-120"/>
        </w:rPr>
        <w:t>）</w:t>
      </w:r>
      <w:r>
        <w:rPr/>
        <w:t>《2007 年度监事会工作报告</w:t>
      </w:r>
      <w:r>
        <w:rPr>
          <w:spacing w:val="-120"/>
        </w:rPr>
        <w:t>》</w:t>
      </w:r>
      <w:r>
        <w:rPr/>
        <w:t>；</w:t>
      </w:r>
    </w:p>
    <w:p>
      <w:pPr>
        <w:pStyle w:val="BodyText"/>
        <w:spacing w:line="240" w:lineRule="auto" w:before="154"/>
        <w:ind w:left="579" w:right="108"/>
        <w:jc w:val="left"/>
      </w:pPr>
      <w:r>
        <w:rPr/>
        <w:t>（3</w:t>
      </w:r>
      <w:r>
        <w:rPr>
          <w:spacing w:val="-120"/>
        </w:rPr>
        <w:t>）</w:t>
      </w:r>
      <w:r>
        <w:rPr/>
        <w:t>《2007 年度财务决算报告</w:t>
      </w:r>
      <w:r>
        <w:rPr>
          <w:spacing w:val="-120"/>
        </w:rPr>
        <w:t>》</w:t>
      </w:r>
      <w:r>
        <w:rPr/>
        <w:t>；</w:t>
      </w:r>
    </w:p>
    <w:p>
      <w:pPr>
        <w:pStyle w:val="BodyText"/>
        <w:spacing w:line="240" w:lineRule="auto" w:before="154"/>
        <w:ind w:left="579" w:right="108"/>
        <w:jc w:val="left"/>
      </w:pPr>
      <w:r>
        <w:rPr/>
        <w:t>（4</w:t>
      </w:r>
      <w:r>
        <w:rPr>
          <w:spacing w:val="-120"/>
        </w:rPr>
        <w:t>）</w:t>
      </w:r>
      <w:r>
        <w:rPr/>
        <w:t>《2007 年年度报告》及《2007 年年度报告摘要</w:t>
      </w:r>
      <w:r>
        <w:rPr>
          <w:spacing w:val="-120"/>
        </w:rPr>
        <w:t>》</w:t>
      </w:r>
      <w:r>
        <w:rPr/>
        <w:t>；</w:t>
      </w:r>
    </w:p>
    <w:p>
      <w:pPr>
        <w:pStyle w:val="BodyText"/>
        <w:spacing w:line="240" w:lineRule="auto" w:before="154"/>
        <w:ind w:left="579" w:right="108"/>
        <w:jc w:val="left"/>
      </w:pPr>
      <w:r>
        <w:rPr/>
        <w:t>（5</w:t>
      </w:r>
      <w:r>
        <w:rPr>
          <w:spacing w:val="-120"/>
        </w:rPr>
        <w:t>）</w:t>
      </w:r>
      <w:r>
        <w:rPr/>
        <w:t>《2007 年度利润分配预案</w:t>
      </w:r>
      <w:r>
        <w:rPr>
          <w:spacing w:val="-120"/>
        </w:rPr>
        <w:t>》</w:t>
      </w:r>
      <w:r>
        <w:rPr/>
        <w:t>；</w:t>
      </w:r>
    </w:p>
    <w:p>
      <w:pPr>
        <w:pStyle w:val="BodyText"/>
        <w:spacing w:line="240" w:lineRule="auto" w:before="154"/>
        <w:ind w:left="579" w:right="108"/>
        <w:jc w:val="left"/>
      </w:pPr>
      <w:r>
        <w:rPr/>
        <w:t>（6</w:t>
      </w:r>
      <w:r>
        <w:rPr>
          <w:spacing w:val="-120"/>
        </w:rPr>
        <w:t>）</w:t>
      </w:r>
      <w:r>
        <w:rPr/>
        <w:t>《关于 2007 年度募集资金年度使用情况的专项报告</w:t>
      </w:r>
      <w:r>
        <w:rPr>
          <w:spacing w:val="-120"/>
        </w:rPr>
        <w:t>》</w:t>
      </w:r>
      <w:r>
        <w:rPr/>
        <w:t>；</w:t>
      </w:r>
    </w:p>
    <w:p>
      <w:pPr>
        <w:pStyle w:val="BodyText"/>
        <w:spacing w:line="240" w:lineRule="auto" w:before="154"/>
        <w:ind w:left="579" w:right="108"/>
        <w:jc w:val="left"/>
      </w:pPr>
      <w:r>
        <w:rPr/>
        <w:t>（7</w:t>
      </w:r>
      <w:r>
        <w:rPr>
          <w:spacing w:val="-120"/>
        </w:rPr>
        <w:t>）</w:t>
      </w:r>
      <w:r>
        <w:rPr/>
        <w:t>《关于前次募集资金使用情况报告</w:t>
      </w:r>
      <w:r>
        <w:rPr>
          <w:spacing w:val="-120"/>
        </w:rPr>
        <w:t>》</w:t>
      </w:r>
      <w:r>
        <w:rPr/>
        <w:t>；</w:t>
      </w:r>
    </w:p>
    <w:p>
      <w:pPr>
        <w:pStyle w:val="BodyText"/>
        <w:spacing w:line="240" w:lineRule="auto" w:before="154"/>
        <w:ind w:left="579" w:right="108"/>
        <w:jc w:val="left"/>
      </w:pPr>
      <w:r>
        <w:rPr/>
        <w:t>（8</w:t>
      </w:r>
      <w:r>
        <w:rPr>
          <w:spacing w:val="-120"/>
        </w:rPr>
        <w:t>）</w:t>
      </w:r>
      <w:r>
        <w:rPr/>
        <w:t>《关于续聘会计师事务所的议案</w:t>
      </w:r>
      <w:r>
        <w:rPr>
          <w:spacing w:val="-120"/>
        </w:rPr>
        <w:t>》</w:t>
      </w:r>
      <w:r>
        <w:rPr/>
        <w:t>；</w:t>
      </w:r>
    </w:p>
    <w:p>
      <w:pPr>
        <w:pStyle w:val="BodyText"/>
        <w:spacing w:line="240" w:lineRule="auto" w:before="154"/>
        <w:ind w:left="579" w:right="108"/>
        <w:jc w:val="left"/>
      </w:pPr>
      <w:r>
        <w:rPr/>
        <w:t>（9</w:t>
      </w:r>
      <w:r>
        <w:rPr>
          <w:spacing w:val="-120"/>
        </w:rPr>
        <w:t>）</w:t>
      </w:r>
      <w:r>
        <w:rPr/>
        <w:t>《关于商标使用许可的议案</w:t>
      </w:r>
      <w:r>
        <w:rPr>
          <w:spacing w:val="-120"/>
        </w:rPr>
        <w:t>》</w:t>
      </w:r>
      <w:r>
        <w:rPr/>
        <w:t>；</w:t>
      </w:r>
    </w:p>
    <w:p>
      <w:pPr>
        <w:pStyle w:val="BodyText"/>
        <w:spacing w:line="240" w:lineRule="auto" w:before="154"/>
        <w:ind w:left="579" w:right="108"/>
        <w:jc w:val="left"/>
      </w:pPr>
      <w:r>
        <w:rPr/>
        <w:t>（10</w:t>
      </w:r>
      <w:r>
        <w:rPr>
          <w:spacing w:val="-120"/>
        </w:rPr>
        <w:t>）</w:t>
      </w:r>
      <w:r>
        <w:rPr/>
        <w:t>《关于增加公司经营范围的议案</w:t>
      </w:r>
      <w:r>
        <w:rPr>
          <w:spacing w:val="-120"/>
        </w:rPr>
        <w:t>》</w:t>
      </w:r>
      <w:r>
        <w:rPr/>
        <w:t>；</w:t>
      </w:r>
    </w:p>
    <w:p>
      <w:pPr>
        <w:pStyle w:val="BodyText"/>
        <w:spacing w:line="357" w:lineRule="auto" w:before="154"/>
        <w:ind w:left="579" w:right="110"/>
        <w:jc w:val="left"/>
      </w:pPr>
      <w:r>
        <w:rPr>
          <w:spacing w:val="-12"/>
        </w:rPr>
        <w:t>（11）《关于修改公司&lt;章程&gt;的议案》。</w:t>
      </w:r>
      <w:r>
        <w:rPr/>
        <w:t> </w:t>
      </w:r>
      <w:r>
        <w:rPr>
          <w:spacing w:val="-3"/>
        </w:rPr>
        <w:t>江苏世纪同仁律师事务所朱增进律师、许成宝律师出席本次股东大会进行见证，</w:t>
      </w:r>
    </w:p>
    <w:p>
      <w:pPr>
        <w:pStyle w:val="BodyText"/>
        <w:spacing w:line="357" w:lineRule="auto" w:before="36"/>
        <w:ind w:right="221"/>
        <w:jc w:val="left"/>
      </w:pPr>
      <w:r>
        <w:rPr/>
        <w:t>并出</w:t>
      </w:r>
      <w:r>
        <w:rPr>
          <w:spacing w:val="-10"/>
        </w:rPr>
        <w:t>具</w:t>
      </w:r>
      <w:r>
        <w:rPr/>
        <w:t>《法律意见书</w:t>
      </w:r>
      <w:r>
        <w:rPr>
          <w:spacing w:val="-120"/>
        </w:rPr>
        <w:t>》</w:t>
      </w:r>
      <w:r>
        <w:rPr>
          <w:spacing w:val="-10"/>
        </w:rPr>
        <w:t>。</w:t>
      </w:r>
      <w:r>
        <w:rPr/>
        <w:t>大会决议分别刊登于</w:t>
      </w:r>
      <w:r>
        <w:rPr>
          <w:spacing w:val="-60"/>
        </w:rPr>
        <w:t> </w:t>
      </w:r>
      <w:r>
        <w:rPr/>
        <w:t>200</w:t>
      </w:r>
      <w:r>
        <w:rPr>
          <w:spacing w:val="60"/>
        </w:rPr>
        <w:t>8年3</w:t>
      </w:r>
      <w:r>
        <w:rPr/>
        <w:t>月</w:t>
      </w:r>
      <w:r>
        <w:rPr>
          <w:spacing w:val="-60"/>
        </w:rPr>
        <w:t> </w:t>
      </w:r>
      <w:r>
        <w:rPr/>
        <w:t>21</w:t>
      </w:r>
      <w:r>
        <w:rPr>
          <w:spacing w:val="-60"/>
        </w:rPr>
        <w:t> </w:t>
      </w:r>
      <w:r>
        <w:rPr/>
        <w:t>日的巨潮资讯网</w:t>
      </w:r>
      <w:r>
        <w:rPr>
          <w:spacing w:val="-120"/>
        </w:rPr>
        <w:t>、</w:t>
      </w:r>
      <w:r>
        <w:rPr/>
        <w:t>《证</w:t>
      </w:r>
      <w:r>
        <w:rPr/>
        <w:t> 券时报</w:t>
      </w:r>
      <w:r>
        <w:rPr>
          <w:spacing w:val="-120"/>
        </w:rPr>
        <w:t>》、</w:t>
      </w:r>
      <w:r>
        <w:rPr/>
        <w:t>《中国证券报</w:t>
      </w:r>
      <w:r>
        <w:rPr>
          <w:spacing w:val="-120"/>
        </w:rPr>
        <w:t>》、</w:t>
      </w:r>
      <w:r>
        <w:rPr/>
        <w:t>《上海证券报</w:t>
      </w:r>
      <w:r>
        <w:rPr>
          <w:spacing w:val="-120"/>
        </w:rPr>
        <w:t>》、</w:t>
      </w:r>
      <w:r>
        <w:rPr/>
        <w:t>《证券日报</w:t>
      </w:r>
      <w:r>
        <w:rPr>
          <w:spacing w:val="-120"/>
        </w:rPr>
        <w:t>》</w:t>
      </w:r>
      <w:r>
        <w:rPr/>
        <w:t>。</w:t>
      </w:r>
    </w:p>
    <w:p>
      <w:pPr>
        <w:spacing w:line="240" w:lineRule="auto" w:before="0"/>
        <w:rPr>
          <w:rFonts w:ascii="宋体" w:hAnsi="宋体" w:cs="宋体" w:eastAsia="宋体" w:hint="default"/>
          <w:sz w:val="24"/>
          <w:szCs w:val="24"/>
        </w:rPr>
      </w:pPr>
    </w:p>
    <w:p>
      <w:pPr>
        <w:pStyle w:val="BodyText"/>
        <w:spacing w:line="240" w:lineRule="auto" w:before="190"/>
        <w:ind w:left="623" w:right="108"/>
        <w:jc w:val="left"/>
      </w:pPr>
      <w:r>
        <w:rPr/>
        <w:t>3、公司于</w:t>
      </w:r>
      <w:r>
        <w:rPr>
          <w:spacing w:val="-59"/>
        </w:rPr>
        <w:t> </w:t>
      </w:r>
      <w:r>
        <w:rPr>
          <w:spacing w:val="25"/>
        </w:rPr>
        <w:t>2008年9月</w:t>
      </w:r>
      <w:r>
        <w:rPr>
          <w:spacing w:val="-59"/>
        </w:rPr>
        <w:t> </w:t>
      </w:r>
      <w:r>
        <w:rPr/>
        <w:t>16</w:t>
      </w:r>
      <w:r>
        <w:rPr>
          <w:spacing w:val="-59"/>
        </w:rPr>
        <w:t> </w:t>
      </w:r>
      <w:r>
        <w:rPr/>
        <w:t>日在公司会议室召开</w:t>
      </w:r>
      <w:r>
        <w:rPr>
          <w:spacing w:val="-59"/>
        </w:rPr>
        <w:t> </w:t>
      </w:r>
      <w:r>
        <w:rPr/>
        <w:t>2008</w:t>
      </w:r>
      <w:r>
        <w:rPr>
          <w:spacing w:val="-59"/>
        </w:rPr>
        <w:t> </w:t>
      </w:r>
      <w:r>
        <w:rPr/>
        <w:t>年第一次临时股东大会。</w:t>
      </w:r>
    </w:p>
    <w:p>
      <w:pPr>
        <w:pStyle w:val="BodyText"/>
        <w:spacing w:line="357" w:lineRule="auto" w:before="154"/>
        <w:ind w:right="236" w:firstLine="480"/>
        <w:jc w:val="both"/>
      </w:pPr>
      <w:r>
        <w:rPr>
          <w:spacing w:val="25"/>
        </w:rPr>
        <w:t>2008年8月</w:t>
      </w:r>
      <w:r>
        <w:rPr>
          <w:spacing w:val="-54"/>
        </w:rPr>
        <w:t> </w:t>
      </w:r>
      <w:r>
        <w:rPr/>
        <w:t>30</w:t>
      </w:r>
      <w:r>
        <w:rPr>
          <w:spacing w:val="-54"/>
        </w:rPr>
        <w:t> </w:t>
      </w:r>
      <w:r>
        <w:rPr>
          <w:spacing w:val="-23"/>
        </w:rPr>
        <w:t>日，公司在巨潮资讯网、《证券时报》、《中国证券报》、《上海证</w:t>
      </w:r>
      <w:r>
        <w:rPr/>
        <w:t> </w:t>
      </w:r>
      <w:r>
        <w:rPr>
          <w:spacing w:val="-7"/>
        </w:rPr>
        <w:t>券报》、《证券日报》上以公告形式发出会议通知，明确了召开股东大会的时间、地</w:t>
      </w:r>
      <w:r>
        <w:rPr/>
        <w:t> 点、内容及参会方法等。股东大会于</w:t>
      </w:r>
      <w:r>
        <w:rPr>
          <w:spacing w:val="-51"/>
        </w:rPr>
        <w:t> </w:t>
      </w:r>
      <w:r>
        <w:rPr/>
        <w:t>2008</w:t>
      </w:r>
      <w:r>
        <w:rPr>
          <w:spacing w:val="-51"/>
        </w:rPr>
        <w:t> </w:t>
      </w:r>
      <w:r>
        <w:rPr/>
        <w:t>年</w:t>
      </w:r>
      <w:r>
        <w:rPr>
          <w:spacing w:val="-52"/>
        </w:rPr>
        <w:t> </w:t>
      </w:r>
      <w:r>
        <w:rPr/>
        <w:t>9</w:t>
      </w:r>
      <w:r>
        <w:rPr>
          <w:spacing w:val="-51"/>
        </w:rPr>
        <w:t> </w:t>
      </w:r>
      <w:r>
        <w:rPr/>
        <w:t>月</w:t>
      </w:r>
      <w:r>
        <w:rPr>
          <w:spacing w:val="-51"/>
        </w:rPr>
        <w:t> </w:t>
      </w:r>
      <w:r>
        <w:rPr/>
        <w:t>16</w:t>
      </w:r>
      <w:r>
        <w:rPr>
          <w:spacing w:val="-51"/>
        </w:rPr>
        <w:t> </w:t>
      </w:r>
      <w:r>
        <w:rPr/>
        <w:t>日上午</w:t>
      </w:r>
      <w:r>
        <w:rPr>
          <w:spacing w:val="-51"/>
        </w:rPr>
        <w:t> </w:t>
      </w:r>
      <w:r>
        <w:rPr/>
        <w:t>10：00</w:t>
      </w:r>
      <w:r>
        <w:rPr>
          <w:spacing w:val="-51"/>
        </w:rPr>
        <w:t> </w:t>
      </w:r>
      <w:r>
        <w:rPr/>
        <w:t>在公司十七楼</w:t>
      </w:r>
    </w:p>
    <w:p>
      <w:pPr>
        <w:pStyle w:val="BodyText"/>
        <w:spacing w:line="357" w:lineRule="auto" w:before="36"/>
        <w:ind w:right="108"/>
        <w:jc w:val="left"/>
      </w:pPr>
      <w:r>
        <w:rPr/>
        <w:t>会议室召开，出席会议的股东及股东代理人共计</w:t>
      </w:r>
      <w:r>
        <w:rPr>
          <w:spacing w:val="-68"/>
        </w:rPr>
        <w:t> </w:t>
      </w:r>
      <w:r>
        <w:rPr/>
        <w:t>31</w:t>
      </w:r>
      <w:r>
        <w:rPr>
          <w:spacing w:val="-68"/>
        </w:rPr>
        <w:t> </w:t>
      </w:r>
      <w:r>
        <w:rPr>
          <w:spacing w:val="-5"/>
        </w:rPr>
        <w:t>人，代表公司股份</w:t>
      </w:r>
      <w:r>
        <w:rPr>
          <w:spacing w:val="-68"/>
        </w:rPr>
        <w:t> </w:t>
      </w:r>
      <w:r>
        <w:rPr/>
        <w:t>736,071,047</w:t>
      </w:r>
      <w:r>
        <w:rPr/>
        <w:t> </w:t>
      </w:r>
      <w:r>
        <w:rPr>
          <w:spacing w:val="-4"/>
        </w:rPr>
        <w:t>股，占公司股本总额的</w:t>
      </w:r>
      <w:r>
        <w:rPr>
          <w:spacing w:val="-47"/>
        </w:rPr>
        <w:t> </w:t>
      </w:r>
      <w:r>
        <w:rPr>
          <w:spacing w:val="-6"/>
        </w:rPr>
        <w:t>49.22%。会议的召开符合《公司法》和公司《章程》的规定。</w:t>
      </w:r>
      <w:r>
        <w:rPr>
          <w:spacing w:val="-118"/>
        </w:rPr>
        <w:t> </w:t>
      </w:r>
      <w:r>
        <w:rPr>
          <w:spacing w:val="-118"/>
        </w:rPr>
      </w:r>
      <w:r>
        <w:rPr/>
        <w:t>大会以记名表决方式，审议并通过了以下议案：</w:t>
      </w:r>
    </w:p>
    <w:p>
      <w:pPr>
        <w:pStyle w:val="BodyText"/>
        <w:spacing w:line="240" w:lineRule="auto" w:before="36"/>
        <w:ind w:left="579" w:right="108"/>
        <w:jc w:val="left"/>
      </w:pPr>
      <w:r>
        <w:rPr/>
        <w:t>（1</w:t>
      </w:r>
      <w:r>
        <w:rPr>
          <w:spacing w:val="-120"/>
        </w:rPr>
        <w:t>）</w:t>
      </w:r>
      <w:r>
        <w:rPr/>
        <w:t>《关于修改公司&lt;章程&gt;的议案</w:t>
      </w:r>
      <w:r>
        <w:rPr>
          <w:spacing w:val="-120"/>
        </w:rPr>
        <w:t>》</w:t>
      </w:r>
      <w:r>
        <w:rPr/>
        <w:t>；</w:t>
      </w:r>
    </w:p>
    <w:p>
      <w:pPr>
        <w:pStyle w:val="BodyText"/>
        <w:spacing w:line="240" w:lineRule="auto" w:before="154"/>
        <w:ind w:left="579" w:right="108"/>
        <w:jc w:val="left"/>
      </w:pPr>
      <w:r>
        <w:rPr/>
        <w:t>（2</w:t>
      </w:r>
      <w:r>
        <w:rPr>
          <w:spacing w:val="-120"/>
        </w:rPr>
        <w:t>）</w:t>
      </w:r>
      <w:r>
        <w:rPr/>
        <w:t>《2008 年半年度报告》及《2008 年半年度报告摘要</w:t>
      </w:r>
      <w:r>
        <w:rPr>
          <w:spacing w:val="-120"/>
        </w:rPr>
        <w:t>》</w:t>
      </w:r>
      <w:r>
        <w:rPr/>
        <w:t>；</w:t>
      </w:r>
    </w:p>
    <w:p>
      <w:pPr>
        <w:pStyle w:val="BodyText"/>
        <w:spacing w:line="357" w:lineRule="auto" w:before="154"/>
        <w:ind w:left="579" w:right="219"/>
        <w:jc w:val="left"/>
      </w:pPr>
      <w:r>
        <w:rPr>
          <w:spacing w:val="-15"/>
        </w:rPr>
        <w:t>（3）《2008</w:t>
      </w:r>
      <w:r>
        <w:rPr/>
        <w:t> </w:t>
      </w:r>
      <w:r>
        <w:rPr>
          <w:spacing w:val="-10"/>
        </w:rPr>
        <w:t>年半年度利润分配预案》。</w:t>
      </w:r>
      <w:r>
        <w:rPr/>
        <w:t> 江苏世纪同仁律师事务所许成宝律师出席本次股东大会进行见证，</w:t>
      </w:r>
      <w:r>
        <w:rPr>
          <w:spacing w:val="-94"/>
        </w:rPr>
        <w:t> </w:t>
      </w:r>
      <w:r>
        <w:rPr/>
        <w:t>并出具法律</w:t>
      </w:r>
    </w:p>
    <w:p>
      <w:pPr>
        <w:pStyle w:val="BodyText"/>
        <w:spacing w:line="357" w:lineRule="auto" w:before="36"/>
        <w:ind w:right="225"/>
        <w:jc w:val="left"/>
      </w:pPr>
      <w:r>
        <w:rPr/>
        <w:t>意见书。大会决议分别刊登于</w:t>
      </w:r>
      <w:r>
        <w:rPr>
          <w:spacing w:val="-44"/>
        </w:rPr>
        <w:t> </w:t>
      </w:r>
      <w:r>
        <w:rPr/>
        <w:t>200</w:t>
      </w:r>
      <w:r>
        <w:rPr>
          <w:spacing w:val="76"/>
        </w:rPr>
        <w:t>8年9</w:t>
      </w:r>
      <w:r>
        <w:rPr/>
        <w:t>月</w:t>
      </w:r>
      <w:r>
        <w:rPr>
          <w:spacing w:val="-44"/>
        </w:rPr>
        <w:t> </w:t>
      </w:r>
      <w:r>
        <w:rPr/>
        <w:t>17</w:t>
      </w:r>
      <w:r>
        <w:rPr>
          <w:spacing w:val="-44"/>
        </w:rPr>
        <w:t> </w:t>
      </w:r>
      <w:r>
        <w:rPr/>
        <w:t>日的巨潮资讯网</w:t>
      </w:r>
      <w:r>
        <w:rPr>
          <w:spacing w:val="-120"/>
        </w:rPr>
        <w:t>、</w:t>
      </w:r>
      <w:r>
        <w:rPr/>
        <w:t>《证券时报</w:t>
      </w:r>
      <w:r>
        <w:rPr>
          <w:spacing w:val="-120"/>
        </w:rPr>
        <w:t>》、</w:t>
      </w:r>
      <w:r>
        <w:rPr/>
        <w:t>《中</w:t>
      </w:r>
      <w:r>
        <w:rPr/>
        <w:t> 国证券报</w:t>
      </w:r>
      <w:r>
        <w:rPr>
          <w:spacing w:val="-120"/>
        </w:rPr>
        <w:t>》、</w:t>
      </w:r>
      <w:r>
        <w:rPr/>
        <w:t>《上海证券报</w:t>
      </w:r>
      <w:r>
        <w:rPr>
          <w:spacing w:val="-120"/>
        </w:rPr>
        <w:t>》、</w:t>
      </w:r>
      <w:r>
        <w:rPr/>
        <w:t>《证券日报</w:t>
      </w:r>
      <w:r>
        <w:rPr>
          <w:spacing w:val="-120"/>
        </w:rPr>
        <w:t>》</w:t>
      </w:r>
      <w:r>
        <w:rPr/>
        <w:t>。</w:t>
      </w:r>
    </w:p>
    <w:p>
      <w:pPr>
        <w:spacing w:after="0" w:line="357" w:lineRule="auto"/>
        <w:jc w:val="left"/>
        <w:sectPr>
          <w:pgSz w:w="11910" w:h="16840"/>
          <w:pgMar w:header="826" w:footer="900" w:top="1100" w:bottom="1100" w:left="1500" w:right="1400"/>
        </w:sectPr>
      </w:pPr>
    </w:p>
    <w:p>
      <w:pPr>
        <w:pStyle w:val="Heading1"/>
        <w:tabs>
          <w:tab w:pos="1843" w:val="left" w:leader="none"/>
        </w:tabs>
        <w:spacing w:line="240" w:lineRule="auto"/>
        <w:ind w:left="562" w:right="0"/>
        <w:jc w:val="center"/>
        <w:rPr>
          <w:b w:val="0"/>
          <w:bCs w:val="0"/>
        </w:rPr>
      </w:pPr>
      <w:bookmarkStart w:name="_TOC_250004" w:id="7"/>
      <w:r>
        <w:rPr>
          <w:w w:val="95"/>
        </w:rPr>
        <w:t>第七节</w:t>
        <w:tab/>
      </w:r>
      <w:r>
        <w:rPr/>
        <w:t>董事会报告</w:t>
      </w:r>
      <w:bookmarkEnd w:id="7"/>
      <w:r>
        <w:rPr>
          <w:b w:val="0"/>
          <w:bCs w:val="0"/>
        </w:rPr>
      </w:r>
    </w:p>
    <w:p>
      <w:pPr>
        <w:pStyle w:val="BodyText"/>
        <w:spacing w:line="338" w:lineRule="auto" w:before="217"/>
        <w:ind w:left="623" w:right="215"/>
        <w:jc w:val="left"/>
      </w:pPr>
      <w:r>
        <w:rPr>
          <w:rFonts w:ascii="Times New Roman" w:hAnsi="Times New Roman" w:cs="Times New Roman" w:eastAsia="Times New Roman" w:hint="default"/>
        </w:rPr>
        <w:t>2008 </w:t>
      </w:r>
      <w:r>
        <w:rPr/>
        <w:t>年是苏宁电器实施“领跑行业、树立标杆”三年发展规划的第一年。 </w:t>
      </w:r>
      <w:r>
        <w:rPr>
          <w:spacing w:val="-1"/>
        </w:rPr>
        <w:t>由于宏观调控、自然灾害、全球金融危机向实体经济蔓延，外部环境发生了较</w:t>
      </w:r>
    </w:p>
    <w:p>
      <w:pPr>
        <w:pStyle w:val="BodyText"/>
        <w:spacing w:line="357" w:lineRule="auto" w:before="55"/>
        <w:ind w:right="216"/>
        <w:jc w:val="both"/>
      </w:pPr>
      <w:r>
        <w:rPr>
          <w:spacing w:val="-1"/>
        </w:rPr>
        <w:t>大变化，但基于前期搭建的较为扎实的管理平台和以内生增长为主的发展模式，公</w:t>
      </w:r>
      <w:r>
        <w:rPr>
          <w:spacing w:val="-104"/>
        </w:rPr>
        <w:t> </w:t>
      </w:r>
      <w:r>
        <w:rPr>
          <w:spacing w:val="-104"/>
        </w:rPr>
      </w:r>
      <w:r>
        <w:rPr>
          <w:spacing w:val="-1"/>
        </w:rPr>
        <w:t>司坚持既定的“强化后台、强化管理、稳健发展”的经营战略，在稳步推进连锁网</w:t>
      </w:r>
      <w:r>
        <w:rPr>
          <w:spacing w:val="-104"/>
        </w:rPr>
        <w:t> </w:t>
      </w:r>
      <w:r>
        <w:rPr>
          <w:spacing w:val="-104"/>
        </w:rPr>
      </w:r>
      <w:r>
        <w:rPr>
          <w:spacing w:val="-1"/>
        </w:rPr>
        <w:t>络扩张的同时，进一步完善物流、信息、人力资源等后台平台建设，不断优化供应</w:t>
      </w:r>
      <w:r>
        <w:rPr>
          <w:spacing w:val="-104"/>
        </w:rPr>
        <w:t> </w:t>
      </w:r>
      <w:r>
        <w:rPr>
          <w:spacing w:val="-104"/>
        </w:rPr>
      </w:r>
      <w:r>
        <w:rPr/>
        <w:t>商合作关系，强化营销创新，降低管理成本，加强风险控制。</w:t>
      </w:r>
    </w:p>
    <w:p>
      <w:pPr>
        <w:pStyle w:val="BodyText"/>
        <w:spacing w:line="338" w:lineRule="auto" w:before="36"/>
        <w:ind w:left="144" w:right="211" w:firstLine="480"/>
        <w:jc w:val="both"/>
      </w:pPr>
      <w:r>
        <w:rPr>
          <w:spacing w:val="2"/>
        </w:rPr>
        <w:t>通过以上企业核心竞争力的建设，</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5"/>
        </w:rPr>
        <w:t> </w:t>
      </w:r>
      <w:r>
        <w:rPr>
          <w:spacing w:val="3"/>
        </w:rPr>
        <w:t>年公司继续保持了相对稳健的发展态 </w:t>
      </w:r>
      <w:r>
        <w:rPr/>
        <w:t>势，公司新进地级以上城市</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个，新开连锁店</w:t>
      </w:r>
      <w:r>
        <w:rPr>
          <w:spacing w:val="-56"/>
        </w:rPr>
        <w:t> </w:t>
      </w:r>
      <w:r>
        <w:rPr>
          <w:rFonts w:ascii="Times New Roman" w:hAnsi="Times New Roman" w:cs="Times New Roman" w:eastAsia="Times New Roman" w:hint="default"/>
        </w:rPr>
        <w:t>210</w:t>
      </w:r>
      <w:r>
        <w:rPr>
          <w:rFonts w:ascii="Times New Roman" w:hAnsi="Times New Roman" w:cs="Times New Roman" w:eastAsia="Times New Roman" w:hint="default"/>
          <w:spacing w:val="4"/>
        </w:rPr>
        <w:t> </w:t>
      </w:r>
      <w:r>
        <w:rPr/>
        <w:t>家，实现营业总收入</w:t>
      </w:r>
      <w:r>
        <w:rPr>
          <w:spacing w:val="-56"/>
        </w:rPr>
        <w:t> </w:t>
      </w:r>
      <w:r>
        <w:rPr>
          <w:rFonts w:ascii="Times New Roman" w:hAnsi="Times New Roman" w:cs="Times New Roman" w:eastAsia="Times New Roman" w:hint="default"/>
        </w:rPr>
        <w:t>498.97</w:t>
      </w:r>
      <w:r>
        <w:rPr>
          <w:rFonts w:ascii="Times New Roman" w:hAnsi="Times New Roman" w:cs="Times New Roman" w:eastAsia="Times New Roman" w:hint="default"/>
          <w:spacing w:val="4"/>
        </w:rPr>
        <w:t> </w:t>
      </w:r>
      <w:r>
        <w:rPr/>
        <w:t>亿 元，比上年同期增长</w:t>
      </w:r>
      <w:r>
        <w:rPr>
          <w:spacing w:val="-73"/>
        </w:rPr>
        <w:t> </w:t>
      </w:r>
      <w:r>
        <w:rPr>
          <w:rFonts w:ascii="Times New Roman" w:hAnsi="Times New Roman" w:cs="Times New Roman" w:eastAsia="Times New Roman" w:hint="default"/>
        </w:rPr>
        <w:t>24.27%</w:t>
      </w:r>
      <w:r>
        <w:rPr/>
        <w:t>；实现归属于母公司净利润</w:t>
      </w:r>
      <w:r>
        <w:rPr>
          <w:spacing w:val="-73"/>
        </w:rPr>
        <w:t> </w:t>
      </w:r>
      <w:r>
        <w:rPr>
          <w:rFonts w:ascii="Times New Roman" w:hAnsi="Times New Roman" w:cs="Times New Roman" w:eastAsia="Times New Roman" w:hint="default"/>
        </w:rPr>
        <w:t>21.70</w:t>
      </w:r>
      <w:r>
        <w:rPr>
          <w:rFonts w:ascii="Times New Roman" w:hAnsi="Times New Roman" w:cs="Times New Roman" w:eastAsia="Times New Roman" w:hint="default"/>
          <w:spacing w:val="-13"/>
        </w:rPr>
        <w:t> </w:t>
      </w:r>
      <w:r>
        <w:rPr/>
        <w:t>亿元，比上年同期增 长</w:t>
      </w:r>
      <w:r>
        <w:rPr>
          <w:spacing w:val="-60"/>
        </w:rPr>
        <w:t> </w:t>
      </w:r>
      <w:r>
        <w:rPr>
          <w:rFonts w:ascii="Times New Roman" w:hAnsi="Times New Roman" w:cs="Times New Roman" w:eastAsia="Times New Roman" w:hint="default"/>
        </w:rPr>
        <w:t>48.09%</w:t>
      </w:r>
      <w:r>
        <w:rPr/>
        <w:t>；实现经营活动产生的现金流量净额</w:t>
      </w:r>
      <w:r>
        <w:rPr>
          <w:spacing w:val="-60"/>
        </w:rPr>
        <w:t> </w:t>
      </w:r>
      <w:r>
        <w:rPr>
          <w:rFonts w:ascii="Times New Roman" w:hAnsi="Times New Roman" w:cs="Times New Roman" w:eastAsia="Times New Roman" w:hint="default"/>
        </w:rPr>
        <w:t>38.19 </w:t>
      </w:r>
      <w:r>
        <w:rPr/>
        <w:t>亿元。</w:t>
      </w:r>
    </w:p>
    <w:p>
      <w:pPr>
        <w:spacing w:line="240" w:lineRule="auto" w:before="9"/>
        <w:rPr>
          <w:rFonts w:ascii="宋体" w:hAnsi="宋体" w:cs="宋体" w:eastAsia="宋体" w:hint="default"/>
          <w:sz w:val="33"/>
          <w:szCs w:val="33"/>
        </w:rPr>
      </w:pPr>
    </w:p>
    <w:p>
      <w:pPr>
        <w:pStyle w:val="BodyText"/>
        <w:spacing w:line="240" w:lineRule="auto"/>
        <w:ind w:left="624" w:right="198"/>
        <w:jc w:val="left"/>
      </w:pPr>
      <w:r>
        <w:rPr/>
        <w:t>一、</w:t>
      </w:r>
      <w:r>
        <w:rPr>
          <w:rFonts w:ascii="Times New Roman" w:hAnsi="Times New Roman" w:cs="Times New Roman" w:eastAsia="Times New Roman" w:hint="default"/>
        </w:rPr>
        <w:t>2008 </w:t>
      </w:r>
      <w:r>
        <w:rPr/>
        <w:t>年重大事件回顾</w:t>
      </w:r>
    </w:p>
    <w:p>
      <w:pPr>
        <w:pStyle w:val="BodyText"/>
        <w:spacing w:line="240" w:lineRule="auto" w:before="135"/>
        <w:ind w:left="624" w:right="198"/>
        <w:jc w:val="left"/>
      </w:pPr>
      <w:r>
        <w:rPr>
          <w:rFonts w:ascii="Times New Roman" w:hAnsi="Times New Roman" w:cs="Times New Roman" w:eastAsia="Times New Roman" w:hint="default"/>
        </w:rPr>
        <w:t>1</w:t>
      </w:r>
      <w:r>
        <w:rPr/>
        <w:t>、制定三年发展规划</w:t>
      </w:r>
    </w:p>
    <w:p>
      <w:pPr>
        <w:pStyle w:val="BodyText"/>
        <w:spacing w:line="348" w:lineRule="auto" w:before="135"/>
        <w:ind w:right="98" w:firstLine="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4"/>
        </w:rPr>
        <w:t>日，由苏宁电器主办的“中国家电连锁行业趋势论坛暨苏宁</w:t>
      </w:r>
      <w:r>
        <w:rPr/>
        <w:t> </w:t>
      </w:r>
      <w:r>
        <w:rPr>
          <w:spacing w:val="-8"/>
        </w:rPr>
        <w:t>电器发展策略研讨会”在清华大学隆重开幕。论坛上，苏宁电器正式发布了志在“领</w:t>
      </w:r>
      <w:r>
        <w:rPr>
          <w:spacing w:val="-84"/>
        </w:rPr>
        <w:t> </w:t>
      </w:r>
      <w:r>
        <w:rPr>
          <w:spacing w:val="-84"/>
        </w:rPr>
      </w:r>
      <w:r>
        <w:rPr>
          <w:spacing w:val="-4"/>
        </w:rPr>
        <w:t>跑行业、树立标杆”的三年发展规划，并对家电连锁未来发展模式进行了全新定位。</w:t>
      </w:r>
    </w:p>
    <w:p>
      <w:pPr>
        <w:pStyle w:val="BodyText"/>
        <w:spacing w:line="357" w:lineRule="auto" w:before="46"/>
        <w:ind w:right="216" w:firstLine="480"/>
        <w:jc w:val="both"/>
      </w:pPr>
      <w:r>
        <w:rPr>
          <w:spacing w:val="-1"/>
        </w:rPr>
        <w:t>通过三年发展目标的确定，公司进一步明确了以“发展数量增加与质量提升平</w:t>
      </w:r>
      <w:r>
        <w:rPr/>
        <w:t> </w:t>
      </w:r>
      <w:r>
        <w:rPr>
          <w:spacing w:val="-1"/>
        </w:rPr>
        <w:t>衡发展、前台扩张与后台建设协同进行、业务运营与资本经营理性互动、模式变革</w:t>
      </w:r>
      <w:r>
        <w:rPr>
          <w:spacing w:val="-102"/>
        </w:rPr>
        <w:t> </w:t>
      </w:r>
      <w:r>
        <w:rPr>
          <w:spacing w:val="-102"/>
        </w:rPr>
      </w:r>
      <w:r>
        <w:rPr>
          <w:spacing w:val="-1"/>
        </w:rPr>
        <w:t>与组织优化同步开展”为原则的发展模式；未来三年，公司仍将致力于单位面积产</w:t>
      </w:r>
      <w:r>
        <w:rPr>
          <w:spacing w:val="-102"/>
        </w:rPr>
        <w:t> </w:t>
      </w:r>
      <w:r>
        <w:rPr>
          <w:spacing w:val="-102"/>
        </w:rPr>
      </w:r>
      <w:r>
        <w:rPr>
          <w:spacing w:val="-1"/>
        </w:rPr>
        <w:t>出、人均销售产出、可比店面增长等效益指标的提高和研究，保持公司业绩的持续</w:t>
      </w:r>
      <w:r>
        <w:rPr>
          <w:spacing w:val="-102"/>
        </w:rPr>
        <w:t> </w:t>
      </w:r>
      <w:r>
        <w:rPr>
          <w:spacing w:val="-102"/>
        </w:rPr>
      </w:r>
      <w:r>
        <w:rPr/>
        <w:t>稳健增长。</w:t>
      </w:r>
    </w:p>
    <w:p>
      <w:pPr>
        <w:spacing w:line="240" w:lineRule="auto" w:before="5"/>
        <w:rPr>
          <w:rFonts w:ascii="宋体" w:hAnsi="宋体" w:cs="宋体" w:eastAsia="宋体" w:hint="default"/>
          <w:sz w:val="34"/>
          <w:szCs w:val="34"/>
        </w:rPr>
      </w:pPr>
    </w:p>
    <w:p>
      <w:pPr>
        <w:pStyle w:val="BodyText"/>
        <w:spacing w:line="240" w:lineRule="auto"/>
        <w:ind w:left="623" w:right="198"/>
        <w:jc w:val="left"/>
      </w:pPr>
      <w:r>
        <w:rPr>
          <w:rFonts w:ascii="Times New Roman" w:hAnsi="Times New Roman" w:cs="Times New Roman" w:eastAsia="Times New Roman" w:hint="default"/>
        </w:rPr>
        <w:t>2</w:t>
      </w:r>
      <w:r>
        <w:rPr/>
        <w:t>、推进战略合作与营销创新</w:t>
      </w:r>
    </w:p>
    <w:p>
      <w:pPr>
        <w:pStyle w:val="BodyText"/>
        <w:spacing w:line="240" w:lineRule="auto" w:before="135"/>
        <w:ind w:left="623" w:right="198"/>
        <w:jc w:val="left"/>
      </w:pPr>
      <w:r>
        <w:rPr/>
        <w:t>（</w:t>
      </w:r>
      <w:r>
        <w:rPr>
          <w:rFonts w:ascii="Times New Roman" w:hAnsi="Times New Roman" w:cs="Times New Roman" w:eastAsia="Times New Roman" w:hint="default"/>
        </w:rPr>
        <w:t>1</w:t>
      </w:r>
      <w:r>
        <w:rPr/>
        <w:t>）采购创新</w:t>
      </w:r>
    </w:p>
    <w:p>
      <w:pPr>
        <w:pStyle w:val="BodyText"/>
        <w:spacing w:line="350" w:lineRule="auto" w:before="135"/>
        <w:ind w:right="217" w:firstLine="420"/>
        <w:jc w:val="both"/>
      </w:pPr>
      <w:r>
        <w:rPr>
          <w:rFonts w:ascii="Wingdings" w:hAnsi="Wingdings" w:cs="Wingdings" w:eastAsia="Wingdings" w:hint="default"/>
        </w:rPr>
        <w:t></w:t>
      </w:r>
      <w:r>
        <w:rPr>
          <w:rFonts w:ascii="Wingdings" w:hAnsi="Wingdings" w:cs="Wingdings" w:eastAsia="Wingdings" w:hint="default"/>
          <w:spacing w:val="10"/>
        </w:rPr>
        <w:t></w:t>
      </w:r>
      <w:r>
        <w:rPr>
          <w:rFonts w:ascii="Times New Roman" w:hAnsi="Times New Roman" w:cs="Times New Roman" w:eastAsia="Times New Roman" w:hint="default"/>
          <w:spacing w:val="10"/>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4"/>
        </w:rPr>
        <w:t>日，苏宁电器与惠而浦签署战略合作协议，苏宁电器作为惠</w:t>
      </w:r>
      <w:r>
        <w:rPr/>
        <w:t> </w:t>
      </w:r>
      <w:r>
        <w:rPr>
          <w:spacing w:val="-1"/>
        </w:rPr>
        <w:t>而浦空调产品的中国地区独家战略合作伙伴，拥有所有新品首发权、独销权和独家</w:t>
      </w:r>
      <w:r>
        <w:rPr>
          <w:spacing w:val="-104"/>
        </w:rPr>
        <w:t> </w:t>
      </w:r>
      <w:r>
        <w:rPr>
          <w:spacing w:val="-104"/>
        </w:rPr>
      </w:r>
      <w:r>
        <w:rPr>
          <w:spacing w:val="-1"/>
        </w:rPr>
        <w:t>代理权，同时负责其品牌推广和售后服务，而惠而浦也将根据苏宁掌握的市场需求</w:t>
      </w:r>
      <w:r>
        <w:rPr>
          <w:spacing w:val="-104"/>
        </w:rPr>
        <w:t> </w:t>
      </w:r>
      <w:r>
        <w:rPr>
          <w:spacing w:val="-104"/>
        </w:rPr>
      </w:r>
      <w:r>
        <w:rPr/>
        <w:t>动态来研发新品。</w:t>
      </w:r>
    </w:p>
    <w:p>
      <w:pPr>
        <w:pStyle w:val="BodyText"/>
        <w:spacing w:line="240" w:lineRule="auto" w:before="43"/>
        <w:ind w:left="623" w:right="87"/>
        <w:jc w:val="left"/>
        <w:rPr>
          <w:rFonts w:ascii="Times New Roman" w:hAnsi="Times New Roman" w:cs="Times New Roman" w:eastAsia="Times New Roman" w:hint="default"/>
        </w:rPr>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spacing w:val="-7"/>
        </w:rPr>
        <w:t>日，双方再次强强联手，惠而浦在苏宁全国首批</w:t>
      </w:r>
      <w:r>
        <w:rPr>
          <w:spacing w:val="-60"/>
        </w:rPr>
        <w:t> </w:t>
      </w:r>
      <w:r>
        <w:rPr>
          <w:rFonts w:ascii="Times New Roman" w:hAnsi="Times New Roman" w:cs="Times New Roman" w:eastAsia="Times New Roman" w:hint="default"/>
        </w:rPr>
        <w:t>26 </w:t>
      </w:r>
      <w:r>
        <w:rPr/>
        <w:t>个城市</w:t>
      </w:r>
      <w:r>
        <w:rPr>
          <w:spacing w:val="-60"/>
        </w:rPr>
        <w:t> </w:t>
      </w:r>
      <w:r>
        <w:rPr>
          <w:rFonts w:ascii="Times New Roman" w:hAnsi="Times New Roman" w:cs="Times New Roman" w:eastAsia="Times New Roman" w:hint="default"/>
        </w:rPr>
        <w:t>155</w:t>
      </w:r>
    </w:p>
    <w:p>
      <w:pPr>
        <w:spacing w:after="0" w:line="240" w:lineRule="auto"/>
        <w:jc w:val="left"/>
        <w:rPr>
          <w:rFonts w:ascii="Times New Roman" w:hAnsi="Times New Roman" w:cs="Times New Roman" w:eastAsia="Times New Roman" w:hint="default"/>
        </w:rPr>
        <w:sectPr>
          <w:pgSz w:w="11910" w:h="16840"/>
          <w:pgMar w:header="826" w:footer="900" w:top="1100" w:bottom="1100" w:left="1500" w:right="1420"/>
        </w:sectPr>
      </w:pPr>
    </w:p>
    <w:p>
      <w:pPr>
        <w:pStyle w:val="BodyText"/>
        <w:spacing w:line="357" w:lineRule="auto" w:before="106"/>
        <w:ind w:right="137"/>
        <w:jc w:val="both"/>
      </w:pPr>
      <w:r>
        <w:rPr>
          <w:spacing w:val="-1"/>
        </w:rPr>
        <w:t>家门店同时独家推出惠而浦热水器。这是全球白电第一品牌惠而浦，继空调后又一</w:t>
      </w:r>
      <w:r>
        <w:rPr>
          <w:spacing w:val="-104"/>
        </w:rPr>
        <w:t> </w:t>
      </w:r>
      <w:r>
        <w:rPr>
          <w:spacing w:val="-104"/>
        </w:rPr>
      </w:r>
      <w:r>
        <w:rPr>
          <w:spacing w:val="-1"/>
        </w:rPr>
        <w:t>新品类在苏宁独家上市销售。此举不仅表明惠而浦将依托苏宁电器进军中国全系列</w:t>
      </w:r>
      <w:r>
        <w:rPr>
          <w:spacing w:val="-104"/>
        </w:rPr>
        <w:t> </w:t>
      </w:r>
      <w:r>
        <w:rPr>
          <w:spacing w:val="-104"/>
        </w:rPr>
      </w:r>
      <w:r>
        <w:rPr>
          <w:spacing w:val="5"/>
        </w:rPr>
        <w:t>白电市场，还标志着惠而浦与苏宁电器的独家战略合作伙伴关系已进入了全新阶</w:t>
      </w:r>
      <w:r>
        <w:rPr>
          <w:spacing w:val="-96"/>
        </w:rPr>
        <w:t> </w:t>
      </w:r>
      <w:r>
        <w:rPr>
          <w:spacing w:val="-96"/>
        </w:rPr>
      </w:r>
      <w:r>
        <w:rPr/>
        <w:t>段，对于中国家电行业厂商合作模式也带来了新的启示。</w:t>
      </w:r>
    </w:p>
    <w:p>
      <w:pPr>
        <w:pStyle w:val="BodyText"/>
        <w:spacing w:line="345" w:lineRule="auto" w:before="36"/>
        <w:ind w:left="144" w:right="137" w:firstLine="420"/>
        <w:jc w:val="both"/>
      </w:pPr>
      <w:r>
        <w:rPr>
          <w:rFonts w:ascii="Wingdings" w:hAnsi="Wingdings" w:cs="Wingdings" w:eastAsia="Wingdings" w:hint="default"/>
        </w:rPr>
        <w:t></w:t>
      </w:r>
      <w:r>
        <w:rPr>
          <w:rFonts w:ascii="Wingdings" w:hAnsi="Wingdings" w:cs="Wingdings" w:eastAsia="Wingdings" w:hint="default"/>
          <w:spacing w:val="-3"/>
        </w:rPr>
        <w:t></w:t>
      </w:r>
      <w:r>
        <w:rPr>
          <w:rFonts w:ascii="Times New Roman" w:hAnsi="Times New Roman" w:cs="Times New Roman" w:eastAsia="Times New Roman" w:hint="default"/>
          <w:spacing w:val="-3"/>
        </w:rPr>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日，苏宁与</w:t>
      </w:r>
      <w:r>
        <w:rPr>
          <w:spacing w:val="-55"/>
        </w:rPr>
        <w:t> </w:t>
      </w:r>
      <w:r>
        <w:rPr>
          <w:rFonts w:ascii="Times New Roman" w:hAnsi="Times New Roman" w:cs="Times New Roman" w:eastAsia="Times New Roman" w:hint="default"/>
        </w:rPr>
        <w:t>LG</w:t>
      </w:r>
      <w:r>
        <w:rPr/>
        <w:t>“</w:t>
      </w:r>
      <w:r>
        <w:rPr>
          <w:rFonts w:ascii="Times New Roman" w:hAnsi="Times New Roman" w:cs="Times New Roman" w:eastAsia="Times New Roman" w:hint="default"/>
        </w:rPr>
        <w:t>GG100</w:t>
      </w:r>
      <w:r>
        <w:rPr/>
        <w:t>”合作项目正式启动，该项目旨在 通过双方采取创新性举措和差异化经营，在</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天的期间内重点突出</w:t>
      </w:r>
      <w:r>
        <w:rPr>
          <w:spacing w:val="-57"/>
        </w:rPr>
        <w:t> </w:t>
      </w:r>
      <w:r>
        <w:rPr>
          <w:rFonts w:ascii="Times New Roman" w:hAnsi="Times New Roman" w:cs="Times New Roman" w:eastAsia="Times New Roman" w:hint="default"/>
        </w:rPr>
        <w:t>LG</w:t>
      </w:r>
      <w:r>
        <w:rPr>
          <w:rFonts w:ascii="Times New Roman" w:hAnsi="Times New Roman" w:cs="Times New Roman" w:eastAsia="Times New Roman" w:hint="default"/>
          <w:spacing w:val="3"/>
        </w:rPr>
        <w:t> </w:t>
      </w:r>
      <w:r>
        <w:rPr/>
        <w:t>电视和手 </w:t>
      </w:r>
      <w:r>
        <w:rPr>
          <w:spacing w:val="-1"/>
        </w:rPr>
        <w:t>机产品在苏宁销售的提升与突破，并借此构建可持续性发展和跨越增长的平台，从</w:t>
      </w:r>
      <w:r>
        <w:rPr>
          <w:spacing w:val="-104"/>
        </w:rPr>
        <w:t> </w:t>
      </w:r>
      <w:r>
        <w:rPr>
          <w:spacing w:val="-104"/>
        </w:rPr>
      </w:r>
      <w:r>
        <w:rPr/>
        <w:t>而实现双方长期的战略合作。</w:t>
      </w:r>
    </w:p>
    <w:p>
      <w:pPr>
        <w:pStyle w:val="BodyText"/>
        <w:spacing w:line="343" w:lineRule="auto" w:before="48"/>
        <w:ind w:left="144" w:right="136" w:firstLine="480"/>
        <w:jc w:val="both"/>
      </w:pPr>
      <w:r>
        <w:rPr/>
        <w:t>基于“</w:t>
      </w:r>
      <w:r>
        <w:rPr>
          <w:rFonts w:ascii="Times New Roman" w:hAnsi="Times New Roman" w:cs="Times New Roman" w:eastAsia="Times New Roman" w:hint="default"/>
        </w:rPr>
        <w:t>GG100</w:t>
      </w:r>
      <w:r>
        <w:rPr/>
        <w:t>”项目取得的良好效果，</w:t>
      </w: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17 </w:t>
      </w:r>
      <w:r>
        <w:rPr/>
        <w:t>日，苏宁与 </w:t>
      </w:r>
      <w:r>
        <w:rPr>
          <w:rFonts w:ascii="Times New Roman" w:hAnsi="Times New Roman" w:cs="Times New Roman" w:eastAsia="Times New Roman" w:hint="default"/>
        </w:rPr>
        <w:t>LG</w:t>
      </w:r>
      <w:r>
        <w:rPr>
          <w:rFonts w:ascii="Times New Roman" w:hAnsi="Times New Roman" w:cs="Times New Roman" w:eastAsia="Times New Roman" w:hint="default"/>
          <w:spacing w:val="-13"/>
        </w:rPr>
        <w:t> </w:t>
      </w:r>
      <w:r>
        <w:rPr/>
        <w:t>签订 </w:t>
      </w:r>
      <w:r>
        <w:rPr>
          <w:spacing w:val="-1"/>
        </w:rPr>
        <w:t>“</w:t>
      </w:r>
      <w:r>
        <w:rPr>
          <w:rFonts w:ascii="Times New Roman" w:hAnsi="Times New Roman" w:cs="Times New Roman" w:eastAsia="Times New Roman" w:hint="default"/>
          <w:spacing w:val="-1"/>
        </w:rPr>
        <w:t>GG365</w:t>
      </w:r>
      <w:r>
        <w:rPr>
          <w:spacing w:val="-1"/>
        </w:rPr>
        <w:t>”合作协议，计划用一年的时间，通过在彩电、冰洗、通讯品类产品、服 务等多方位的深入拓展，全面提升销售份额。此次协议的签订，标志着苏宁电器与</w:t>
      </w:r>
      <w:r>
        <w:rPr>
          <w:spacing w:val="-102"/>
        </w:rPr>
        <w:t> </w:t>
      </w:r>
      <w:r>
        <w:rPr>
          <w:spacing w:val="-102"/>
        </w:rPr>
      </w:r>
      <w:r>
        <w:rPr>
          <w:rFonts w:ascii="Times New Roman" w:hAnsi="Times New Roman" w:cs="Times New Roman" w:eastAsia="Times New Roman" w:hint="default"/>
        </w:rPr>
        <w:t>LG</w:t>
      </w:r>
      <w:r>
        <w:rPr>
          <w:rFonts w:ascii="Times New Roman" w:hAnsi="Times New Roman" w:cs="Times New Roman" w:eastAsia="Times New Roman" w:hint="default"/>
          <w:spacing w:val="56"/>
        </w:rPr>
        <w:t> </w:t>
      </w:r>
      <w:r>
        <w:rPr/>
        <w:t>长期深度战略性合作的达成，也显示了苏宁电器在外资品牌引进策略的营销新 模式。</w:t>
      </w:r>
    </w:p>
    <w:p>
      <w:pPr>
        <w:pStyle w:val="BodyText"/>
        <w:spacing w:line="352" w:lineRule="auto" w:before="50"/>
        <w:ind w:left="144" w:right="137" w:firstLine="420"/>
        <w:jc w:val="both"/>
      </w:pPr>
      <w:r>
        <w:rPr>
          <w:rFonts w:ascii="Wingdings" w:hAnsi="Wingdings" w:cs="Wingdings" w:eastAsia="Wingdings" w:hint="default"/>
        </w:rPr>
        <w:t></w:t>
      </w:r>
      <w:r>
        <w:rPr>
          <w:rFonts w:ascii="Wingdings" w:hAnsi="Wingdings" w:cs="Wingdings" w:eastAsia="Wingdings" w:hint="default"/>
          <w:spacing w:val="10"/>
        </w:rPr>
        <w:t></w:t>
      </w:r>
      <w:r>
        <w:rPr>
          <w:rFonts w:ascii="Times New Roman" w:hAnsi="Times New Roman" w:cs="Times New Roman" w:eastAsia="Times New Roman" w:hint="default"/>
          <w:spacing w:val="10"/>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日，苏宁电器与伊莱克斯签订框架协议，将独家承销伊莱克</w:t>
      </w:r>
      <w:r>
        <w:rPr/>
        <w:t> </w:t>
      </w:r>
      <w:r>
        <w:rPr>
          <w:spacing w:val="-1"/>
        </w:rPr>
        <w:t>斯在中国的洗衣机产品。根据协议规定，伊莱克斯将陆续从除苏宁以外的其他所有</w:t>
      </w:r>
      <w:r>
        <w:rPr>
          <w:spacing w:val="-104"/>
        </w:rPr>
        <w:t> </w:t>
      </w:r>
      <w:r>
        <w:rPr>
          <w:spacing w:val="-104"/>
        </w:rPr>
      </w:r>
      <w:r>
        <w:rPr>
          <w:spacing w:val="-1"/>
        </w:rPr>
        <w:t>渠道撤出，并同时推进全系列洗衣机产品在苏宁的全面独家代理销售。双方还将组</w:t>
      </w:r>
      <w:r>
        <w:rPr>
          <w:spacing w:val="-104"/>
        </w:rPr>
        <w:t> </w:t>
      </w:r>
      <w:r>
        <w:rPr>
          <w:spacing w:val="-104"/>
        </w:rPr>
      </w:r>
      <w:r>
        <w:rPr>
          <w:spacing w:val="-1"/>
        </w:rPr>
        <w:t>织专业团队设计研发伊莱克斯波轮洗衣机，发挥苏宁与伊莱克斯各自的优势，设计</w:t>
      </w:r>
      <w:r>
        <w:rPr>
          <w:spacing w:val="-104"/>
        </w:rPr>
        <w:t> </w:t>
      </w:r>
      <w:r>
        <w:rPr>
          <w:spacing w:val="-104"/>
        </w:rPr>
      </w:r>
      <w:r>
        <w:rPr/>
        <w:t>出更符合中国消费者洗涤习惯的产品。</w:t>
      </w:r>
    </w:p>
    <w:p>
      <w:pPr>
        <w:pStyle w:val="BodyText"/>
        <w:spacing w:line="240" w:lineRule="auto" w:before="41"/>
        <w:ind w:left="624" w:right="101"/>
        <w:jc w:val="left"/>
      </w:pPr>
      <w:r>
        <w:rPr/>
        <w:t>（</w:t>
      </w:r>
      <w:r>
        <w:rPr>
          <w:rFonts w:ascii="Times New Roman" w:hAnsi="Times New Roman" w:cs="Times New Roman" w:eastAsia="Times New Roman" w:hint="default"/>
        </w:rPr>
        <w:t>2</w:t>
      </w:r>
      <w:r>
        <w:rPr/>
        <w:t>）产品创新</w:t>
      </w:r>
    </w:p>
    <w:p>
      <w:pPr>
        <w:pStyle w:val="BodyText"/>
        <w:spacing w:line="348" w:lineRule="auto" w:before="135"/>
        <w:ind w:left="144" w:right="118" w:firstLine="420"/>
        <w:jc w:val="both"/>
      </w:pPr>
      <w:r>
        <w:rPr>
          <w:rFonts w:ascii="Wingdings" w:hAnsi="Wingdings" w:cs="Wingdings" w:eastAsia="Wingdings" w:hint="default"/>
          <w:w w:val="100"/>
        </w:rPr>
        <w:t></w:t>
      </w:r>
      <w:r>
        <w:rPr>
          <w:rFonts w:ascii="Times New Roman" w:hAnsi="Times New Roman" w:cs="Times New Roman" w:eastAsia="Times New Roman" w:hint="default"/>
          <w:w w:val="100"/>
        </w:rPr>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spacing w:val="-7"/>
        </w:rPr>
        <w:t>年国庆，苏宁电器全面启动“阳光包服务计划”，为购买“阳光包”延</w:t>
      </w:r>
      <w:r>
        <w:rPr/>
        <w:t> 保产品的消费者提供延保期内有故障包修、维修费包免、难修复包换的“新三包” 服务。</w:t>
      </w:r>
    </w:p>
    <w:p>
      <w:pPr>
        <w:pStyle w:val="BodyText"/>
        <w:spacing w:line="357" w:lineRule="auto" w:before="46"/>
        <w:ind w:left="144" w:right="137" w:firstLine="480"/>
        <w:jc w:val="both"/>
      </w:pPr>
      <w:r>
        <w:rPr>
          <w:spacing w:val="-1"/>
        </w:rPr>
        <w:t>“阳光包”是苏宁电器自主研发的一种家电延保产品，更是苏宁电器向顾客提</w:t>
      </w:r>
      <w:r>
        <w:rPr/>
        <w:t> </w:t>
      </w:r>
      <w:r>
        <w:rPr>
          <w:spacing w:val="-1"/>
        </w:rPr>
        <w:t>供的一项电器延保服务的服务品牌。其独立于制造企业或国家规定的产品保修期之</w:t>
      </w:r>
      <w:r>
        <w:rPr>
          <w:spacing w:val="-104"/>
        </w:rPr>
        <w:t> </w:t>
      </w:r>
      <w:r>
        <w:rPr>
          <w:spacing w:val="-104"/>
        </w:rPr>
      </w:r>
      <w:r>
        <w:rPr/>
        <w:t>外，旨在通过延长家电产品的保修期，全面升级家电维修保障服务。</w:t>
      </w:r>
    </w:p>
    <w:p>
      <w:pPr>
        <w:pStyle w:val="BodyText"/>
        <w:spacing w:line="240" w:lineRule="auto" w:before="36"/>
        <w:ind w:left="624" w:right="101"/>
        <w:jc w:val="left"/>
      </w:pPr>
      <w:r>
        <w:rPr/>
        <w:t>（</w:t>
      </w:r>
      <w:r>
        <w:rPr>
          <w:rFonts w:ascii="Times New Roman" w:hAnsi="Times New Roman" w:cs="Times New Roman" w:eastAsia="Times New Roman" w:hint="default"/>
        </w:rPr>
        <w:t>3</w:t>
      </w:r>
      <w:r>
        <w:rPr/>
        <w:t>）渠道创新</w:t>
      </w:r>
    </w:p>
    <w:p>
      <w:pPr>
        <w:pStyle w:val="BodyText"/>
        <w:spacing w:line="240" w:lineRule="auto" w:before="135"/>
        <w:ind w:left="624" w:right="101"/>
        <w:jc w:val="left"/>
        <w:rPr>
          <w:rFonts w:ascii="Times New Roman" w:hAnsi="Times New Roman" w:cs="Times New Roman" w:eastAsia="Times New Roman" w:hint="default"/>
        </w:rPr>
      </w:pPr>
      <w:r>
        <w:rPr>
          <w:rFonts w:ascii="Wingdings" w:hAnsi="Wingdings" w:cs="Wingdings" w:eastAsia="Wingdings" w:hint="default"/>
          <w:w w:val="100"/>
        </w:rPr>
        <w:t></w:t>
      </w:r>
      <w:r>
        <w:rPr>
          <w:rFonts w:ascii="Times New Roman" w:hAnsi="Times New Roman" w:cs="Times New Roman" w:eastAsia="Times New Roman" w:hint="default"/>
        </w:rPr>
        <w:t>   </w:t>
      </w:r>
      <w:r>
        <w:rPr/>
        <w:t>进一步明确</w:t>
      </w:r>
      <w:r>
        <w:rPr>
          <w:spacing w:val="-60"/>
        </w:rPr>
        <w:t> </w:t>
      </w:r>
      <w:r>
        <w:rPr>
          <w:rFonts w:ascii="Times New Roman" w:hAnsi="Times New Roman" w:cs="Times New Roman" w:eastAsia="Times New Roman" w:hint="default"/>
          <w:spacing w:val="-1"/>
        </w:rPr>
        <w:t>B2</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业务的未来发展方向</w:t>
      </w:r>
      <w:r>
        <w:rPr>
          <w:spacing w:val="-120"/>
        </w:rPr>
        <w:t>，</w:t>
      </w:r>
      <w:r>
        <w:rPr/>
        <w:t>成立专门的组织体系</w:t>
      </w:r>
      <w:r>
        <w:rPr>
          <w:spacing w:val="-120"/>
        </w:rPr>
        <w:t>，</w:t>
      </w:r>
      <w:r>
        <w:rPr/>
        <w:t>积极准备</w:t>
      </w:r>
      <w:r>
        <w:rPr>
          <w:spacing w:val="-60"/>
        </w:rPr>
        <w:t> </w:t>
      </w:r>
      <w:r>
        <w:rPr>
          <w:rFonts w:ascii="Times New Roman" w:hAnsi="Times New Roman" w:cs="Times New Roman" w:eastAsia="Times New Roman" w:hint="default"/>
          <w:spacing w:val="-1"/>
        </w:rPr>
        <w:t>B2C</w:t>
      </w:r>
      <w:r>
        <w:rPr>
          <w:rFonts w:ascii="Times New Roman" w:hAnsi="Times New Roman" w:cs="Times New Roman" w:eastAsia="Times New Roman" w:hint="default"/>
        </w:rPr>
      </w:r>
    </w:p>
    <w:p>
      <w:pPr>
        <w:pStyle w:val="BodyText"/>
        <w:spacing w:line="240" w:lineRule="auto" w:before="135"/>
        <w:ind w:left="144" w:right="0"/>
        <w:jc w:val="both"/>
      </w:pPr>
      <w:r>
        <w:rPr/>
        <w:t>网站升级优化工作，为未来</w:t>
      </w:r>
      <w:r>
        <w:rPr>
          <w:spacing w:val="-60"/>
        </w:rPr>
        <w:t> </w:t>
      </w:r>
      <w:r>
        <w:rPr>
          <w:rFonts w:ascii="Times New Roman" w:hAnsi="Times New Roman" w:cs="Times New Roman" w:eastAsia="Times New Roman" w:hint="default"/>
        </w:rPr>
        <w:t>2-3 </w:t>
      </w:r>
      <w:r>
        <w:rPr/>
        <w:t>年内网站业务的突破发展奠定坚实的基础。</w:t>
      </w:r>
    </w:p>
    <w:p>
      <w:pPr>
        <w:pStyle w:val="BodyText"/>
        <w:spacing w:line="338" w:lineRule="auto" w:before="135"/>
        <w:ind w:left="144" w:right="133" w:firstLine="480"/>
        <w:jc w:val="both"/>
        <w:rPr>
          <w:rFonts w:ascii="Times New Roman" w:hAnsi="Times New Roman" w:cs="Times New Roman" w:eastAsia="Times New Roman" w:hint="default"/>
        </w:rPr>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全面启动家电下乡，凭借店面网络、物流配送、售后服务等优势，一举中</w:t>
      </w:r>
      <w:r>
        <w:rPr>
          <w:spacing w:val="3"/>
        </w:rPr>
        <w:t> </w:t>
      </w:r>
      <w:r>
        <w:rPr/>
        <w:t>标</w:t>
      </w:r>
      <w:r>
        <w:rPr>
          <w:spacing w:val="-57"/>
        </w:rPr>
        <w:t> </w:t>
      </w:r>
      <w:r>
        <w:rPr>
          <w:rFonts w:ascii="Times New Roman" w:hAnsi="Times New Roman" w:cs="Times New Roman" w:eastAsia="Times New Roman" w:hint="default"/>
        </w:rPr>
        <w:t>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4"/>
        </w:rPr>
        <w:t>省（市）家电下乡项目；在商务部随后的两次招标中，公司取得全国</w:t>
      </w:r>
      <w:r>
        <w:rPr>
          <w:spacing w:val="-57"/>
        </w:rPr>
        <w:t> </w:t>
      </w:r>
      <w:r>
        <w:rPr>
          <w:rFonts w:ascii="Times New Roman" w:hAnsi="Times New Roman" w:cs="Times New Roman" w:eastAsia="Times New Roman" w:hint="default"/>
        </w:rPr>
        <w:t>28</w:t>
      </w:r>
    </w:p>
    <w:p>
      <w:pPr>
        <w:spacing w:after="0" w:line="338" w:lineRule="auto"/>
        <w:jc w:val="both"/>
        <w:rPr>
          <w:rFonts w:ascii="Times New Roman" w:hAnsi="Times New Roman" w:cs="Times New Roman" w:eastAsia="Times New Roman" w:hint="default"/>
        </w:rPr>
        <w:sectPr>
          <w:pgSz w:w="11910" w:h="16840"/>
          <w:pgMar w:header="826" w:footer="900" w:top="1100" w:bottom="1100" w:left="1500" w:right="1500"/>
        </w:sectPr>
      </w:pPr>
    </w:p>
    <w:p>
      <w:pPr>
        <w:pStyle w:val="BodyText"/>
        <w:spacing w:line="357" w:lineRule="auto" w:before="106"/>
        <w:ind w:left="623" w:right="235" w:hanging="480"/>
        <w:jc w:val="left"/>
      </w:pPr>
      <w:r>
        <w:rPr/>
        <w:t>个省份和地区的渠道商资格。 </w:t>
      </w:r>
      <w:r>
        <w:rPr>
          <w:spacing w:val="-1"/>
        </w:rPr>
        <w:t>上述战略合作与营销创新，标志着公司在产品采购合作模式、商品引进、销售</w:t>
      </w:r>
    </w:p>
    <w:p>
      <w:pPr>
        <w:pStyle w:val="BodyText"/>
        <w:spacing w:line="357" w:lineRule="auto" w:before="36"/>
        <w:ind w:right="218"/>
        <w:jc w:val="both"/>
      </w:pPr>
      <w:r>
        <w:rPr>
          <w:spacing w:val="-2"/>
        </w:rPr>
        <w:t>渠道拓展方面的创新。随着供应商合作关系的进一步深入、优化，销售产品的进一</w:t>
      </w:r>
      <w:r>
        <w:rPr>
          <w:spacing w:val="-99"/>
        </w:rPr>
        <w:t> </w:t>
      </w:r>
      <w:r>
        <w:rPr>
          <w:spacing w:val="-99"/>
        </w:rPr>
      </w:r>
      <w:r>
        <w:rPr>
          <w:spacing w:val="-1"/>
        </w:rPr>
        <w:t>步丰富，销售渠道的进一步拓展，公司营业收入、综合毛利率稳步提升。未来公司</w:t>
      </w:r>
      <w:r>
        <w:rPr>
          <w:spacing w:val="-104"/>
        </w:rPr>
        <w:t> </w:t>
      </w:r>
      <w:r>
        <w:rPr>
          <w:spacing w:val="-104"/>
        </w:rPr>
      </w:r>
      <w:r>
        <w:rPr/>
        <w:t>还将进一步加强商品品类分析和商品规划研究，继续尝试新品类、新产品的引进； 同时，公司还将继续通过大单采购、包销、定制等手段，获得优势品牌的</w:t>
      </w:r>
      <w:r>
        <w:rPr>
          <w:spacing w:val="-100"/>
        </w:rPr>
        <w:t> </w:t>
      </w:r>
      <w:r>
        <w:rPr>
          <w:spacing w:val="-3"/>
        </w:rPr>
        <w:t>ODM、OEM</w:t>
      </w:r>
      <w:r>
        <w:rPr/>
        <w:t> 资源支持，继续保持公司综合毛利率稳中有升。</w:t>
      </w:r>
    </w:p>
    <w:p>
      <w:pPr>
        <w:spacing w:line="240" w:lineRule="auto" w:before="5"/>
        <w:rPr>
          <w:rFonts w:ascii="宋体" w:hAnsi="宋体" w:cs="宋体" w:eastAsia="宋体" w:hint="default"/>
          <w:sz w:val="34"/>
          <w:szCs w:val="34"/>
        </w:rPr>
      </w:pPr>
    </w:p>
    <w:p>
      <w:pPr>
        <w:pStyle w:val="BodyText"/>
        <w:spacing w:line="240" w:lineRule="auto"/>
        <w:ind w:left="623" w:right="108"/>
        <w:jc w:val="left"/>
      </w:pPr>
      <w:r>
        <w:rPr>
          <w:rFonts w:ascii="Times New Roman" w:hAnsi="Times New Roman" w:cs="Times New Roman" w:eastAsia="Times New Roman" w:hint="default"/>
        </w:rPr>
        <w:t>3</w:t>
      </w:r>
      <w:r>
        <w:rPr/>
        <w:t>、完善后台平台建设</w:t>
      </w:r>
    </w:p>
    <w:p>
      <w:pPr>
        <w:pStyle w:val="BodyText"/>
        <w:spacing w:line="240" w:lineRule="auto" w:before="135"/>
        <w:ind w:left="623" w:right="108"/>
        <w:jc w:val="left"/>
      </w:pPr>
      <w:r>
        <w:rPr/>
        <w:t>（</w:t>
      </w:r>
      <w:r>
        <w:rPr>
          <w:rFonts w:ascii="Times New Roman" w:hAnsi="Times New Roman" w:cs="Times New Roman" w:eastAsia="Times New Roman" w:hint="default"/>
        </w:rPr>
        <w:t>1</w:t>
      </w:r>
      <w:r>
        <w:rPr/>
        <w:t>）现代化物流建设方面</w:t>
      </w:r>
    </w:p>
    <w:p>
      <w:pPr>
        <w:pStyle w:val="BodyText"/>
        <w:tabs>
          <w:tab w:pos="1043" w:val="left" w:leader="none"/>
        </w:tabs>
        <w:spacing w:line="240" w:lineRule="auto" w:before="135"/>
        <w:ind w:left="623" w:right="108"/>
        <w:jc w:val="left"/>
      </w:pPr>
      <w:r>
        <w:rPr>
          <w:rFonts w:ascii="Wingdings" w:hAnsi="Wingdings" w:cs="Wingdings" w:eastAsia="Wingdings" w:hint="default"/>
        </w:rPr>
        <w:t></w:t>
      </w:r>
      <w:r>
        <w:rPr>
          <w:rFonts w:ascii="Times New Roman" w:hAnsi="Times New Roman" w:cs="Times New Roman" w:eastAsia="Times New Roman" w:hint="default"/>
        </w:rPr>
        <w:tab/>
      </w:r>
      <w:r>
        <w:rPr/>
        <w:t>物流基地建设</w:t>
      </w:r>
    </w:p>
    <w:p>
      <w:pPr>
        <w:pStyle w:val="BodyText"/>
        <w:spacing w:line="338" w:lineRule="auto" w:before="137"/>
        <w:ind w:right="222" w:firstLine="480"/>
        <w:jc w:val="left"/>
      </w:pPr>
      <w:r>
        <w:rPr>
          <w:rFonts w:ascii="Wingdings" w:hAnsi="Wingdings" w:cs="Wingdings" w:eastAsia="Wingdings" w:hint="default"/>
        </w:rPr>
        <w:t></w:t>
      </w:r>
      <w:r>
        <w:rPr>
          <w:rFonts w:ascii="Wingdings" w:hAnsi="Wingdings" w:cs="Wingdings" w:eastAsia="Wingdings" w:hint="default"/>
          <w:spacing w:val="-63"/>
        </w:rPr>
        <w:t></w:t>
      </w:r>
      <w:r>
        <w:rPr>
          <w:rFonts w:ascii="Times New Roman" w:hAnsi="Times New Roman" w:cs="Times New Roman" w:eastAsia="Times New Roman" w:hint="default"/>
          <w:spacing w:val="-63"/>
        </w:rPr>
      </w:r>
      <w:r>
        <w:rPr>
          <w:spacing w:val="25"/>
        </w:rPr>
        <w:t>2008年3月</w:t>
      </w:r>
      <w:r>
        <w:rPr>
          <w:spacing w:val="-57"/>
        </w:rPr>
        <w:t> </w:t>
      </w:r>
      <w:r>
        <w:rPr/>
        <w:t>28</w:t>
      </w:r>
      <w:r>
        <w:rPr>
          <w:spacing w:val="-57"/>
        </w:rPr>
        <w:t> </w:t>
      </w:r>
      <w:r>
        <w:rPr>
          <w:spacing w:val="-4"/>
        </w:rPr>
        <w:t>日，江苏物流中心货架式仓库</w:t>
      </w:r>
      <w:r>
        <w:rPr>
          <w:spacing w:val="-57"/>
        </w:rPr>
        <w:t> </w:t>
      </w:r>
      <w:r>
        <w:rPr/>
        <w:t>WMS</w:t>
      </w:r>
      <w:r>
        <w:rPr>
          <w:spacing w:val="-57"/>
        </w:rPr>
        <w:t> </w:t>
      </w:r>
      <w:r>
        <w:rPr>
          <w:spacing w:val="-4"/>
        </w:rPr>
        <w:t>系统顺利实现切换，公司</w:t>
      </w:r>
      <w:r>
        <w:rPr/>
        <w:t> </w:t>
      </w:r>
      <w:r>
        <w:rPr>
          <w:spacing w:val="-6"/>
        </w:rPr>
        <w:t>第三代现代化物流基地运作模式基本成熟；；</w:t>
      </w:r>
    </w:p>
    <w:p>
      <w:pPr>
        <w:pStyle w:val="BodyText"/>
        <w:spacing w:line="338" w:lineRule="auto" w:before="55"/>
        <w:ind w:right="222" w:firstLine="480"/>
        <w:jc w:val="left"/>
      </w:pPr>
      <w:r>
        <w:rPr>
          <w:rFonts w:ascii="Wingdings" w:hAnsi="Wingdings" w:cs="Wingdings" w:eastAsia="Wingdings" w:hint="default"/>
          <w:w w:val="99"/>
        </w:rPr>
        <w:t></w:t>
      </w:r>
      <w:r>
        <w:rPr>
          <w:rFonts w:ascii="Wingdings" w:hAnsi="Wingdings" w:cs="Wingdings" w:eastAsia="Wingdings" w:hint="default"/>
          <w:spacing w:val="-63"/>
          <w:w w:val="99"/>
        </w:rPr>
        <w:t></w:t>
      </w:r>
      <w:r>
        <w:rPr>
          <w:rFonts w:ascii="Times New Roman" w:hAnsi="Times New Roman" w:cs="Times New Roman" w:eastAsia="Times New Roman" w:hint="default"/>
          <w:spacing w:val="-63"/>
          <w:w w:val="99"/>
        </w:rPr>
      </w:r>
      <w:r>
        <w:rPr>
          <w:spacing w:val="-6"/>
        </w:rPr>
        <w:t>沈阳物流中心的建设按照规划有效推进，预计将于</w:t>
      </w:r>
      <w:r>
        <w:rPr>
          <w:spacing w:val="-68"/>
        </w:rPr>
        <w:t> </w:t>
      </w:r>
      <w:r>
        <w:rPr/>
        <w:t>2009</w:t>
      </w:r>
      <w:r>
        <w:rPr>
          <w:spacing w:val="-68"/>
        </w:rPr>
        <w:t> </w:t>
      </w:r>
      <w:r>
        <w:rPr>
          <w:spacing w:val="-11"/>
        </w:rPr>
        <w:t>年底建设完成，2010</w:t>
      </w:r>
      <w:r>
        <w:rPr/>
        <w:t> 年投入使用；</w:t>
      </w:r>
    </w:p>
    <w:p>
      <w:pPr>
        <w:pStyle w:val="BodyText"/>
        <w:spacing w:line="338" w:lineRule="auto" w:before="55"/>
        <w:ind w:right="231" w:firstLine="480"/>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spacing w:val="2"/>
        </w:rPr>
        <w:t>成都、无锡、徐州等地的物流基地已陆续完成土地摘牌转让工作，筹建工</w:t>
      </w:r>
      <w:r>
        <w:rPr>
          <w:spacing w:val="3"/>
        </w:rPr>
        <w:t> </w:t>
      </w:r>
      <w:r>
        <w:rPr/>
        <w:t>作将按计划逐步开展。</w:t>
      </w:r>
    </w:p>
    <w:p>
      <w:pPr>
        <w:pStyle w:val="BodyText"/>
        <w:spacing w:line="348" w:lineRule="auto" w:before="55"/>
        <w:ind w:right="233" w:firstLine="480"/>
        <w:jc w:val="both"/>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spacing w:val="2"/>
        </w:rPr>
        <w:t>物流基地标准化建设工作方面，充分总结北京、南京、沈阳基地设计、筹</w:t>
      </w:r>
      <w:r>
        <w:rPr>
          <w:spacing w:val="3"/>
        </w:rPr>
        <w:t> </w:t>
      </w:r>
      <w:r>
        <w:rPr>
          <w:spacing w:val="-1"/>
        </w:rPr>
        <w:t>建经验，形成设计、设备、材料、筹建、业务操作流程等全方位的标准体系，为定</w:t>
      </w:r>
      <w:r>
        <w:rPr>
          <w:spacing w:val="-107"/>
        </w:rPr>
        <w:t> </w:t>
      </w:r>
      <w:r>
        <w:rPr>
          <w:spacing w:val="-107"/>
        </w:rPr>
      </w:r>
      <w:r>
        <w:rPr/>
        <w:t>制化、批量化开发建设物流基地提供模板。</w:t>
      </w:r>
    </w:p>
    <w:p>
      <w:pPr>
        <w:pStyle w:val="BodyText"/>
        <w:tabs>
          <w:tab w:pos="1043" w:val="left" w:leader="none"/>
        </w:tabs>
        <w:spacing w:line="240" w:lineRule="auto" w:before="46"/>
        <w:ind w:left="623" w:right="108"/>
        <w:jc w:val="left"/>
      </w:pPr>
      <w:r>
        <w:rPr>
          <w:rFonts w:ascii="Wingdings" w:hAnsi="Wingdings" w:cs="Wingdings" w:eastAsia="Wingdings" w:hint="default"/>
        </w:rPr>
        <w:t></w:t>
      </w:r>
      <w:r>
        <w:rPr>
          <w:rFonts w:ascii="Times New Roman" w:hAnsi="Times New Roman" w:cs="Times New Roman" w:eastAsia="Times New Roman" w:hint="default"/>
        </w:rPr>
        <w:tab/>
      </w:r>
      <w:r>
        <w:rPr/>
        <w:t>信息化和专业化物流运作</w:t>
      </w:r>
    </w:p>
    <w:p>
      <w:pPr>
        <w:pStyle w:val="BodyText"/>
        <w:spacing w:line="338" w:lineRule="auto" w:before="137"/>
        <w:ind w:right="231" w:firstLine="480"/>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spacing w:val="2"/>
        </w:rPr>
        <w:t>通过单品仓位管理、系统盘点等精细化管理手段，强化基础工作的执行，</w:t>
      </w:r>
      <w:r>
        <w:rPr>
          <w:spacing w:val="3"/>
        </w:rPr>
        <w:t> </w:t>
      </w:r>
      <w:r>
        <w:rPr/>
        <w:t>确保了仓储商品安全、有效控制差错指标；</w:t>
      </w:r>
    </w:p>
    <w:p>
      <w:pPr>
        <w:pStyle w:val="BodyText"/>
        <w:spacing w:line="338" w:lineRule="auto" w:before="55"/>
        <w:ind w:right="100" w:firstLine="480"/>
        <w:jc w:val="left"/>
      </w:pPr>
      <w:r>
        <w:rPr>
          <w:rFonts w:ascii="Wingdings" w:hAnsi="Wingdings" w:cs="Wingdings" w:eastAsia="Wingdings" w:hint="default"/>
        </w:rPr>
        <w:t></w:t>
      </w:r>
      <w:r>
        <w:rPr>
          <w:rFonts w:ascii="Wingdings" w:hAnsi="Wingdings" w:cs="Wingdings" w:eastAsia="Wingdings" w:hint="default"/>
          <w:spacing w:val="-90"/>
        </w:rPr>
        <w:t></w:t>
      </w:r>
      <w:r>
        <w:rPr>
          <w:rFonts w:ascii="Times New Roman" w:hAnsi="Times New Roman" w:cs="Times New Roman" w:eastAsia="Times New Roman" w:hint="default"/>
          <w:spacing w:val="-90"/>
        </w:rPr>
      </w:r>
      <w:r>
        <w:rPr/>
        <w:t>依托车辆管理系统、配送作业“全程在线”系统，加强对零配、分销配送、 区域调拨的管理，提高了送货及时性。</w:t>
      </w:r>
    </w:p>
    <w:p>
      <w:pPr>
        <w:pStyle w:val="BodyText"/>
        <w:spacing w:line="240" w:lineRule="auto" w:before="55"/>
        <w:ind w:left="623" w:right="108"/>
        <w:jc w:val="left"/>
      </w:pPr>
      <w:r>
        <w:rPr/>
        <w:t>（</w:t>
      </w:r>
      <w:r>
        <w:rPr>
          <w:rFonts w:ascii="Times New Roman" w:hAnsi="Times New Roman" w:cs="Times New Roman" w:eastAsia="Times New Roman" w:hint="default"/>
        </w:rPr>
        <w:t>2</w:t>
      </w:r>
      <w:r>
        <w:rPr/>
        <w:t>）售后服务建设方面</w:t>
      </w:r>
    </w:p>
    <w:p>
      <w:pPr>
        <w:pStyle w:val="BodyText"/>
        <w:spacing w:line="338" w:lineRule="auto" w:before="135"/>
        <w:ind w:left="144" w:right="220" w:firstLine="470"/>
        <w:jc w:val="left"/>
      </w:pPr>
      <w:r>
        <w:rPr>
          <w:rFonts w:ascii="Wingdings" w:hAnsi="Wingdings" w:cs="Wingdings" w:eastAsia="Wingdings" w:hint="default"/>
        </w:rPr>
        <w:t></w:t>
      </w:r>
      <w:r>
        <w:rPr>
          <w:rFonts w:ascii="Wingdings" w:hAnsi="Wingdings" w:cs="Wingdings" w:eastAsia="Wingdings" w:hint="default"/>
          <w:spacing w:val="-50"/>
        </w:rPr>
        <w:t></w:t>
      </w:r>
      <w:r>
        <w:rPr>
          <w:rFonts w:ascii="Times New Roman" w:hAnsi="Times New Roman" w:cs="Times New Roman" w:eastAsia="Times New Roman" w:hint="default"/>
          <w:spacing w:val="-50"/>
        </w:rPr>
      </w:r>
      <w:r>
        <w:rPr>
          <w:spacing w:val="11"/>
        </w:rPr>
        <w:t>售后服务终端网络稳步扩张，报告期末售后服务终端网点数量同比增加 </w:t>
      </w:r>
      <w:r>
        <w:rPr/>
        <w:t>168%；</w:t>
      </w:r>
    </w:p>
    <w:p>
      <w:pPr>
        <w:pStyle w:val="BodyText"/>
        <w:spacing w:line="338" w:lineRule="auto" w:before="55"/>
        <w:ind w:left="144" w:right="231" w:firstLine="470"/>
        <w:jc w:val="left"/>
      </w:pPr>
      <w:r>
        <w:rPr>
          <w:rFonts w:ascii="Wingdings" w:hAnsi="Wingdings" w:cs="Wingdings" w:eastAsia="Wingdings" w:hint="default"/>
        </w:rPr>
        <w:t></w:t>
      </w:r>
      <w:r>
        <w:rPr>
          <w:rFonts w:ascii="Wingdings" w:hAnsi="Wingdings" w:cs="Wingdings" w:eastAsia="Wingdings" w:hint="default"/>
          <w:spacing w:val="-24"/>
        </w:rPr>
        <w:t></w:t>
      </w:r>
      <w:r>
        <w:rPr>
          <w:rFonts w:ascii="Times New Roman" w:hAnsi="Times New Roman" w:cs="Times New Roman" w:eastAsia="Times New Roman" w:hint="default"/>
          <w:spacing w:val="-24"/>
        </w:rPr>
      </w:r>
      <w:r>
        <w:rPr>
          <w:spacing w:val="2"/>
        </w:rPr>
        <w:t>安维品类和规模进一步扩大，热水器安维业务继续保持稳定增长，平板电</w:t>
      </w:r>
      <w:r>
        <w:rPr>
          <w:spacing w:val="3"/>
        </w:rPr>
        <w:t> </w:t>
      </w:r>
      <w:r>
        <w:rPr/>
        <w:t>视、洗衣机安装调试比例进一步提升，安维收入和利润稳步增加；</w:t>
      </w:r>
    </w:p>
    <w:p>
      <w:pPr>
        <w:pStyle w:val="BodyText"/>
        <w:spacing w:line="240" w:lineRule="auto" w:before="55"/>
        <w:ind w:left="614" w:right="108"/>
        <w:jc w:val="left"/>
      </w:pPr>
      <w:r>
        <w:rPr>
          <w:rFonts w:ascii="Wingdings" w:hAnsi="Wingdings" w:cs="Wingdings" w:eastAsia="Wingdings" w:hint="default"/>
        </w:rPr>
        <w:t></w:t>
      </w:r>
      <w:r>
        <w:rPr>
          <w:rFonts w:ascii="Wingdings" w:hAnsi="Wingdings" w:cs="Wingdings" w:eastAsia="Wingdings" w:hint="default"/>
          <w:spacing w:val="-50"/>
        </w:rPr>
        <w:t></w:t>
      </w:r>
      <w:r>
        <w:rPr>
          <w:rFonts w:ascii="Times New Roman" w:hAnsi="Times New Roman" w:cs="Times New Roman" w:eastAsia="Times New Roman" w:hint="default"/>
          <w:spacing w:val="-50"/>
        </w:rPr>
      </w:r>
      <w:r>
        <w:rPr/>
        <w:t>蓝领工程持续推进，技术型、复合型蓝领技师比例大幅提高；</w:t>
      </w:r>
    </w:p>
    <w:p>
      <w:pPr>
        <w:spacing w:after="0" w:line="240" w:lineRule="auto"/>
        <w:jc w:val="left"/>
        <w:sectPr>
          <w:pgSz w:w="11910" w:h="16840"/>
          <w:pgMar w:header="826" w:footer="900" w:top="1100" w:bottom="1100" w:left="1500" w:right="1400"/>
        </w:sectPr>
      </w:pPr>
    </w:p>
    <w:p>
      <w:pPr>
        <w:pStyle w:val="BodyText"/>
        <w:spacing w:line="338" w:lineRule="auto" w:before="106"/>
        <w:ind w:right="136" w:firstLine="48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3"/>
        </w:rPr>
        <w:t>2008年7月1</w:t>
      </w:r>
      <w:r>
        <w:rPr>
          <w:spacing w:val="-54"/>
        </w:rPr>
        <w:t> </w:t>
      </w:r>
      <w:r>
        <w:rPr/>
        <w:t>日，中国家电维修协会授予公司售后服务中心</w:t>
      </w:r>
      <w:r>
        <w:rPr>
          <w:spacing w:val="-54"/>
        </w:rPr>
        <w:t> </w:t>
      </w:r>
      <w:r>
        <w:rPr/>
        <w:t>AAA</w:t>
      </w:r>
      <w:r>
        <w:rPr>
          <w:spacing w:val="-54"/>
        </w:rPr>
        <w:t> </w:t>
      </w:r>
      <w:r>
        <w:rPr/>
        <w:t>级信用企</w:t>
      </w:r>
      <w:r>
        <w:rPr/>
        <w:t> 业，公司服务信用进一步加强。</w:t>
      </w:r>
    </w:p>
    <w:p>
      <w:pPr>
        <w:pStyle w:val="BodyText"/>
        <w:spacing w:line="240" w:lineRule="auto" w:before="55"/>
        <w:ind w:left="623" w:right="101"/>
        <w:jc w:val="left"/>
      </w:pPr>
      <w:r>
        <w:rPr/>
        <w:t>（3）客户服务平台建设方面</w:t>
      </w:r>
    </w:p>
    <w:p>
      <w:pPr>
        <w:pStyle w:val="BodyText"/>
        <w:spacing w:line="348" w:lineRule="auto" w:before="154"/>
        <w:ind w:right="136" w:firstLine="480"/>
        <w:jc w:val="both"/>
      </w:pPr>
      <w:r>
        <w:rPr>
          <w:rFonts w:ascii="Wingdings" w:hAnsi="Wingdings" w:cs="Wingdings" w:eastAsia="Wingdings" w:hint="default"/>
          <w:w w:val="100"/>
        </w:rPr>
        <w:t></w:t>
      </w:r>
      <w:r>
        <w:rPr>
          <w:rFonts w:ascii="Wingdings" w:hAnsi="Wingdings" w:cs="Wingdings" w:eastAsia="Wingdings" w:hint="default"/>
          <w:spacing w:val="-59"/>
          <w:w w:val="100"/>
        </w:rPr>
        <w:t></w:t>
      </w:r>
      <w:r>
        <w:rPr>
          <w:rFonts w:ascii="Times New Roman" w:hAnsi="Times New Roman" w:cs="Times New Roman" w:eastAsia="Times New Roman" w:hint="default"/>
          <w:spacing w:val="-59"/>
          <w:w w:val="100"/>
        </w:rPr>
      </w:r>
      <w:r>
        <w:rPr/>
        <w:t>依托</w:t>
      </w:r>
      <w:r>
        <w:rPr>
          <w:spacing w:val="-60"/>
        </w:rPr>
        <w:t> </w:t>
      </w:r>
      <w:r>
        <w:rPr/>
        <w:t>CRM</w:t>
      </w:r>
      <w:r>
        <w:rPr>
          <w:spacing w:val="-60"/>
        </w:rPr>
        <w:t> </w:t>
      </w:r>
      <w:r>
        <w:rPr>
          <w:spacing w:val="-4"/>
        </w:rPr>
        <w:t>系统，“4008-365-365”全国统一呼叫中心运作日趋成熟，进一步</w:t>
      </w:r>
      <w:r>
        <w:rPr/>
        <w:t> 整合回访受理业务，日最高受理能力突破</w:t>
      </w:r>
      <w:r>
        <w:rPr>
          <w:spacing w:val="-47"/>
        </w:rPr>
        <w:t> </w:t>
      </w:r>
      <w:r>
        <w:rPr/>
        <w:t>2</w:t>
      </w:r>
      <w:r>
        <w:rPr>
          <w:spacing w:val="-47"/>
        </w:rPr>
        <w:t> </w:t>
      </w:r>
      <w:r>
        <w:rPr/>
        <w:t>万，人均效能比提高</w:t>
      </w:r>
      <w:r>
        <w:rPr>
          <w:spacing w:val="-47"/>
        </w:rPr>
        <w:t> </w:t>
      </w:r>
      <w:r>
        <w:rPr/>
        <w:t>30%，首问解决率</w:t>
      </w:r>
      <w:r>
        <w:rPr/>
        <w:t> 达到</w:t>
      </w:r>
      <w:r>
        <w:rPr>
          <w:spacing w:val="-60"/>
        </w:rPr>
        <w:t> </w:t>
      </w:r>
      <w:r>
        <w:rPr/>
        <w:t>85%,全面超越行业标准水平；</w:t>
      </w:r>
    </w:p>
    <w:p>
      <w:pPr>
        <w:pStyle w:val="BodyText"/>
        <w:spacing w:line="338" w:lineRule="auto" w:before="46"/>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通过投诉理赔基金、投诉处理标准的建立及重大投诉的专项管理，投诉处</w:t>
      </w:r>
      <w:r>
        <w:rPr>
          <w:spacing w:val="3"/>
        </w:rPr>
        <w:t> </w:t>
      </w:r>
      <w:r>
        <w:rPr/>
        <w:t>理能力显著提高，服务响应效率和服务品质得到明显改善。</w:t>
      </w:r>
    </w:p>
    <w:p>
      <w:pPr>
        <w:pStyle w:val="BodyText"/>
        <w:spacing w:line="240" w:lineRule="auto" w:before="55"/>
        <w:ind w:left="623" w:right="101"/>
        <w:jc w:val="left"/>
      </w:pPr>
      <w:r>
        <w:rPr/>
        <w:t>（</w:t>
      </w:r>
      <w:r>
        <w:rPr>
          <w:rFonts w:ascii="Times New Roman" w:hAnsi="Times New Roman" w:cs="Times New Roman" w:eastAsia="Times New Roman" w:hint="default"/>
        </w:rPr>
        <w:t>4</w:t>
      </w:r>
      <w:r>
        <w:rPr/>
        <w:t>）信息平台建设方面</w:t>
      </w:r>
    </w:p>
    <w:p>
      <w:pPr>
        <w:pStyle w:val="BodyText"/>
        <w:spacing w:line="348" w:lineRule="auto" w:before="135"/>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报告期内，公司继续围绕经营和管理的需求，积极推进流程优化，技术开</w:t>
      </w:r>
      <w:r>
        <w:rPr>
          <w:spacing w:val="3"/>
        </w:rPr>
        <w:t> </w:t>
      </w:r>
      <w:r>
        <w:rPr/>
        <w:t>发专业技能进一步加强，年内完成各类大型应用项目开发 34</w:t>
      </w:r>
      <w:r>
        <w:rPr>
          <w:spacing w:val="-20"/>
        </w:rPr>
        <w:t> </w:t>
      </w:r>
      <w:r>
        <w:rPr/>
        <w:t>个，有效支撑了公司</w:t>
      </w:r>
      <w:r>
        <w:rPr/>
        <w:t> 组织和管理变革，公司内部资源进一步整合，管理效率进一步提升；</w:t>
      </w:r>
    </w:p>
    <w:p>
      <w:pPr>
        <w:pStyle w:val="BodyText"/>
        <w:spacing w:line="338" w:lineRule="auto" w:before="46"/>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数据中心项目已进入内部装修阶段，相关设备采购也在招标过程中，为后</w:t>
      </w:r>
      <w:r>
        <w:rPr>
          <w:spacing w:val="3"/>
        </w:rPr>
        <w:t> </w:t>
      </w:r>
      <w:r>
        <w:rPr/>
        <w:t>期日益扩大的数据处理和安全防范要求提供有效保障。</w:t>
      </w:r>
    </w:p>
    <w:p>
      <w:pPr>
        <w:pStyle w:val="BodyText"/>
        <w:spacing w:line="240" w:lineRule="auto" w:before="55"/>
        <w:ind w:left="623" w:right="101"/>
        <w:jc w:val="left"/>
      </w:pPr>
      <w:r>
        <w:rPr/>
        <w:t>（</w:t>
      </w:r>
      <w:r>
        <w:rPr>
          <w:rFonts w:ascii="Times New Roman" w:hAnsi="Times New Roman" w:cs="Times New Roman" w:eastAsia="Times New Roman" w:hint="default"/>
        </w:rPr>
        <w:t>5</w:t>
      </w:r>
      <w:r>
        <w:rPr/>
        <w:t>）人力资源平台建设方面</w:t>
      </w:r>
    </w:p>
    <w:p>
      <w:pPr>
        <w:pStyle w:val="BodyText"/>
        <w:spacing w:line="240" w:lineRule="auto" w:before="135"/>
        <w:ind w:left="623" w:right="101"/>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启动“1200”七期校园招聘工作，继续推进人才引进、培养机制；</w:t>
      </w:r>
    </w:p>
    <w:p>
      <w:pPr>
        <w:pStyle w:val="BodyText"/>
        <w:spacing w:line="350" w:lineRule="auto" w:before="137"/>
        <w:ind w:right="136" w:firstLine="480"/>
        <w:jc w:val="both"/>
      </w:pPr>
      <w:r>
        <w:rPr>
          <w:rFonts w:ascii="Wingdings" w:hAnsi="Wingdings" w:cs="Wingdings" w:eastAsia="Wingdings" w:hint="default"/>
        </w:rPr>
        <w:t></w:t>
      </w:r>
      <w:r>
        <w:rPr>
          <w:rFonts w:ascii="Times New Roman" w:hAnsi="Times New Roman" w:cs="Times New Roman" w:eastAsia="Times New Roman" w:hint="default"/>
        </w:rPr>
      </w:r>
      <w:r>
        <w:rPr/>
        <w:t>培训工作进一步加大投入与覆盖面，延续与三星、AO、LG</w:t>
      </w:r>
      <w:r>
        <w:rPr>
          <w:spacing w:val="-80"/>
        </w:rPr>
        <w:t> </w:t>
      </w:r>
      <w:r>
        <w:rPr/>
        <w:t>等供应商的联合</w:t>
      </w:r>
      <w:r>
        <w:rPr/>
        <w:t> </w:t>
      </w:r>
      <w:r>
        <w:rPr>
          <w:spacing w:val="13"/>
        </w:rPr>
        <w:t>培训，借助清华、南大等高校资源提升中高层管理人员的管理水平；开发上线</w:t>
      </w:r>
      <w:r>
        <w:rPr>
          <w:spacing w:val="-106"/>
        </w:rPr>
        <w:t> </w:t>
      </w:r>
      <w:r>
        <w:rPr>
          <w:spacing w:val="-106"/>
        </w:rPr>
      </w:r>
      <w:r>
        <w:rPr/>
        <w:t>E-learning</w:t>
      </w:r>
      <w:r>
        <w:rPr>
          <w:spacing w:val="-50"/>
        </w:rPr>
        <w:t> </w:t>
      </w:r>
      <w:r>
        <w:rPr>
          <w:spacing w:val="-3"/>
        </w:rPr>
        <w:t>网络在线培训系统，推行自助学习，提高培训效率，降低培训成本，提</w:t>
      </w:r>
      <w:r>
        <w:rPr>
          <w:spacing w:val="-118"/>
        </w:rPr>
        <w:t> </w:t>
      </w:r>
      <w:r>
        <w:rPr>
          <w:spacing w:val="-118"/>
        </w:rPr>
      </w:r>
      <w:r>
        <w:rPr/>
        <w:t>高人员素质；</w:t>
      </w:r>
    </w:p>
    <w:p>
      <w:pPr>
        <w:pStyle w:val="BodyText"/>
        <w:spacing w:line="338" w:lineRule="auto" w:before="43"/>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围绕团队建设、企业文化、职业生涯规划发展与人才梯队选拔，制定苏宁</w:t>
      </w:r>
      <w:r>
        <w:rPr>
          <w:spacing w:val="3"/>
        </w:rPr>
        <w:t> </w:t>
      </w:r>
      <w:r>
        <w:rPr/>
        <w:t>人七项标准，依托</w:t>
      </w:r>
      <w:r>
        <w:rPr>
          <w:spacing w:val="-60"/>
        </w:rPr>
        <w:t> </w:t>
      </w:r>
      <w:r>
        <w:rPr/>
        <w:t>1200</w:t>
      </w:r>
      <w:r>
        <w:rPr>
          <w:spacing w:val="-60"/>
        </w:rPr>
        <w:t> </w:t>
      </w:r>
      <w:r>
        <w:rPr/>
        <w:t>员工平台，进一步加强干部管理和梯队建设；</w:t>
      </w:r>
    </w:p>
    <w:p>
      <w:pPr>
        <w:pStyle w:val="BodyText"/>
        <w:spacing w:line="338" w:lineRule="auto" w:before="55"/>
        <w:ind w:right="118" w:firstLine="48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重点推进员工关爱工作，针对</w:t>
      </w:r>
      <w:r>
        <w:rPr>
          <w:spacing w:val="-60"/>
        </w:rPr>
        <w:t> </w:t>
      </w:r>
      <w:r>
        <w:rPr/>
        <w:t>1200</w:t>
      </w:r>
      <w:r>
        <w:rPr>
          <w:spacing w:val="-60"/>
        </w:rPr>
        <w:t> </w:t>
      </w:r>
      <w:r>
        <w:rPr/>
        <w:t>群体特点，推出户口迁移、薪资增长、</w:t>
      </w:r>
      <w:r>
        <w:rPr/>
        <w:t> 培训晋升等一系列举措，得到全体员工高度认同。</w:t>
      </w:r>
    </w:p>
    <w:p>
      <w:pPr>
        <w:spacing w:line="240" w:lineRule="auto" w:before="12"/>
        <w:rPr>
          <w:rFonts w:ascii="宋体" w:hAnsi="宋体" w:cs="宋体" w:eastAsia="宋体" w:hint="default"/>
          <w:sz w:val="35"/>
          <w:szCs w:val="35"/>
        </w:rPr>
      </w:pPr>
    </w:p>
    <w:p>
      <w:pPr>
        <w:pStyle w:val="BodyText"/>
        <w:spacing w:line="357" w:lineRule="auto"/>
        <w:ind w:left="623" w:right="135"/>
        <w:jc w:val="left"/>
      </w:pPr>
      <w:r>
        <w:rPr/>
        <w:t>4、积极承担社会责任 </w:t>
      </w:r>
      <w:r>
        <w:rPr>
          <w:spacing w:val="-1"/>
        </w:rPr>
        <w:t>“利益共享，责任共当”是苏宁的企业价值观，作为一个企业公民，苏宁全体</w:t>
      </w:r>
    </w:p>
    <w:p>
      <w:pPr>
        <w:pStyle w:val="BodyText"/>
        <w:spacing w:line="357" w:lineRule="auto" w:before="36"/>
        <w:ind w:right="101"/>
        <w:jc w:val="left"/>
      </w:pPr>
      <w:r>
        <w:rPr>
          <w:spacing w:val="-1"/>
        </w:rPr>
        <w:t>同仁一直秉承“苏宁是所有人的苏宁，是国家和社会的苏宁”的理念，积极承担企</w:t>
      </w:r>
      <w:r>
        <w:rPr>
          <w:spacing w:val="-104"/>
        </w:rPr>
        <w:t> </w:t>
      </w:r>
      <w:r>
        <w:rPr>
          <w:spacing w:val="-104"/>
        </w:rPr>
      </w:r>
      <w:r>
        <w:rPr/>
        <w:t>业应尽的社会责任。</w:t>
      </w:r>
    </w:p>
    <w:p>
      <w:pPr>
        <w:pStyle w:val="BodyText"/>
        <w:spacing w:line="338" w:lineRule="auto" w:before="36"/>
        <w:ind w:right="137" w:firstLine="480"/>
        <w:jc w:val="both"/>
      </w:pPr>
      <w:r>
        <w:rPr>
          <w:rFonts w:ascii="Wingdings" w:hAnsi="Wingdings" w:cs="Wingdings" w:eastAsia="Wingdings" w:hint="default"/>
        </w:rPr>
        <w:t></w:t>
      </w:r>
      <w:r>
        <w:rPr>
          <w:rFonts w:ascii="Wingdings" w:hAnsi="Wingdings" w:cs="Wingdings" w:eastAsia="Wingdings" w:hint="default"/>
          <w:spacing w:val="-12"/>
        </w:rPr>
        <w:t></w:t>
      </w:r>
      <w:r>
        <w:rPr>
          <w:rFonts w:ascii="Times New Roman" w:hAnsi="Times New Roman" w:cs="Times New Roman" w:eastAsia="Times New Roman" w:hint="default"/>
          <w:spacing w:val="-12"/>
        </w:rPr>
      </w:r>
      <w:r>
        <w:rPr/>
        <w:t>2008</w:t>
      </w:r>
      <w:r>
        <w:rPr>
          <w:spacing w:val="-63"/>
        </w:rPr>
        <w:t> </w:t>
      </w:r>
      <w:r>
        <w:rPr/>
        <w:t>年</w:t>
      </w:r>
      <w:r>
        <w:rPr>
          <w:spacing w:val="-63"/>
        </w:rPr>
        <w:t> </w:t>
      </w:r>
      <w:r>
        <w:rPr/>
        <w:t>1</w:t>
      </w:r>
      <w:r>
        <w:rPr>
          <w:spacing w:val="-63"/>
        </w:rPr>
        <w:t> </w:t>
      </w:r>
      <w:r>
        <w:rPr/>
        <w:t>月底，苏宁电器率先在全国启动了“阳光融雪·温暖新年”大型</w:t>
      </w:r>
      <w:r>
        <w:rPr/>
        <w:t> </w:t>
      </w:r>
      <w:r>
        <w:rPr>
          <w:spacing w:val="-1"/>
        </w:rPr>
        <w:t>公益活动，通过义工扫雪、向贫困家庭捐赠取暖电器、捐赠援助食品饮水、电器紧</w:t>
      </w:r>
    </w:p>
    <w:p>
      <w:pPr>
        <w:spacing w:after="0" w:line="338" w:lineRule="auto"/>
        <w:jc w:val="both"/>
        <w:sectPr>
          <w:pgSz w:w="11910" w:h="16840"/>
          <w:pgMar w:header="826" w:footer="900" w:top="1100" w:bottom="1100" w:left="1500" w:right="1500"/>
        </w:sectPr>
      </w:pPr>
    </w:p>
    <w:p>
      <w:pPr>
        <w:pStyle w:val="BodyText"/>
        <w:spacing w:line="240" w:lineRule="auto" w:before="106"/>
        <w:ind w:left="284" w:right="0"/>
        <w:jc w:val="left"/>
      </w:pPr>
      <w:r>
        <w:rPr/>
        <w:t>急抢修等各种形式的活动参与到抗击冰雪灾害活动中去。</w:t>
      </w:r>
    </w:p>
    <w:p>
      <w:pPr>
        <w:pStyle w:val="BodyText"/>
        <w:spacing w:line="240" w:lineRule="auto" w:before="154"/>
        <w:ind w:left="764" w:right="0"/>
        <w:jc w:val="left"/>
      </w:pPr>
      <w:r>
        <w:rPr/>
        <w:t>200</w:t>
      </w:r>
      <w:r>
        <w:rPr>
          <w:spacing w:val="60"/>
        </w:rPr>
        <w:t>8年2月</w:t>
      </w:r>
      <w:r>
        <w:rPr/>
        <w:t>5</w:t>
      </w:r>
      <w:r>
        <w:rPr>
          <w:spacing w:val="-60"/>
        </w:rPr>
        <w:t> </w:t>
      </w:r>
      <w:r>
        <w:rPr/>
        <w:t>日</w:t>
      </w:r>
      <w:r>
        <w:rPr>
          <w:spacing w:val="-100"/>
        </w:rPr>
        <w:t>，</w:t>
      </w:r>
      <w:r>
        <w:rPr/>
        <w:t>苏宁电器在湖南卫视特别节</w:t>
      </w:r>
      <w:r>
        <w:rPr>
          <w:spacing w:val="-100"/>
        </w:rPr>
        <w:t>目</w:t>
      </w:r>
      <w:r>
        <w:rPr/>
        <w:t>《爱心大融冰—我们一起过年》</w:t>
      </w:r>
    </w:p>
    <w:p>
      <w:pPr>
        <w:pStyle w:val="BodyText"/>
        <w:spacing w:line="240" w:lineRule="auto" w:before="154"/>
        <w:ind w:left="283" w:right="0"/>
        <w:jc w:val="left"/>
      </w:pPr>
      <w:r>
        <w:rPr/>
        <w:t>赈灾直播晚会上向湖南灾区人民率先捐赠</w:t>
      </w:r>
      <w:r>
        <w:rPr>
          <w:spacing w:val="-70"/>
        </w:rPr>
        <w:t> </w:t>
      </w:r>
      <w:r>
        <w:rPr/>
        <w:t>310</w:t>
      </w:r>
      <w:r>
        <w:rPr>
          <w:spacing w:val="-70"/>
        </w:rPr>
        <w:t> </w:t>
      </w:r>
      <w:r>
        <w:rPr/>
        <w:t>万元爱心款</w:t>
      </w:r>
      <w:r>
        <w:rPr>
          <w:spacing w:val="-120"/>
        </w:rPr>
        <w:t>，</w:t>
      </w:r>
      <w:r>
        <w:rPr/>
        <w:t>并号召更多的企业参与。</w:t>
      </w:r>
    </w:p>
    <w:p>
      <w:pPr>
        <w:pStyle w:val="BodyText"/>
        <w:spacing w:line="240" w:lineRule="auto" w:before="154"/>
        <w:ind w:left="763"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28"/>
        </w:rPr>
        <w:t>2008年5月</w:t>
      </w:r>
      <w:r>
        <w:rPr>
          <w:spacing w:val="-54"/>
        </w:rPr>
        <w:t> </w:t>
      </w:r>
      <w:r>
        <w:rPr/>
        <w:t>10</w:t>
      </w:r>
      <w:r>
        <w:rPr>
          <w:spacing w:val="-54"/>
        </w:rPr>
        <w:t> </w:t>
      </w:r>
      <w:r>
        <w:rPr/>
        <w:t>日，苏宁电器“微笑传递·爱心接力”圆梦</w:t>
      </w:r>
      <w:r>
        <w:rPr>
          <w:spacing w:val="-54"/>
        </w:rPr>
        <w:t> </w:t>
      </w:r>
      <w:r>
        <w:rPr/>
        <w:t>2008</w:t>
      </w:r>
      <w:r>
        <w:rPr>
          <w:spacing w:val="-54"/>
        </w:rPr>
        <w:t> </w:t>
      </w:r>
      <w:r>
        <w:rPr/>
        <w:t>个“冠军</w:t>
      </w:r>
    </w:p>
    <w:p>
      <w:pPr>
        <w:pStyle w:val="BodyText"/>
        <w:spacing w:line="240" w:lineRule="auto" w:before="137"/>
        <w:ind w:left="283" w:right="0"/>
        <w:jc w:val="left"/>
      </w:pPr>
      <w:r>
        <w:rPr/>
        <w:t>课堂”全国大型公益活动的启动仪式在北京拉开帷幕。苏宁电器携手 10</w:t>
      </w:r>
      <w:r>
        <w:rPr>
          <w:spacing w:val="-20"/>
        </w:rPr>
        <w:t> </w:t>
      </w:r>
      <w:r>
        <w:rPr/>
        <w:t>名世界冠</w:t>
      </w:r>
    </w:p>
    <w:p>
      <w:pPr>
        <w:pStyle w:val="BodyText"/>
        <w:spacing w:line="357" w:lineRule="auto" w:before="154"/>
        <w:ind w:left="283" w:right="221"/>
        <w:jc w:val="left"/>
      </w:pPr>
      <w:r>
        <w:rPr/>
        <w:t>军以及爱德基金会，在全国十大城市及近</w:t>
      </w:r>
      <w:r>
        <w:rPr>
          <w:spacing w:val="-35"/>
        </w:rPr>
        <w:t> </w:t>
      </w:r>
      <w:r>
        <w:rPr/>
        <w:t>700</w:t>
      </w:r>
      <w:r>
        <w:rPr>
          <w:spacing w:val="-35"/>
        </w:rPr>
        <w:t> </w:t>
      </w:r>
      <w:r>
        <w:rPr/>
        <w:t>家门店，为偏远山区</w:t>
      </w:r>
      <w:r>
        <w:rPr>
          <w:spacing w:val="-35"/>
        </w:rPr>
        <w:t> </w:t>
      </w:r>
      <w:r>
        <w:rPr/>
        <w:t>2008</w:t>
      </w:r>
      <w:r>
        <w:rPr>
          <w:spacing w:val="-35"/>
        </w:rPr>
        <w:t> </w:t>
      </w:r>
      <w:r>
        <w:rPr/>
        <w:t>所农村小</w:t>
      </w:r>
      <w:r>
        <w:rPr/>
        <w:t> </w:t>
      </w:r>
      <w:r>
        <w:rPr>
          <w:spacing w:val="-5"/>
        </w:rPr>
        <w:t>学募集善款，用于购置基本体育设备，建设“体育教室”。</w:t>
      </w:r>
    </w:p>
    <w:p>
      <w:pPr>
        <w:pStyle w:val="BodyText"/>
        <w:spacing w:line="350" w:lineRule="auto" w:before="36"/>
        <w:ind w:left="283" w:right="236" w:firstLine="48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28"/>
        </w:rPr>
        <w:t>2008年5月</w:t>
      </w:r>
      <w:r>
        <w:rPr>
          <w:spacing w:val="-54"/>
        </w:rPr>
        <w:t> </w:t>
      </w:r>
      <w:r>
        <w:rPr/>
        <w:t>12</w:t>
      </w:r>
      <w:r>
        <w:rPr>
          <w:spacing w:val="-54"/>
        </w:rPr>
        <w:t> </w:t>
      </w:r>
      <w:r>
        <w:rPr/>
        <w:t>日，四川汶川县发生</w:t>
      </w:r>
      <w:r>
        <w:rPr>
          <w:spacing w:val="-54"/>
        </w:rPr>
        <w:t> </w:t>
      </w:r>
      <w:r>
        <w:rPr/>
        <w:t>8.0</w:t>
      </w:r>
      <w:r>
        <w:rPr>
          <w:spacing w:val="-54"/>
        </w:rPr>
        <w:t> </w:t>
      </w:r>
      <w:r>
        <w:rPr/>
        <w:t>级强烈大地震,苏宁电器第一时间</w:t>
      </w:r>
      <w:r>
        <w:rPr/>
        <w:t> </w:t>
      </w:r>
      <w:r>
        <w:rPr>
          <w:spacing w:val="-1"/>
        </w:rPr>
        <w:t>成立抗震救灾小组及爱心运输队，亲赴救灾一线，全程参与当地红十字会的赈灾活</w:t>
      </w:r>
      <w:r>
        <w:rPr>
          <w:spacing w:val="-104"/>
        </w:rPr>
        <w:t> </w:t>
      </w:r>
      <w:r>
        <w:rPr>
          <w:spacing w:val="-104"/>
        </w:rPr>
      </w:r>
      <w:r>
        <w:rPr/>
        <w:t>动。同时公司紧急启动的“1+1 阳光行”赈灾预案，率先向四川省民政厅捐款</w:t>
      </w:r>
      <w:r>
        <w:rPr>
          <w:spacing w:val="-20"/>
        </w:rPr>
        <w:t> </w:t>
      </w:r>
      <w:r>
        <w:rPr/>
        <w:t>500</w:t>
      </w:r>
      <w:r>
        <w:rPr/>
        <w:t> 万元，用于抗震和救灾工作。</w:t>
      </w:r>
    </w:p>
    <w:p>
      <w:pPr>
        <w:pStyle w:val="BodyText"/>
        <w:spacing w:line="240" w:lineRule="auto" w:before="43"/>
        <w:ind w:left="763" w:right="0"/>
        <w:jc w:val="left"/>
      </w:pPr>
      <w:r>
        <w:rPr/>
        <w:t>2008</w:t>
      </w:r>
      <w:r>
        <w:rPr>
          <w:spacing w:val="-52"/>
        </w:rPr>
        <w:t> </w:t>
      </w:r>
      <w:r>
        <w:rPr/>
        <w:t>年</w:t>
      </w:r>
      <w:r>
        <w:rPr>
          <w:spacing w:val="-52"/>
        </w:rPr>
        <w:t> </w:t>
      </w:r>
      <w:r>
        <w:rPr/>
        <w:t>5</w:t>
      </w:r>
      <w:r>
        <w:rPr>
          <w:spacing w:val="-53"/>
        </w:rPr>
        <w:t> </w:t>
      </w:r>
      <w:r>
        <w:rPr/>
        <w:t>月</w:t>
      </w:r>
      <w:r>
        <w:rPr>
          <w:spacing w:val="-52"/>
        </w:rPr>
        <w:t> </w:t>
      </w:r>
      <w:r>
        <w:rPr/>
        <w:t>18</w:t>
      </w:r>
      <w:r>
        <w:rPr>
          <w:spacing w:val="-52"/>
        </w:rPr>
        <w:t> </w:t>
      </w:r>
      <w:r>
        <w:rPr/>
        <w:t>日，在全国七部委联合主办、中央电视台承办的《爱的奉献》</w:t>
      </w:r>
    </w:p>
    <w:p>
      <w:pPr>
        <w:pStyle w:val="BodyText"/>
        <w:spacing w:line="357" w:lineRule="auto" w:before="154"/>
        <w:ind w:left="283" w:right="222"/>
        <w:jc w:val="left"/>
      </w:pPr>
      <w:r>
        <w:rPr/>
        <w:t>—2008</w:t>
      </w:r>
      <w:r>
        <w:rPr>
          <w:spacing w:val="-47"/>
        </w:rPr>
        <w:t> </w:t>
      </w:r>
      <w:r>
        <w:rPr/>
        <w:t>抗震救灾大型募捐晚会上，公司董事长张近东个人捐赠</w:t>
      </w:r>
      <w:r>
        <w:rPr>
          <w:spacing w:val="-47"/>
        </w:rPr>
        <w:t> </w:t>
      </w:r>
      <w:r>
        <w:rPr/>
        <w:t>5000</w:t>
      </w:r>
      <w:r>
        <w:rPr>
          <w:spacing w:val="-47"/>
        </w:rPr>
        <w:t> </w:t>
      </w:r>
      <w:r>
        <w:rPr/>
        <w:t>万元现金，支</w:t>
      </w:r>
      <w:r>
        <w:rPr/>
        <w:t> 持抗震救灾和后期灾区重建工作。</w:t>
      </w:r>
    </w:p>
    <w:p>
      <w:pPr>
        <w:pStyle w:val="BodyText"/>
        <w:spacing w:line="240" w:lineRule="auto" w:before="36"/>
        <w:ind w:left="766" w:right="0"/>
        <w:jc w:val="left"/>
      </w:pPr>
      <w:r>
        <w:rPr>
          <w:rFonts w:ascii="Wingdings" w:hAnsi="Wingdings" w:cs="Wingdings" w:eastAsia="Wingdings" w:hint="default"/>
        </w:rPr>
        <w:t></w:t>
      </w:r>
      <w:r>
        <w:rPr>
          <w:rFonts w:ascii="Wingdings" w:hAnsi="Wingdings" w:cs="Wingdings" w:eastAsia="Wingdings" w:hint="default"/>
          <w:spacing w:val="-62"/>
        </w:rPr>
        <w:t></w:t>
      </w:r>
      <w:r>
        <w:rPr>
          <w:rFonts w:ascii="Times New Roman" w:hAnsi="Times New Roman" w:cs="Times New Roman" w:eastAsia="Times New Roman" w:hint="default"/>
          <w:spacing w:val="-62"/>
        </w:rPr>
      </w:r>
      <w:r>
        <w:rPr/>
        <w:t>公司“1+1</w:t>
      </w:r>
      <w:r>
        <w:rPr>
          <w:spacing w:val="-35"/>
        </w:rPr>
        <w:t> </w:t>
      </w:r>
      <w:r>
        <w:rPr/>
        <w:t>阳光行”社工志愿者行动自</w:t>
      </w:r>
      <w:r>
        <w:rPr>
          <w:spacing w:val="-35"/>
        </w:rPr>
        <w:t> </w:t>
      </w:r>
      <w:r>
        <w:rPr/>
        <w:t>2007</w:t>
      </w:r>
      <w:r>
        <w:rPr>
          <w:spacing w:val="-35"/>
        </w:rPr>
        <w:t> </w:t>
      </w:r>
      <w:r>
        <w:rPr/>
        <w:t>年启动以来，全国共组建</w:t>
      </w:r>
      <w:r>
        <w:rPr>
          <w:spacing w:val="-35"/>
        </w:rPr>
        <w:t> </w:t>
      </w:r>
      <w:r>
        <w:rPr/>
        <w:t>500</w:t>
      </w:r>
    </w:p>
    <w:p>
      <w:pPr>
        <w:pStyle w:val="BodyText"/>
        <w:spacing w:line="240" w:lineRule="auto" w:before="137"/>
        <w:ind w:left="283" w:right="0"/>
        <w:jc w:val="left"/>
      </w:pPr>
      <w:r>
        <w:rPr/>
        <w:t>支志愿者分队，活动总人数已达</w:t>
      </w:r>
      <w:r>
        <w:rPr>
          <w:spacing w:val="-60"/>
        </w:rPr>
        <w:t> </w:t>
      </w:r>
      <w:r>
        <w:rPr/>
        <w:t>12</w:t>
      </w:r>
      <w:r>
        <w:rPr>
          <w:spacing w:val="-60"/>
        </w:rPr>
        <w:t> </w:t>
      </w:r>
      <w:r>
        <w:rPr/>
        <w:t>万人次。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763" w:right="0"/>
        <w:jc w:val="left"/>
      </w:pPr>
      <w:r>
        <w:rPr>
          <w:rFonts w:ascii="Times New Roman" w:hAnsi="Times New Roman" w:cs="Times New Roman" w:eastAsia="Times New Roman" w:hint="default"/>
        </w:rPr>
        <w:t>5</w:t>
      </w:r>
      <w:r>
        <w:rPr/>
        <w:t>、提升品牌形象，升华品牌营销</w:t>
      </w:r>
    </w:p>
    <w:p>
      <w:pPr>
        <w:pStyle w:val="BodyText"/>
        <w:spacing w:line="357" w:lineRule="auto" w:before="135"/>
        <w:ind w:left="283" w:right="231" w:firstLine="480"/>
        <w:jc w:val="both"/>
      </w:pPr>
      <w:r>
        <w:rPr/>
        <w:t>2008</w:t>
      </w:r>
      <w:r>
        <w:rPr>
          <w:spacing w:val="27"/>
        </w:rPr>
        <w:t> </w:t>
      </w:r>
      <w:r>
        <w:rPr>
          <w:spacing w:val="2"/>
        </w:rPr>
        <w:t>年是公司品牌营销进一步升华的一年。通过与国内外专业媒体的深度合</w:t>
      </w:r>
      <w:r>
        <w:rPr>
          <w:spacing w:val="3"/>
        </w:rPr>
        <w:t> </w:t>
      </w:r>
      <w:r>
        <w:rPr>
          <w:spacing w:val="-14"/>
        </w:rPr>
        <w:t>作，加强新闻报道的幅度、深度，以“情暖中国”、“冠军课堂”、“赈灾捐助”等公</w:t>
      </w:r>
      <w:r>
        <w:rPr>
          <w:spacing w:val="-88"/>
        </w:rPr>
        <w:t> </w:t>
      </w:r>
      <w:r>
        <w:rPr>
          <w:spacing w:val="-88"/>
        </w:rPr>
      </w:r>
      <w:r>
        <w:rPr/>
        <w:t>益事件宣传，苏宁品牌美誉度进一步提高。</w:t>
      </w:r>
    </w:p>
    <w:p>
      <w:pPr>
        <w:pStyle w:val="BodyText"/>
        <w:spacing w:line="240" w:lineRule="auto" w:before="36"/>
        <w:ind w:left="763" w:right="0"/>
        <w:jc w:val="left"/>
      </w:pPr>
      <w:r>
        <w:rPr>
          <w:rFonts w:ascii="Wingdings" w:hAnsi="Wingdings" w:cs="Wingdings" w:eastAsia="Wingdings" w:hint="default"/>
        </w:rPr>
        <w:t></w:t>
      </w:r>
      <w:r>
        <w:rPr>
          <w:rFonts w:ascii="Wingdings" w:hAnsi="Wingdings" w:cs="Wingdings" w:eastAsia="Wingdings" w:hint="default"/>
          <w:spacing w:val="-59"/>
        </w:rPr>
        <w:t></w:t>
      </w:r>
      <w:r>
        <w:rPr>
          <w:rFonts w:ascii="Times New Roman" w:hAnsi="Times New Roman" w:cs="Times New Roman" w:eastAsia="Times New Roman" w:hint="default"/>
          <w:spacing w:val="-59"/>
        </w:rPr>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 </w:t>
      </w:r>
      <w:r>
        <w:rPr>
          <w:spacing w:val="-6"/>
        </w:rPr>
        <w:t>日，世界品牌实验室（</w:t>
      </w:r>
      <w:r>
        <w:rPr>
          <w:rFonts w:ascii="Times New Roman" w:hAnsi="Times New Roman" w:cs="Times New Roman" w:eastAsia="Times New Roman" w:hint="default"/>
          <w:spacing w:val="-6"/>
        </w:rPr>
        <w:t>World</w:t>
      </w:r>
      <w:r>
        <w:rPr>
          <w:rFonts w:ascii="Times New Roman" w:hAnsi="Times New Roman" w:cs="Times New Roman" w:eastAsia="Times New Roman" w:hint="default"/>
        </w:rPr>
        <w:t> Brand </w:t>
      </w:r>
      <w:r>
        <w:rPr>
          <w:rFonts w:ascii="Times New Roman" w:hAnsi="Times New Roman" w:cs="Times New Roman" w:eastAsia="Times New Roman" w:hint="default"/>
          <w:spacing w:val="-6"/>
        </w:rPr>
        <w:t>Lab</w:t>
      </w:r>
      <w:r>
        <w:rPr>
          <w:spacing w:val="-6"/>
        </w:rPr>
        <w:t>）发布</w:t>
      </w:r>
      <w:r>
        <w:rPr>
          <w:spacing w:val="-60"/>
        </w:rPr>
        <w:t> </w:t>
      </w:r>
      <w:r>
        <w:rPr>
          <w:rFonts w:ascii="Times New Roman" w:hAnsi="Times New Roman" w:cs="Times New Roman" w:eastAsia="Times New Roman" w:hint="default"/>
          <w:spacing w:val="-4"/>
        </w:rPr>
        <w:t>2008</w:t>
      </w:r>
      <w:r>
        <w:rPr>
          <w:spacing w:val="-4"/>
        </w:rPr>
        <w:t>（第五届）</w:t>
      </w:r>
    </w:p>
    <w:p>
      <w:pPr>
        <w:pStyle w:val="BodyText"/>
        <w:spacing w:line="338" w:lineRule="auto" w:before="135"/>
        <w:ind w:left="283" w:right="223"/>
        <w:jc w:val="left"/>
      </w:pPr>
      <w:r>
        <w:rPr/>
        <w:t>《中国</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5"/>
        </w:rPr>
        <w:t>最具价值品牌》榜，苏宁电器以品牌价值</w:t>
      </w:r>
      <w:r>
        <w:rPr>
          <w:spacing w:val="-58"/>
        </w:rPr>
        <w:t> </w:t>
      </w:r>
      <w:r>
        <w:rPr>
          <w:rFonts w:ascii="Times New Roman" w:hAnsi="Times New Roman" w:cs="Times New Roman" w:eastAsia="Times New Roman" w:hint="default"/>
        </w:rPr>
        <w:t>423.37</w:t>
      </w:r>
      <w:r>
        <w:rPr>
          <w:rFonts w:ascii="Times New Roman" w:hAnsi="Times New Roman" w:cs="Times New Roman" w:eastAsia="Times New Roman" w:hint="default"/>
          <w:spacing w:val="2"/>
        </w:rPr>
        <w:t> </w:t>
      </w:r>
      <w:r>
        <w:rPr/>
        <w:t>亿元排名整个榜单的第 十六位，蝉联中国商业连锁第一品牌。</w:t>
      </w:r>
    </w:p>
    <w:p>
      <w:pPr>
        <w:pStyle w:val="BodyText"/>
        <w:spacing w:line="338" w:lineRule="auto" w:before="55"/>
        <w:ind w:left="283" w:right="236" w:firstLine="48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日，福布斯杂志宣布</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年度亚洲企业</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强，苏宁电器凭 借持续的营利能力和在资本市场的强势表现，首度入围。</w:t>
      </w:r>
    </w:p>
    <w:p>
      <w:pPr>
        <w:pStyle w:val="BodyText"/>
        <w:spacing w:line="240" w:lineRule="auto" w:before="55"/>
        <w:ind w:left="763" w:right="0"/>
        <w:jc w:val="left"/>
        <w:rPr>
          <w:rFonts w:ascii="Times New Roman" w:hAnsi="Times New Roman" w:cs="Times New Roman" w:eastAsia="Times New Roman" w:hint="default"/>
        </w:rPr>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w:t>
      </w:r>
      <w:r>
        <w:rPr>
          <w:spacing w:val="-120"/>
        </w:rPr>
        <w:t>，</w:t>
      </w:r>
      <w:r>
        <w:rPr/>
        <w:t>由世界品牌实验室编制</w:t>
      </w:r>
      <w:r>
        <w:rPr>
          <w:spacing w:val="-120"/>
        </w:rPr>
        <w:t>、</w:t>
      </w:r>
      <w:r>
        <w:rPr/>
        <w:t>《世界企业家</w:t>
      </w:r>
      <w:r>
        <w:rPr>
          <w:spacing w:val="-120"/>
        </w:rPr>
        <w:t>》</w:t>
      </w:r>
      <w:r>
        <w:rPr/>
        <w:t>杂志发布的</w:t>
      </w:r>
      <w:r>
        <w:rPr>
          <w:spacing w:val="-64"/>
        </w:rPr>
        <w:t> </w:t>
      </w:r>
      <w:r>
        <w:rPr>
          <w:rFonts w:ascii="Times New Roman" w:hAnsi="Times New Roman" w:cs="Times New Roman" w:eastAsia="Times New Roman" w:hint="default"/>
        </w:rPr>
        <w:t>2008</w:t>
      </w:r>
    </w:p>
    <w:p>
      <w:pPr>
        <w:pStyle w:val="BodyText"/>
        <w:spacing w:line="338" w:lineRule="auto" w:before="135"/>
        <w:ind w:left="283" w:right="221"/>
        <w:jc w:val="left"/>
      </w:pPr>
      <w:r>
        <w:rPr/>
        <w:t>年度亚洲品牌五百强正式揭晓，苏宁电器位列总榜单第</w:t>
      </w:r>
      <w:r>
        <w:rPr>
          <w:spacing w:val="-70"/>
        </w:rPr>
        <w:t> </w:t>
      </w:r>
      <w:r>
        <w:rPr>
          <w:rFonts w:ascii="Times New Roman" w:hAnsi="Times New Roman" w:cs="Times New Roman" w:eastAsia="Times New Roman" w:hint="default"/>
        </w:rPr>
        <w:t>127</w:t>
      </w:r>
      <w:r>
        <w:rPr>
          <w:rFonts w:ascii="Times New Roman" w:hAnsi="Times New Roman" w:cs="Times New Roman" w:eastAsia="Times New Roman" w:hint="default"/>
          <w:spacing w:val="-10"/>
        </w:rPr>
        <w:t> </w:t>
      </w:r>
      <w:r>
        <w:rPr/>
        <w:t>位，是排位最高的中国 零售企业，同时在所有亚洲零售企业中位列第四。</w:t>
      </w:r>
    </w:p>
    <w:p>
      <w:pPr>
        <w:spacing w:line="240" w:lineRule="auto" w:before="9"/>
        <w:rPr>
          <w:rFonts w:ascii="宋体" w:hAnsi="宋体" w:cs="宋体" w:eastAsia="宋体" w:hint="default"/>
          <w:sz w:val="6"/>
          <w:szCs w:val="6"/>
        </w:rPr>
      </w:pPr>
    </w:p>
    <w:p>
      <w:pPr>
        <w:spacing w:line="428" w:lineRule="exact"/>
        <w:ind w:left="10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5pt;height:21.45pt;mso-position-horizontal-relative:char;mso-position-vertical-relative:line" coordorigin="0,0" coordsize="15,429">
            <v:group style="position:absolute;left:7;top:7;width:2;height:414" coordorigin="7,7" coordsize="2,414">
              <v:shape style="position:absolute;left:7;top:7;width:2;height:414" coordorigin="7,7" coordsize="0,414" path="m7,7l7,421e" filled="false" stroked="true" strokeweight=".72pt" strokecolor="#000000">
                <v:path arrowok="t"/>
              </v:shape>
            </v:group>
          </v:group>
        </w:pict>
      </w:r>
      <w:r>
        <w:rPr>
          <w:rFonts w:ascii="宋体" w:hAnsi="宋体" w:cs="宋体" w:eastAsia="宋体" w:hint="default"/>
          <w:position w:val="-8"/>
          <w:sz w:val="20"/>
          <w:szCs w:val="20"/>
        </w:rPr>
      </w:r>
    </w:p>
    <w:p>
      <w:pPr>
        <w:spacing w:after="0" w:line="428" w:lineRule="exact"/>
        <w:rPr>
          <w:rFonts w:ascii="宋体" w:hAnsi="宋体" w:cs="宋体" w:eastAsia="宋体" w:hint="default"/>
          <w:sz w:val="20"/>
          <w:szCs w:val="20"/>
        </w:rPr>
        <w:sectPr>
          <w:pgSz w:w="11910" w:h="16840"/>
          <w:pgMar w:header="826" w:footer="900" w:top="1100" w:bottom="1100" w:left="1360" w:right="1400"/>
        </w:sectPr>
      </w:pPr>
    </w:p>
    <w:p>
      <w:pPr>
        <w:pStyle w:val="BodyText"/>
        <w:spacing w:line="240" w:lineRule="auto" w:before="106"/>
        <w:ind w:left="625" w:right="108"/>
        <w:jc w:val="left"/>
      </w:pPr>
      <w:r>
        <w:rPr/>
        <w:t>二、报告期内经营情况分析</w:t>
      </w:r>
    </w:p>
    <w:p>
      <w:pPr>
        <w:pStyle w:val="BodyText"/>
        <w:spacing w:line="240" w:lineRule="auto" w:before="154"/>
        <w:ind w:left="625" w:right="108"/>
        <w:jc w:val="left"/>
      </w:pPr>
      <w:r>
        <w:rPr/>
        <w:t>（一）行业状况</w:t>
      </w:r>
    </w:p>
    <w:p>
      <w:pPr>
        <w:pStyle w:val="BodyText"/>
        <w:spacing w:line="338" w:lineRule="auto" w:before="154"/>
        <w:ind w:left="623" w:right="101"/>
        <w:jc w:val="left"/>
      </w:pPr>
      <w:r>
        <w:rPr>
          <w:rFonts w:ascii="Times New Roman" w:hAnsi="Times New Roman" w:cs="Times New Roman" w:eastAsia="Times New Roman" w:hint="default"/>
        </w:rPr>
        <w:t>1</w:t>
      </w:r>
      <w:r>
        <w:rPr/>
        <w:t>、社零总额保持一定幅度增长 </w:t>
      </w:r>
      <w:r>
        <w:rPr>
          <w:spacing w:val="-4"/>
        </w:rPr>
        <w:t>根据国家统计局的统计数据，虽然受到自然灾害、宏观经济等客观因素的影响，</w:t>
      </w:r>
    </w:p>
    <w:p>
      <w:pPr>
        <w:pStyle w:val="BodyText"/>
        <w:spacing w:line="338" w:lineRule="auto" w:before="55"/>
        <w:ind w:right="201"/>
        <w:jc w:val="left"/>
      </w:pPr>
      <w:r>
        <w:rPr>
          <w:rFonts w:ascii="Times New Roman" w:hAnsi="Times New Roman" w:cs="Times New Roman" w:eastAsia="Times New Roman" w:hint="default"/>
        </w:rPr>
        <w:t>2008 </w:t>
      </w:r>
      <w:r>
        <w:rPr>
          <w:spacing w:val="-3"/>
        </w:rPr>
        <w:t>年国内市场需求仍然保持一定幅度的增长，从分季度情况看，下半年社会消费</w:t>
      </w:r>
      <w:r>
        <w:rPr>
          <w:spacing w:val="-98"/>
        </w:rPr>
        <w:t> </w:t>
      </w:r>
      <w:r>
        <w:rPr>
          <w:spacing w:val="-98"/>
        </w:rPr>
      </w:r>
      <w:r>
        <w:rPr/>
        <w:t>品零售总额增幅放缓，而居民消费价格涨幅也呈现出前高后低，逐步回稳的态势。</w:t>
      </w:r>
    </w:p>
    <w:p>
      <w:pPr>
        <w:pStyle w:val="BodyText"/>
        <w:spacing w:line="240" w:lineRule="auto" w:before="55"/>
        <w:ind w:left="623" w:right="108"/>
        <w:jc w:val="left"/>
      </w:pPr>
      <w:r>
        <w:rPr>
          <w:rFonts w:ascii="Times New Roman" w:hAnsi="Times New Roman" w:cs="Times New Roman" w:eastAsia="Times New Roman" w:hint="default"/>
        </w:rPr>
        <w:t>2</w:t>
      </w:r>
      <w:r>
        <w:rPr/>
        <w:t>、家电市场容量依然较大，增幅放缓</w:t>
      </w:r>
    </w:p>
    <w:p>
      <w:pPr>
        <w:pStyle w:val="BodyText"/>
        <w:spacing w:line="338" w:lineRule="auto" w:before="135"/>
        <w:ind w:right="237" w:firstLine="480"/>
        <w:jc w:val="both"/>
      </w:pPr>
      <w:r>
        <w:rPr>
          <w:spacing w:val="-4"/>
        </w:rPr>
        <w:t>受上述原因影响，</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8"/>
        </w:rPr>
        <w:t> </w:t>
      </w:r>
      <w:r>
        <w:rPr/>
        <w:t>年全年行业的增长较预期有所下降。北京中怡康时代市 </w:t>
      </w:r>
      <w:r>
        <w:rPr>
          <w:spacing w:val="-8"/>
        </w:rPr>
        <w:t>场研究有限公司数据显示，</w:t>
      </w:r>
      <w:r>
        <w:rPr>
          <w:rFonts w:ascii="Times New Roman" w:hAnsi="Times New Roman" w:cs="Times New Roman" w:eastAsia="Times New Roman" w:hint="default"/>
          <w:spacing w:val="-8"/>
        </w:rPr>
        <w:t>2008</w:t>
      </w:r>
      <w:r>
        <w:rPr>
          <w:rFonts w:ascii="Times New Roman" w:hAnsi="Times New Roman" w:cs="Times New Roman" w:eastAsia="Times New Roman" w:hint="default"/>
        </w:rPr>
        <w:t> </w:t>
      </w:r>
      <w:r>
        <w:rPr/>
        <w:t>年国内家电及消费类电子产品的市场总规模为</w:t>
      </w:r>
      <w:r>
        <w:rPr>
          <w:spacing w:val="-73"/>
        </w:rPr>
        <w:t> </w:t>
      </w:r>
      <w:r>
        <w:rPr>
          <w:rFonts w:ascii="Times New Roman" w:hAnsi="Times New Roman" w:cs="Times New Roman" w:eastAsia="Times New Roman" w:hint="default"/>
        </w:rPr>
        <w:t>7920 </w:t>
      </w:r>
      <w:r>
        <w:rPr/>
        <w:t>亿元，比去年同期增长</w:t>
      </w:r>
      <w:r>
        <w:rPr>
          <w:spacing w:val="-60"/>
        </w:rPr>
        <w:t> </w:t>
      </w:r>
      <w:r>
        <w:rPr>
          <w:rFonts w:ascii="Times New Roman" w:hAnsi="Times New Roman" w:cs="Times New Roman" w:eastAsia="Times New Roman" w:hint="default"/>
        </w:rPr>
        <w:t>6%</w:t>
      </w:r>
      <w:r>
        <w:rPr/>
        <w:t>，增幅放缓约</w:t>
      </w:r>
      <w:r>
        <w:rPr>
          <w:spacing w:val="-60"/>
        </w:rPr>
        <w:t> </w:t>
      </w:r>
      <w:r>
        <w:rPr>
          <w:rFonts w:ascii="Times New Roman" w:hAnsi="Times New Roman" w:cs="Times New Roman" w:eastAsia="Times New Roman" w:hint="default"/>
        </w:rPr>
        <w:t>8 </w:t>
      </w:r>
      <w:r>
        <w:rPr/>
        <w:t>个百分点。</w:t>
      </w:r>
    </w:p>
    <w:p>
      <w:pPr>
        <w:pStyle w:val="BodyText"/>
        <w:spacing w:line="338" w:lineRule="auto" w:before="27"/>
        <w:ind w:left="624" w:right="234"/>
        <w:jc w:val="left"/>
      </w:pPr>
      <w:r>
        <w:rPr>
          <w:rFonts w:ascii="Times New Roman" w:hAnsi="Times New Roman" w:cs="Times New Roman" w:eastAsia="Times New Roman" w:hint="default"/>
        </w:rPr>
        <w:t>3</w:t>
      </w:r>
      <w:r>
        <w:rPr/>
        <w:t>、家电连锁发展空间仍然很大 </w:t>
      </w:r>
      <w:r>
        <w:rPr>
          <w:spacing w:val="-1"/>
        </w:rPr>
        <w:t>公司认为，在目前阶段，虽然受客观因素影响，行业发展有所放缓。但从中长</w:t>
      </w:r>
    </w:p>
    <w:p>
      <w:pPr>
        <w:pStyle w:val="BodyText"/>
        <w:spacing w:line="357" w:lineRule="auto" w:before="55"/>
        <w:ind w:left="144" w:right="236"/>
        <w:jc w:val="left"/>
      </w:pPr>
      <w:r>
        <w:rPr>
          <w:spacing w:val="-1"/>
        </w:rPr>
        <w:t>期发展来看，随着国家内需拉动政策的陆续出台以及社会消费需求逐步回升，家电</w:t>
      </w:r>
      <w:r>
        <w:rPr>
          <w:spacing w:val="-104"/>
        </w:rPr>
        <w:t> </w:t>
      </w:r>
      <w:r>
        <w:rPr>
          <w:spacing w:val="-104"/>
        </w:rPr>
      </w:r>
      <w:r>
        <w:rPr/>
        <w:t>市场容量仍将继续保持持续相对稳定的增长。</w:t>
      </w:r>
    </w:p>
    <w:p>
      <w:pPr>
        <w:pStyle w:val="BodyText"/>
        <w:spacing w:line="357" w:lineRule="auto" w:before="36"/>
        <w:ind w:left="624" w:right="234"/>
        <w:jc w:val="left"/>
      </w:pPr>
      <w:r>
        <w:rPr/>
        <w:t>同时，国内家电连锁企业的市场份额依然较低。 </w:t>
      </w:r>
      <w:r>
        <w:rPr>
          <w:spacing w:val="-1"/>
        </w:rPr>
        <w:t>布局方面，门店仍主要分布在一级城市和富裕的二级城市，未来的布局空间很</w:t>
      </w:r>
    </w:p>
    <w:p>
      <w:pPr>
        <w:pStyle w:val="BodyText"/>
        <w:spacing w:line="357" w:lineRule="auto" w:before="36"/>
        <w:ind w:left="624" w:right="234" w:hanging="480"/>
        <w:jc w:val="left"/>
      </w:pPr>
      <w:r>
        <w:rPr/>
        <w:t>大，市场份额有望进一步提升。 </w:t>
      </w:r>
      <w:r>
        <w:rPr>
          <w:spacing w:val="-1"/>
        </w:rPr>
        <w:t>产品方面，家电连锁企业消费类电子产品销售实现较快增长，但市场占有率仍</w:t>
      </w:r>
    </w:p>
    <w:p>
      <w:pPr>
        <w:pStyle w:val="BodyText"/>
        <w:spacing w:line="357" w:lineRule="auto" w:before="36"/>
        <w:ind w:left="144" w:right="108"/>
        <w:jc w:val="left"/>
      </w:pPr>
      <w:r>
        <w:rPr/>
        <w:t>然很低，而传统家电在二三级城市的市场普及度、产品线的丰富度与服务提升上还 </w:t>
      </w:r>
      <w:r>
        <w:rPr>
          <w:spacing w:val="-4"/>
        </w:rPr>
        <w:t>有很大的空间，彩电、冰洗产品的升级换代在一级城市仍有一个较长的的提升过程。</w:t>
      </w:r>
    </w:p>
    <w:p>
      <w:pPr>
        <w:pStyle w:val="BodyText"/>
        <w:spacing w:line="357" w:lineRule="auto" w:before="36"/>
        <w:ind w:right="237" w:firstLine="480"/>
        <w:jc w:val="both"/>
      </w:pPr>
      <w:r>
        <w:rPr>
          <w:spacing w:val="-1"/>
        </w:rPr>
        <w:t>市场整合方面，专业连锁相对于其他业态的优势会进一步体现，而其中领先企</w:t>
      </w:r>
      <w:r>
        <w:rPr/>
        <w:t> 业的优势会更加凸显，市场集中度会进一步提高。</w:t>
      </w:r>
    </w:p>
    <w:p>
      <w:pPr>
        <w:pStyle w:val="BodyText"/>
        <w:spacing w:line="357" w:lineRule="auto" w:before="36"/>
        <w:ind w:right="237" w:firstLine="480"/>
        <w:jc w:val="both"/>
      </w:pPr>
      <w:r>
        <w:rPr>
          <w:spacing w:val="-1"/>
        </w:rPr>
        <w:t>此外，在行业发展面临挑战的情况下，供应商和零售商会更加理性思考双方的</w:t>
      </w:r>
      <w:r>
        <w:rPr/>
        <w:t> </w:t>
      </w:r>
      <w:r>
        <w:rPr>
          <w:spacing w:val="-1"/>
        </w:rPr>
        <w:t>合作模式，加快推进供应商与领先企业长期战略合作关系的建立和完善，共同整合</w:t>
      </w:r>
      <w:r>
        <w:rPr>
          <w:spacing w:val="-104"/>
        </w:rPr>
        <w:t> </w:t>
      </w:r>
      <w:r>
        <w:rPr>
          <w:spacing w:val="-104"/>
        </w:rPr>
      </w:r>
      <w:r>
        <w:rPr/>
        <w:t>市场，降低供应链成本。</w:t>
      </w:r>
    </w:p>
    <w:p>
      <w:pPr>
        <w:pStyle w:val="BodyText"/>
        <w:spacing w:line="357" w:lineRule="auto" w:before="36"/>
        <w:ind w:right="236" w:firstLine="480"/>
        <w:jc w:val="both"/>
      </w:pPr>
      <w:r>
        <w:rPr>
          <w:spacing w:val="-1"/>
        </w:rPr>
        <w:t>综合分析来看，公司认为目前的发展环境是机遇大于挑战。公司将进一步坚持</w:t>
      </w:r>
      <w:r>
        <w:rPr/>
        <w:t> </w:t>
      </w:r>
      <w:r>
        <w:rPr>
          <w:spacing w:val="-1"/>
        </w:rPr>
        <w:t>既定的发展战略，强化核心竞争力，进一步加强信息管理系统、物流基地平台等后</w:t>
      </w:r>
      <w:r>
        <w:rPr>
          <w:spacing w:val="-102"/>
        </w:rPr>
        <w:t> </w:t>
      </w:r>
      <w:r>
        <w:rPr>
          <w:spacing w:val="-102"/>
        </w:rPr>
      </w:r>
      <w:r>
        <w:rPr>
          <w:spacing w:val="-1"/>
        </w:rPr>
        <w:t>台建设，完善人才培养激励机制，通过加强有效店面发展、经营效益提升、内部成</w:t>
      </w:r>
      <w:r>
        <w:rPr>
          <w:spacing w:val="-104"/>
        </w:rPr>
        <w:t> </w:t>
      </w:r>
      <w:r>
        <w:rPr>
          <w:spacing w:val="-104"/>
        </w:rPr>
      </w:r>
      <w:r>
        <w:rPr/>
        <w:t>本控制等措施，全面提升“以客户为中心”的运营能力，提升经营管理效率。</w:t>
      </w:r>
    </w:p>
    <w:p>
      <w:pPr>
        <w:spacing w:after="0" w:line="357" w:lineRule="auto"/>
        <w:jc w:val="both"/>
        <w:sectPr>
          <w:pgSz w:w="11910" w:h="16840"/>
          <w:pgMar w:header="826" w:footer="900" w:top="1100" w:bottom="1100" w:left="1500" w:right="1400"/>
        </w:sectPr>
      </w:pPr>
    </w:p>
    <w:p>
      <w:pPr>
        <w:pStyle w:val="BodyText"/>
        <w:spacing w:line="240" w:lineRule="auto" w:before="106"/>
        <w:ind w:left="225" w:right="5498"/>
        <w:jc w:val="center"/>
      </w:pPr>
      <w:r>
        <w:rPr/>
        <w:t>（二）连锁发展情况分析</w:t>
      </w:r>
    </w:p>
    <w:p>
      <w:pPr>
        <w:pStyle w:val="BodyText"/>
        <w:spacing w:line="240" w:lineRule="auto" w:before="154"/>
        <w:ind w:left="723" w:right="153"/>
        <w:jc w:val="left"/>
      </w:pPr>
      <w:r>
        <w:rPr>
          <w:rFonts w:ascii="Times New Roman" w:hAnsi="Times New Roman" w:cs="Times New Roman" w:eastAsia="Times New Roman" w:hint="default"/>
        </w:rPr>
        <w:t>1</w:t>
      </w:r>
      <w:r>
        <w:rPr/>
        <w:t>、连锁发展基本情况</w:t>
      </w:r>
    </w:p>
    <w:p>
      <w:pPr>
        <w:pStyle w:val="BodyText"/>
        <w:spacing w:line="240" w:lineRule="auto" w:before="135"/>
        <w:ind w:left="723" w:right="153"/>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
        </w:rPr>
        <w:t> </w:t>
      </w:r>
      <w:r>
        <w:rPr/>
        <w:t>年，公司新进地级以上城市</w:t>
      </w:r>
      <w:r>
        <w:rPr>
          <w:spacing w:val="-6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3"/>
        </w:rPr>
        <w:t>个，新开连锁店</w:t>
      </w:r>
      <w:r>
        <w:rPr>
          <w:spacing w:val="-64"/>
        </w:rPr>
        <w:t> </w:t>
      </w:r>
      <w:r>
        <w:rPr>
          <w:rFonts w:ascii="Times New Roman" w:hAnsi="Times New Roman" w:cs="Times New Roman" w:eastAsia="Times New Roman" w:hint="default"/>
        </w:rPr>
        <w:t>210</w:t>
      </w:r>
      <w:r>
        <w:rPr>
          <w:rFonts w:ascii="Times New Roman" w:hAnsi="Times New Roman" w:cs="Times New Roman" w:eastAsia="Times New Roman" w:hint="default"/>
          <w:spacing w:val="-4"/>
        </w:rPr>
        <w:t> </w:t>
      </w:r>
      <w:r>
        <w:rPr>
          <w:spacing w:val="-4"/>
        </w:rPr>
        <w:t>家，置换连锁店</w:t>
      </w:r>
      <w:r>
        <w:rPr/>
      </w:r>
    </w:p>
    <w:p>
      <w:pPr>
        <w:pStyle w:val="BodyText"/>
        <w:spacing w:line="240" w:lineRule="auto" w:before="135"/>
        <w:ind w:left="225" w:right="5679"/>
        <w:jc w:val="center"/>
      </w:pPr>
      <w:r>
        <w:rPr>
          <w:rFonts w:ascii="Times New Roman" w:hAnsi="Times New Roman" w:cs="Times New Roman" w:eastAsia="Times New Roman" w:hint="default"/>
        </w:rPr>
        <w:t>30 </w:t>
      </w:r>
      <w:r>
        <w:rPr/>
        <w:t>家，净增加连锁店</w:t>
      </w:r>
      <w:r>
        <w:rPr>
          <w:spacing w:val="-60"/>
        </w:rPr>
        <w:t> </w:t>
      </w:r>
      <w:r>
        <w:rPr>
          <w:rFonts w:ascii="Times New Roman" w:hAnsi="Times New Roman" w:cs="Times New Roman" w:eastAsia="Times New Roman" w:hint="default"/>
        </w:rPr>
        <w:t>180 </w:t>
      </w:r>
      <w:r>
        <w:rPr/>
        <w:t>家；</w:t>
      </w:r>
    </w:p>
    <w:p>
      <w:pPr>
        <w:pStyle w:val="BodyText"/>
        <w:spacing w:line="348" w:lineRule="auto" w:before="135"/>
        <w:ind w:left="243" w:right="251" w:firstLine="480"/>
        <w:jc w:val="both"/>
      </w:pPr>
      <w:r>
        <w:rPr>
          <w:spacing w:val="2"/>
        </w:rPr>
        <w:t>（</w:t>
      </w:r>
      <w:r>
        <w:rPr>
          <w:rFonts w:ascii="Times New Roman" w:hAnsi="Times New Roman" w:cs="Times New Roman" w:eastAsia="Times New Roman" w:hint="default"/>
          <w:spacing w:val="2"/>
        </w:rPr>
        <w:t>2</w:t>
      </w:r>
      <w:r>
        <w:rPr>
          <w:spacing w:val="2"/>
        </w:rPr>
        <w:t>）公司继续推进“租、建、购、并”多样化的开发策略，报告期内，在重</w:t>
      </w:r>
      <w:r>
        <w:rPr>
          <w:spacing w:val="3"/>
        </w:rPr>
        <w:t> </w:t>
      </w:r>
      <w:r>
        <w:rPr>
          <w:spacing w:val="-1"/>
        </w:rPr>
        <w:t>庆、天津、成都、苏州、厦门、泰安、济南、武汉等地的核心商圈，购置连锁店物</w:t>
      </w:r>
      <w:r>
        <w:rPr>
          <w:spacing w:val="-108"/>
        </w:rPr>
        <w:t> </w:t>
      </w:r>
      <w:r>
        <w:rPr>
          <w:spacing w:val="-108"/>
        </w:rPr>
      </w:r>
      <w:r>
        <w:rPr/>
        <w:t>业</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处，购置面积</w:t>
      </w:r>
      <w:r>
        <w:rPr>
          <w:spacing w:val="-63"/>
        </w:rPr>
        <w:t> </w:t>
      </w:r>
      <w:r>
        <w:rPr>
          <w:rFonts w:ascii="Times New Roman" w:hAnsi="Times New Roman" w:cs="Times New Roman" w:eastAsia="Times New Roman" w:hint="default"/>
        </w:rPr>
        <w:t>11.87</w:t>
      </w:r>
      <w:r>
        <w:rPr>
          <w:rFonts w:ascii="Times New Roman" w:hAnsi="Times New Roman" w:cs="Times New Roman" w:eastAsia="Times New Roman" w:hint="default"/>
          <w:spacing w:val="-3"/>
        </w:rPr>
        <w:t> </w:t>
      </w:r>
      <w:r>
        <w:rPr/>
        <w:t>万平方米；</w:t>
      </w:r>
    </w:p>
    <w:p>
      <w:pPr>
        <w:pStyle w:val="BodyText"/>
        <w:spacing w:line="240" w:lineRule="auto" w:before="16"/>
        <w:ind w:left="723" w:right="153"/>
        <w:jc w:val="left"/>
        <w:rPr>
          <w:rFonts w:ascii="Times New Roman" w:hAnsi="Times New Roman" w:cs="Times New Roman" w:eastAsia="Times New Roman" w:hint="default"/>
        </w:rPr>
      </w:pPr>
      <w:r>
        <w:rPr/>
        <w:t>截止报告期末，公司已在全国拥有自有物业连锁店 </w:t>
      </w:r>
      <w:r>
        <w:rPr>
          <w:rFonts w:ascii="Times New Roman" w:hAnsi="Times New Roman" w:cs="Times New Roman" w:eastAsia="Times New Roman" w:hint="default"/>
        </w:rPr>
        <w:t>17  </w:t>
      </w:r>
      <w:r>
        <w:rPr/>
        <w:t>家（含在筹建连锁店</w:t>
      </w:r>
      <w:r>
        <w:rPr>
          <w:spacing w:val="-27"/>
        </w:rPr>
        <w:t> </w:t>
      </w:r>
      <w:r>
        <w:rPr>
          <w:rFonts w:ascii="Times New Roman" w:hAnsi="Times New Roman" w:cs="Times New Roman" w:eastAsia="Times New Roman" w:hint="default"/>
        </w:rPr>
        <w:t>1</w:t>
      </w:r>
    </w:p>
    <w:p>
      <w:pPr>
        <w:pStyle w:val="BodyText"/>
        <w:spacing w:line="240" w:lineRule="auto" w:before="135"/>
        <w:ind w:left="225" w:right="5679"/>
        <w:jc w:val="center"/>
      </w:pPr>
      <w:r>
        <w:rPr/>
        <w:t>家</w:t>
      </w:r>
      <w:r>
        <w:rPr>
          <w:spacing w:val="-120"/>
        </w:rPr>
        <w:t>）</w:t>
      </w:r>
      <w:r>
        <w:rPr/>
        <w:t>，面积达</w:t>
      </w:r>
      <w:r>
        <w:rPr>
          <w:spacing w:val="-60"/>
        </w:rPr>
        <w:t> </w:t>
      </w:r>
      <w:r>
        <w:rPr>
          <w:rFonts w:ascii="Times New Roman" w:hAnsi="Times New Roman" w:cs="Times New Roman" w:eastAsia="Times New Roman" w:hint="default"/>
        </w:rPr>
        <w:t>21.86 </w:t>
      </w:r>
      <w:r>
        <w:rPr/>
        <w:t>万平方米。</w:t>
      </w:r>
    </w:p>
    <w:p>
      <w:pPr>
        <w:pStyle w:val="BodyText"/>
        <w:spacing w:line="240" w:lineRule="auto" w:before="135"/>
        <w:ind w:left="723" w:right="153"/>
        <w:jc w:val="left"/>
      </w:pPr>
      <w:r>
        <w:rPr/>
        <w:t>（</w:t>
      </w:r>
      <w:r>
        <w:rPr>
          <w:rFonts w:ascii="Times New Roman" w:hAnsi="Times New Roman" w:cs="Times New Roman" w:eastAsia="Times New Roman" w:hint="default"/>
        </w:rPr>
        <w:t>3</w:t>
      </w:r>
      <w:r>
        <w:rPr/>
        <w:t>）截至报告期末，公司已在全国 </w:t>
      </w:r>
      <w:r>
        <w:rPr>
          <w:rFonts w:ascii="Times New Roman" w:hAnsi="Times New Roman" w:cs="Times New Roman" w:eastAsia="Times New Roman" w:hint="default"/>
        </w:rPr>
        <w:t>178 </w:t>
      </w:r>
      <w:r>
        <w:rPr/>
        <w:t>个地级以上城市拥有连锁店 </w:t>
      </w:r>
      <w:r>
        <w:rPr>
          <w:rFonts w:ascii="Times New Roman" w:hAnsi="Times New Roman" w:cs="Times New Roman" w:eastAsia="Times New Roman" w:hint="default"/>
        </w:rPr>
        <w:t>812</w:t>
      </w:r>
      <w:r>
        <w:rPr>
          <w:rFonts w:ascii="Times New Roman" w:hAnsi="Times New Roman" w:cs="Times New Roman" w:eastAsia="Times New Roman" w:hint="default"/>
          <w:spacing w:val="-20"/>
        </w:rPr>
        <w:t> </w:t>
      </w:r>
      <w:r>
        <w:rPr/>
        <w:t>家，</w:t>
      </w:r>
    </w:p>
    <w:p>
      <w:pPr>
        <w:pStyle w:val="BodyText"/>
        <w:spacing w:line="338" w:lineRule="auto" w:before="135"/>
        <w:ind w:left="243" w:right="252"/>
        <w:jc w:val="left"/>
      </w:pPr>
      <w:r>
        <w:rPr/>
        <w:t>连锁店面积达</w:t>
      </w:r>
      <w:r>
        <w:rPr>
          <w:spacing w:val="-57"/>
        </w:rPr>
        <w:t> </w:t>
      </w:r>
      <w:r>
        <w:rPr>
          <w:rFonts w:ascii="Times New Roman" w:hAnsi="Times New Roman" w:cs="Times New Roman" w:eastAsia="Times New Roman" w:hint="default"/>
        </w:rPr>
        <w:t>346.20</w:t>
      </w:r>
      <w:r>
        <w:rPr>
          <w:rFonts w:ascii="Times New Roman" w:hAnsi="Times New Roman" w:cs="Times New Roman" w:eastAsia="Times New Roman" w:hint="default"/>
          <w:spacing w:val="3"/>
        </w:rPr>
        <w:t> </w:t>
      </w:r>
      <w:r>
        <w:rPr>
          <w:spacing w:val="-5"/>
        </w:rPr>
        <w:t>万平方米，比上年同期增长</w:t>
      </w:r>
      <w:r>
        <w:rPr>
          <w:spacing w:val="-57"/>
        </w:rPr>
        <w:t> </w:t>
      </w:r>
      <w:r>
        <w:rPr>
          <w:rFonts w:ascii="Times New Roman" w:hAnsi="Times New Roman" w:cs="Times New Roman" w:eastAsia="Times New Roman" w:hint="default"/>
          <w:spacing w:val="-5"/>
        </w:rPr>
        <w:t>31.03%</w:t>
      </w:r>
      <w:r>
        <w:rPr>
          <w:spacing w:val="-5"/>
        </w:rPr>
        <w:t>；平均单店面积</w:t>
      </w:r>
      <w:r>
        <w:rPr>
          <w:spacing w:val="-58"/>
        </w:rPr>
        <w:t> </w:t>
      </w:r>
      <w:r>
        <w:rPr>
          <w:rFonts w:ascii="Times New Roman" w:hAnsi="Times New Roman" w:cs="Times New Roman" w:eastAsia="Times New Roman" w:hint="default"/>
        </w:rPr>
        <w:t>4,263</w:t>
      </w:r>
      <w:r>
        <w:rPr>
          <w:rFonts w:ascii="Times New Roman" w:hAnsi="Times New Roman" w:cs="Times New Roman" w:eastAsia="Times New Roman" w:hint="default"/>
          <w:spacing w:val="3"/>
        </w:rPr>
        <w:t> </w:t>
      </w:r>
      <w:r>
        <w:rPr/>
        <w:t>平方 米，比上年同期增长</w:t>
      </w:r>
      <w:r>
        <w:rPr>
          <w:spacing w:val="-60"/>
        </w:rPr>
        <w:t> </w:t>
      </w:r>
      <w:r>
        <w:rPr>
          <w:rFonts w:ascii="Times New Roman" w:hAnsi="Times New Roman" w:cs="Times New Roman" w:eastAsia="Times New Roman" w:hint="default"/>
        </w:rPr>
        <w:t>1.99%</w:t>
      </w:r>
      <w:r>
        <w:rPr/>
        <w:t>。</w:t>
      </w:r>
    </w:p>
    <w:p>
      <w:pPr>
        <w:spacing w:line="240" w:lineRule="auto" w:before="8"/>
        <w:rPr>
          <w:rFonts w:ascii="宋体" w:hAnsi="宋体" w:cs="宋体" w:eastAsia="宋体" w:hint="default"/>
          <w:sz w:val="31"/>
          <w:szCs w:val="31"/>
        </w:rPr>
      </w:pPr>
    </w:p>
    <w:p>
      <w:pPr>
        <w:pStyle w:val="BodyText"/>
        <w:spacing w:line="240" w:lineRule="auto"/>
        <w:ind w:left="725" w:right="153"/>
        <w:jc w:val="left"/>
      </w:pPr>
      <w:r>
        <w:rPr>
          <w:rFonts w:ascii="Times New Roman" w:hAnsi="Times New Roman" w:cs="Times New Roman" w:eastAsia="Times New Roman" w:hint="default"/>
        </w:rPr>
        <w:t>2</w:t>
      </w:r>
      <w:r>
        <w:rPr/>
        <w:t>、连锁店结构分析</w:t>
      </w:r>
    </w:p>
    <w:p>
      <w:pPr>
        <w:pStyle w:val="BodyText"/>
        <w:spacing w:line="240" w:lineRule="auto" w:before="104"/>
        <w:ind w:left="725" w:right="153"/>
        <w:jc w:val="left"/>
      </w:pPr>
      <w:r>
        <w:rPr/>
        <w:t>（</w:t>
      </w:r>
      <w:r>
        <w:rPr>
          <w:rFonts w:ascii="Times New Roman" w:hAnsi="Times New Roman" w:cs="Times New Roman" w:eastAsia="Times New Roman" w:hint="default"/>
        </w:rPr>
        <w:t>1</w:t>
      </w:r>
      <w:r>
        <w:rPr/>
        <w:t>）连锁店地区分布情况</w:t>
      </w:r>
    </w:p>
    <w:p>
      <w:pPr>
        <w:spacing w:line="240" w:lineRule="auto" w:before="1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916"/>
        <w:gridCol w:w="769"/>
        <w:gridCol w:w="768"/>
        <w:gridCol w:w="769"/>
        <w:gridCol w:w="769"/>
        <w:gridCol w:w="769"/>
        <w:gridCol w:w="769"/>
        <w:gridCol w:w="769"/>
        <w:gridCol w:w="768"/>
        <w:gridCol w:w="769"/>
      </w:tblGrid>
      <w:tr>
        <w:trPr>
          <w:trHeight w:val="613" w:hRule="exact"/>
        </w:trPr>
        <w:tc>
          <w:tcPr>
            <w:tcW w:w="1916" w:type="dxa"/>
            <w:tcBorders>
              <w:top w:val="single" w:sz="17" w:space="0" w:color="000000"/>
              <w:left w:val="single" w:sz="17" w:space="0" w:color="000000"/>
              <w:bottom w:val="single" w:sz="4" w:space="0" w:color="000000"/>
              <w:right w:val="single" w:sz="4" w:space="0" w:color="000000"/>
            </w:tcBorders>
          </w:tcPr>
          <w:p>
            <w:pP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9"/>
              <w:jc w:val="left"/>
              <w:rPr>
                <w:rFonts w:ascii="宋体" w:hAnsi="宋体" w:cs="宋体" w:eastAsia="宋体" w:hint="default"/>
                <w:sz w:val="20"/>
                <w:szCs w:val="20"/>
              </w:rPr>
            </w:pPr>
            <w:r>
              <w:rPr>
                <w:rFonts w:ascii="宋体" w:hAnsi="宋体" w:cs="宋体" w:eastAsia="宋体" w:hint="default"/>
                <w:sz w:val="20"/>
                <w:szCs w:val="20"/>
              </w:rPr>
              <w:t>华东</w:t>
            </w:r>
            <w:r>
              <w:rPr>
                <w:rFonts w:ascii="宋体" w:hAnsi="宋体" w:cs="宋体" w:eastAsia="宋体" w:hint="default"/>
                <w:w w:val="100"/>
                <w:sz w:val="20"/>
                <w:szCs w:val="20"/>
              </w:rPr>
              <w:t> </w:t>
            </w:r>
            <w:r>
              <w:rPr>
                <w:rFonts w:ascii="宋体" w:hAnsi="宋体" w:cs="宋体" w:eastAsia="宋体" w:hint="default"/>
                <w:sz w:val="20"/>
                <w:szCs w:val="20"/>
              </w:rPr>
              <w:t>一区</w:t>
            </w:r>
          </w:p>
        </w:tc>
        <w:tc>
          <w:tcPr>
            <w:tcW w:w="7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6"/>
              <w:jc w:val="left"/>
              <w:rPr>
                <w:rFonts w:ascii="宋体" w:hAnsi="宋体" w:cs="宋体" w:eastAsia="宋体" w:hint="default"/>
                <w:sz w:val="20"/>
                <w:szCs w:val="20"/>
              </w:rPr>
            </w:pPr>
            <w:r>
              <w:rPr>
                <w:rFonts w:ascii="宋体" w:hAnsi="宋体" w:cs="宋体" w:eastAsia="宋体" w:hint="default"/>
                <w:sz w:val="20"/>
                <w:szCs w:val="20"/>
              </w:rPr>
              <w:t>华东</w:t>
            </w:r>
            <w:r>
              <w:rPr>
                <w:rFonts w:ascii="宋体" w:hAnsi="宋体" w:cs="宋体" w:eastAsia="宋体" w:hint="default"/>
                <w:w w:val="100"/>
                <w:sz w:val="20"/>
                <w:szCs w:val="20"/>
              </w:rPr>
              <w:t> </w:t>
            </w:r>
            <w:r>
              <w:rPr>
                <w:rFonts w:ascii="宋体" w:hAnsi="宋体" w:cs="宋体" w:eastAsia="宋体" w:hint="default"/>
                <w:sz w:val="20"/>
                <w:szCs w:val="20"/>
              </w:rPr>
              <w:t>二区</w:t>
            </w: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8"/>
              <w:jc w:val="left"/>
              <w:rPr>
                <w:rFonts w:ascii="宋体" w:hAnsi="宋体" w:cs="宋体" w:eastAsia="宋体" w:hint="default"/>
                <w:sz w:val="20"/>
                <w:szCs w:val="20"/>
              </w:rPr>
            </w:pPr>
            <w:r>
              <w:rPr>
                <w:rFonts w:ascii="宋体" w:hAnsi="宋体" w:cs="宋体" w:eastAsia="宋体" w:hint="default"/>
                <w:sz w:val="20"/>
                <w:szCs w:val="20"/>
              </w:rPr>
              <w:t>华南</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8"/>
              <w:jc w:val="left"/>
              <w:rPr>
                <w:rFonts w:ascii="宋体" w:hAnsi="宋体" w:cs="宋体" w:eastAsia="宋体" w:hint="default"/>
                <w:sz w:val="20"/>
                <w:szCs w:val="20"/>
              </w:rPr>
            </w:pPr>
            <w:r>
              <w:rPr>
                <w:rFonts w:ascii="宋体" w:hAnsi="宋体" w:cs="宋体" w:eastAsia="宋体" w:hint="default"/>
                <w:sz w:val="20"/>
                <w:szCs w:val="20"/>
              </w:rPr>
              <w:t>华北</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8"/>
              <w:jc w:val="left"/>
              <w:rPr>
                <w:rFonts w:ascii="宋体" w:hAnsi="宋体" w:cs="宋体" w:eastAsia="宋体" w:hint="default"/>
                <w:sz w:val="20"/>
                <w:szCs w:val="20"/>
              </w:rPr>
            </w:pPr>
            <w:r>
              <w:rPr>
                <w:rFonts w:ascii="宋体" w:hAnsi="宋体" w:cs="宋体" w:eastAsia="宋体" w:hint="default"/>
                <w:sz w:val="20"/>
                <w:szCs w:val="20"/>
              </w:rPr>
              <w:t>西南</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8"/>
              <w:jc w:val="left"/>
              <w:rPr>
                <w:rFonts w:ascii="宋体" w:hAnsi="宋体" w:cs="宋体" w:eastAsia="宋体" w:hint="default"/>
                <w:sz w:val="20"/>
                <w:szCs w:val="20"/>
              </w:rPr>
            </w:pPr>
            <w:r>
              <w:rPr>
                <w:rFonts w:ascii="宋体" w:hAnsi="宋体" w:cs="宋体" w:eastAsia="宋体" w:hint="default"/>
                <w:sz w:val="20"/>
                <w:szCs w:val="20"/>
              </w:rPr>
              <w:t>华中</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8"/>
              <w:jc w:val="left"/>
              <w:rPr>
                <w:rFonts w:ascii="宋体" w:hAnsi="宋体" w:cs="宋体" w:eastAsia="宋体" w:hint="default"/>
                <w:sz w:val="20"/>
                <w:szCs w:val="20"/>
              </w:rPr>
            </w:pPr>
            <w:r>
              <w:rPr>
                <w:rFonts w:ascii="宋体" w:hAnsi="宋体" w:cs="宋体" w:eastAsia="宋体" w:hint="default"/>
                <w:sz w:val="20"/>
                <w:szCs w:val="20"/>
              </w:rPr>
              <w:t>东北</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178" w:right="176"/>
              <w:jc w:val="left"/>
              <w:rPr>
                <w:rFonts w:ascii="宋体" w:hAnsi="宋体" w:cs="宋体" w:eastAsia="宋体" w:hint="default"/>
                <w:sz w:val="20"/>
                <w:szCs w:val="20"/>
              </w:rPr>
            </w:pPr>
            <w:r>
              <w:rPr>
                <w:rFonts w:ascii="宋体" w:hAnsi="宋体" w:cs="宋体" w:eastAsia="宋体" w:hint="default"/>
                <w:sz w:val="20"/>
                <w:szCs w:val="20"/>
              </w:rPr>
              <w:t>西北</w:t>
            </w:r>
            <w:r>
              <w:rPr>
                <w:rFonts w:ascii="宋体" w:hAnsi="宋体" w:cs="宋体" w:eastAsia="宋体" w:hint="default"/>
                <w:w w:val="100"/>
                <w:sz w:val="20"/>
                <w:szCs w:val="20"/>
              </w:rPr>
              <w:t> </w:t>
            </w:r>
            <w:r>
              <w:rPr>
                <w:rFonts w:ascii="宋体" w:hAnsi="宋体" w:cs="宋体" w:eastAsia="宋体" w:hint="default"/>
                <w:sz w:val="20"/>
                <w:szCs w:val="20"/>
              </w:rPr>
              <w:t>地区</w:t>
            </w:r>
          </w:p>
        </w:tc>
        <w:tc>
          <w:tcPr>
            <w:tcW w:w="769"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32"/>
              <w:ind w:left="178"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68" w:hRule="exact"/>
        </w:trPr>
        <w:tc>
          <w:tcPr>
            <w:tcW w:w="191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20"/>
                <w:szCs w:val="20"/>
              </w:rPr>
            </w:pPr>
            <w:r>
              <w:rPr>
                <w:rFonts w:ascii="宋体" w:hAnsi="宋体" w:cs="宋体" w:eastAsia="宋体" w:hint="default"/>
                <w:sz w:val="20"/>
                <w:szCs w:val="20"/>
              </w:rPr>
              <w:t>店面数量（家）</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172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146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121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z w:val="20"/>
              </w:rPr>
              <w:t>80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z w:val="20"/>
              </w:rPr>
              <w:t>61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z w:val="20"/>
              </w:rPr>
              <w:t>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z w:val="20"/>
              </w:rPr>
              <w:t>37</w:t>
            </w:r>
          </w:p>
        </w:tc>
        <w:tc>
          <w:tcPr>
            <w:tcW w:w="7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1"/>
              <w:ind w:right="85"/>
              <w:jc w:val="right"/>
              <w:rPr>
                <w:rFonts w:ascii="Times New Roman" w:hAnsi="Times New Roman" w:cs="Times New Roman" w:eastAsia="Times New Roman" w:hint="default"/>
                <w:sz w:val="20"/>
                <w:szCs w:val="20"/>
              </w:rPr>
            </w:pPr>
            <w:r>
              <w:rPr>
                <w:rFonts w:ascii="Times New Roman"/>
                <w:spacing w:val="-1"/>
                <w:sz w:val="20"/>
              </w:rPr>
              <w:t>812</w:t>
            </w:r>
          </w:p>
        </w:tc>
      </w:tr>
      <w:tr>
        <w:trPr>
          <w:trHeight w:val="388" w:hRule="exact"/>
        </w:trPr>
        <w:tc>
          <w:tcPr>
            <w:tcW w:w="191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20"/>
                <w:szCs w:val="20"/>
              </w:rPr>
            </w:pPr>
            <w:r>
              <w:rPr>
                <w:rFonts w:ascii="宋体" w:hAnsi="宋体" w:cs="宋体" w:eastAsia="宋体" w:hint="default"/>
                <w:sz w:val="20"/>
                <w:szCs w:val="20"/>
              </w:rPr>
              <w:t>占总店数比例（%）</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21.18</w:t>
            </w:r>
          </w:p>
        </w:tc>
        <w:tc>
          <w:tcPr>
            <w:tcW w:w="7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17.98</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16.63</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14.90</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9.85</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7.51</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7.39</w:t>
            </w:r>
          </w:p>
        </w:tc>
        <w:tc>
          <w:tcPr>
            <w:tcW w:w="7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4.56</w:t>
            </w:r>
          </w:p>
        </w:tc>
        <w:tc>
          <w:tcPr>
            <w:tcW w:w="76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1"/>
              <w:ind w:right="84"/>
              <w:jc w:val="right"/>
              <w:rPr>
                <w:rFonts w:ascii="Times New Roman" w:hAnsi="Times New Roman" w:cs="Times New Roman" w:eastAsia="Times New Roman" w:hint="default"/>
                <w:sz w:val="20"/>
                <w:szCs w:val="20"/>
              </w:rPr>
            </w:pPr>
            <w:r>
              <w:rPr>
                <w:rFonts w:ascii="Times New Roman"/>
                <w:spacing w:val="-1"/>
                <w:sz w:val="20"/>
              </w:rPr>
              <w:t>100.00</w:t>
            </w:r>
          </w:p>
        </w:tc>
      </w:tr>
    </w:tbl>
    <w:p>
      <w:pPr>
        <w:tabs>
          <w:tab w:pos="4677" w:val="left" w:leader="none"/>
        </w:tabs>
        <w:spacing w:line="237" w:lineRule="auto" w:before="88"/>
        <w:ind w:left="906" w:right="153" w:hanging="514"/>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
          <w:sz w:val="21"/>
          <w:szCs w:val="21"/>
        </w:rPr>
        <w:t> </w:t>
      </w:r>
      <w:r>
        <w:rPr>
          <w:rFonts w:ascii="宋体" w:hAnsi="宋体" w:cs="宋体" w:eastAsia="宋体" w:hint="default"/>
          <w:sz w:val="21"/>
          <w:szCs w:val="21"/>
        </w:rPr>
        <w:t>华东一区包括江苏、安徽、山东；</w:t>
        <w:tab/>
        <w:t>华东二区包括上海、福建、浙江、江西；</w:t>
      </w:r>
      <w:r>
        <w:rPr>
          <w:rFonts w:ascii="宋体" w:hAnsi="宋体" w:cs="宋体" w:eastAsia="宋体" w:hint="default"/>
          <w:sz w:val="21"/>
          <w:szCs w:val="21"/>
        </w:rPr>
        <w:t> </w:t>
      </w:r>
      <w:r>
        <w:rPr>
          <w:rFonts w:ascii="宋体" w:hAnsi="宋体" w:cs="宋体" w:eastAsia="宋体" w:hint="default"/>
          <w:spacing w:val="-5"/>
          <w:sz w:val="21"/>
          <w:szCs w:val="21"/>
        </w:rPr>
        <w:t>华南地区包括广东、广西、海南；</w:t>
        <w:tab/>
      </w:r>
      <w:r>
        <w:rPr>
          <w:rFonts w:ascii="宋体" w:hAnsi="宋体" w:cs="宋体" w:eastAsia="宋体" w:hint="default"/>
          <w:spacing w:val="-6"/>
          <w:sz w:val="21"/>
          <w:szCs w:val="21"/>
        </w:rPr>
        <w:t>华北地区包括北京、天津、河北、山西、内蒙；</w:t>
      </w:r>
      <w:r>
        <w:rPr>
          <w:rFonts w:ascii="宋体" w:hAnsi="宋体" w:cs="宋体" w:eastAsia="宋体" w:hint="default"/>
          <w:sz w:val="21"/>
          <w:szCs w:val="21"/>
        </w:rPr>
        <w:t> 西南地区包括四川、重庆、云南、贵州；华中地区包括湖北、湖南、河南； 东北地区包括辽宁、黑龙江、吉林；</w:t>
        <w:tab/>
        <w:t>西北地区包括陕西、甘肃、青海、新疆；</w:t>
      </w:r>
    </w:p>
    <w:p>
      <w:pPr>
        <w:spacing w:line="240" w:lineRule="auto" w:before="12"/>
        <w:rPr>
          <w:rFonts w:ascii="宋体" w:hAnsi="宋体" w:cs="宋体" w:eastAsia="宋体" w:hint="default"/>
          <w:sz w:val="17"/>
          <w:szCs w:val="17"/>
        </w:rPr>
      </w:pPr>
    </w:p>
    <w:p>
      <w:pPr>
        <w:pStyle w:val="BodyText"/>
        <w:spacing w:line="338" w:lineRule="auto"/>
        <w:ind w:left="843" w:right="128" w:hanging="120"/>
        <w:jc w:val="left"/>
      </w:pPr>
      <w:r>
        <w:rPr/>
        <w:t>（</w:t>
      </w:r>
      <w:r>
        <w:rPr>
          <w:rFonts w:ascii="Times New Roman" w:hAnsi="Times New Roman" w:cs="Times New Roman" w:eastAsia="Times New Roman" w:hint="default"/>
        </w:rPr>
        <w:t>2</w:t>
      </w:r>
      <w:r>
        <w:rPr/>
        <w:t>）连锁店类型分布情况 </w:t>
      </w:r>
      <w:r>
        <w:rPr>
          <w:spacing w:val="-8"/>
        </w:rPr>
        <w:t>报告期内，公司在稳步推进连锁网络规模的同时，继续贯彻执行“地区攻略”、</w:t>
      </w:r>
    </w:p>
    <w:p>
      <w:pPr>
        <w:pStyle w:val="BodyText"/>
        <w:spacing w:line="333" w:lineRule="auto" w:before="24"/>
        <w:ind w:left="243" w:right="243"/>
        <w:jc w:val="left"/>
      </w:pPr>
      <w:r>
        <w:rPr>
          <w:spacing w:val="-15"/>
        </w:rPr>
        <w:t>“旗舰店攻略”，</w:t>
      </w:r>
      <w:r>
        <w:rPr>
          <w:spacing w:val="6"/>
        </w:rPr>
        <w:t> </w:t>
      </w:r>
      <w:r>
        <w:rPr>
          <w:spacing w:val="-1"/>
        </w:rPr>
        <w:t>加强对重点地区、重点店面的培养。截至本报告期末，公司旗舰</w:t>
      </w:r>
      <w:r>
        <w:rPr/>
        <w:t> 店数量占比达到</w:t>
      </w:r>
      <w:r>
        <w:rPr>
          <w:spacing w:val="-60"/>
        </w:rPr>
        <w:t> </w:t>
      </w:r>
      <w:r>
        <w:rPr>
          <w:rFonts w:ascii="Times New Roman" w:hAnsi="Times New Roman" w:cs="Times New Roman" w:eastAsia="Times New Roman" w:hint="default"/>
        </w:rPr>
        <w:t>13.79%</w:t>
      </w:r>
      <w:r>
        <w:rPr/>
        <w:t>，较上年同期增长</w:t>
      </w:r>
      <w:r>
        <w:rPr>
          <w:spacing w:val="-60"/>
        </w:rPr>
        <w:t> </w:t>
      </w:r>
      <w:r>
        <w:rPr>
          <w:rFonts w:ascii="Times New Roman" w:hAnsi="Times New Roman" w:cs="Times New Roman" w:eastAsia="Times New Roman" w:hint="default"/>
        </w:rPr>
        <w:t>0.82 </w:t>
      </w:r>
      <w:r>
        <w:rPr/>
        <w:t>个百分点。</w:t>
      </w:r>
    </w:p>
    <w:p>
      <w:pPr>
        <w:pStyle w:val="BodyText"/>
        <w:spacing w:line="333" w:lineRule="auto" w:before="1"/>
        <w:ind w:left="243" w:right="238" w:firstLine="480"/>
        <w:jc w:val="both"/>
      </w:pPr>
      <w:r>
        <w:rPr/>
        <w:t>与此同时，随着公司进入二三级市场的增多，社区店开设数量占比略有上升。 但针对该部分地区的店面，公司计划调整店面类型规划，逐步升级为地区旗舰店， </w:t>
      </w:r>
      <w:r>
        <w:rPr>
          <w:spacing w:val="-1"/>
        </w:rPr>
        <w:t>其面积规模视城市级别、市场容量略有不同，而仅在大型城市的社区商圈开设社区</w:t>
      </w:r>
      <w:r>
        <w:rPr>
          <w:spacing w:val="-104"/>
        </w:rPr>
        <w:t> </w:t>
      </w:r>
      <w:r>
        <w:rPr>
          <w:spacing w:val="-104"/>
        </w:rPr>
      </w:r>
      <w:r>
        <w:rPr/>
        <w:t>店。</w:t>
      </w:r>
    </w:p>
    <w:p>
      <w:pPr>
        <w:spacing w:after="0" w:line="333" w:lineRule="auto"/>
        <w:jc w:val="both"/>
        <w:sectPr>
          <w:pgSz w:w="11910" w:h="16840"/>
          <w:pgMar w:header="826" w:footer="900" w:top="1100" w:bottom="1100" w:left="1400" w:right="1380"/>
        </w:sectPr>
      </w:pPr>
    </w:p>
    <w:p>
      <w:pPr>
        <w:tabs>
          <w:tab w:pos="1143" w:val="left" w:leader="none"/>
          <w:tab w:pos="7729" w:val="left" w:leader="none"/>
        </w:tabs>
        <w:spacing w:before="106"/>
        <w:ind w:left="724" w:right="0" w:firstLine="0"/>
        <w:jc w:val="left"/>
        <w:rPr>
          <w:rFonts w:ascii="宋体" w:hAnsi="宋体" w:cs="宋体" w:eastAsia="宋体" w:hint="default"/>
          <w:sz w:val="21"/>
          <w:szCs w:val="21"/>
        </w:rPr>
      </w:pPr>
      <w:r>
        <w:rPr/>
        <w:pict>
          <v:group style="position:absolute;margin-left:77.879997pt;margin-top:32.935905pt;width:61.8pt;height:30.75pt;mso-position-horizontal-relative:page;mso-position-vertical-relative:paragraph;z-index:-671656" coordorigin="1558,659" coordsize="1236,615">
            <v:shape style="position:absolute;left:1558;top:659;width:1236;height:615" coordorigin="1558,659" coordsize="1236,615" path="m1558,659l2794,1273e" filled="false" stroked="true" strokeweight=".48pt" strokecolor="#000000">
              <v:path arrowok="t"/>
            </v:shape>
            <w10:wrap type="none"/>
          </v:group>
        </w:pict>
      </w: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4"/>
          <w:szCs w:val="24"/>
        </w:rPr>
        <w:t>报告期末，公司连锁店按店面类型分布情况如下：</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11"/>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262"/>
        <w:gridCol w:w="1261"/>
        <w:gridCol w:w="1266"/>
        <w:gridCol w:w="1261"/>
        <w:gridCol w:w="1265"/>
        <w:gridCol w:w="1261"/>
        <w:gridCol w:w="1260"/>
      </w:tblGrid>
      <w:tr>
        <w:trPr>
          <w:trHeight w:val="359" w:hRule="exact"/>
        </w:trPr>
        <w:tc>
          <w:tcPr>
            <w:tcW w:w="1262" w:type="dxa"/>
            <w:vMerge w:val="restart"/>
            <w:tcBorders>
              <w:top w:val="single" w:sz="17" w:space="0" w:color="000000"/>
              <w:left w:val="single" w:sz="17" w:space="0" w:color="000000"/>
              <w:right w:val="single" w:sz="4" w:space="0" w:color="000000"/>
            </w:tcBorders>
          </w:tcPr>
          <w:p>
            <w:pPr>
              <w:pStyle w:val="TableParagraph"/>
              <w:spacing w:line="261" w:lineRule="exact" w:before="17"/>
              <w:ind w:left="586"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61" w:lineRule="exact"/>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252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w:t>
            </w:r>
          </w:p>
        </w:tc>
        <w:tc>
          <w:tcPr>
            <w:tcW w:w="252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2521"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5"/>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r>
      <w:tr>
        <w:trPr>
          <w:trHeight w:val="330" w:hRule="exact"/>
        </w:trPr>
        <w:tc>
          <w:tcPr>
            <w:tcW w:w="1262" w:type="dxa"/>
            <w:vMerge/>
            <w:tcBorders>
              <w:left w:val="single" w:sz="17"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2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424"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95" w:hRule="exact"/>
        </w:trPr>
        <w:tc>
          <w:tcPr>
            <w:tcW w:w="1262"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38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10.83%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12.97%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112</w:t>
            </w:r>
          </w:p>
        </w:tc>
        <w:tc>
          <w:tcPr>
            <w:tcW w:w="12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0"/>
                <w:szCs w:val="20"/>
              </w:rPr>
            </w:pPr>
            <w:r>
              <w:rPr>
                <w:rFonts w:ascii="Times New Roman"/>
                <w:spacing w:val="-1"/>
                <w:sz w:val="20"/>
              </w:rPr>
              <w:t>13.79%</w:t>
            </w:r>
          </w:p>
        </w:tc>
      </w:tr>
      <w:tr>
        <w:trPr>
          <w:trHeight w:val="294" w:hRule="exact"/>
        </w:trPr>
        <w:tc>
          <w:tcPr>
            <w:tcW w:w="1262"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27.92%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28.96%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224</w:t>
            </w:r>
          </w:p>
        </w:tc>
        <w:tc>
          <w:tcPr>
            <w:tcW w:w="12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0"/>
                <w:szCs w:val="20"/>
              </w:rPr>
            </w:pPr>
            <w:r>
              <w:rPr>
                <w:rFonts w:ascii="Times New Roman"/>
                <w:spacing w:val="-1"/>
                <w:sz w:val="20"/>
              </w:rPr>
              <w:t>27.59%</w:t>
            </w:r>
          </w:p>
        </w:tc>
      </w:tr>
      <w:tr>
        <w:trPr>
          <w:trHeight w:val="295" w:hRule="exact"/>
        </w:trPr>
        <w:tc>
          <w:tcPr>
            <w:tcW w:w="1262"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215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61.25%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58.07%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476</w:t>
            </w:r>
          </w:p>
        </w:tc>
        <w:tc>
          <w:tcPr>
            <w:tcW w:w="12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0"/>
                <w:szCs w:val="20"/>
              </w:rPr>
            </w:pPr>
            <w:r>
              <w:rPr>
                <w:rFonts w:ascii="Times New Roman"/>
                <w:spacing w:val="-1"/>
                <w:sz w:val="20"/>
              </w:rPr>
              <w:t>58.62%</w:t>
            </w:r>
          </w:p>
        </w:tc>
      </w:tr>
      <w:tr>
        <w:trPr>
          <w:trHeight w:val="329" w:hRule="exact"/>
        </w:trPr>
        <w:tc>
          <w:tcPr>
            <w:tcW w:w="1262"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99"/>
              <w:jc w:val="right"/>
              <w:rPr>
                <w:rFonts w:ascii="宋体" w:hAnsi="宋体" w:cs="宋体" w:eastAsia="宋体" w:hint="default"/>
                <w:sz w:val="20"/>
                <w:szCs w:val="20"/>
              </w:rPr>
            </w:pPr>
            <w:r>
              <w:rPr>
                <w:rFonts w:ascii="宋体"/>
                <w:spacing w:val="-1"/>
                <w:sz w:val="20"/>
              </w:rPr>
              <w:t>351</w:t>
            </w:r>
          </w:p>
        </w:tc>
        <w:tc>
          <w:tcPr>
            <w:tcW w:w="126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632</w:t>
            </w:r>
          </w:p>
        </w:tc>
        <w:tc>
          <w:tcPr>
            <w:tcW w:w="126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812</w:t>
            </w:r>
          </w:p>
        </w:tc>
        <w:tc>
          <w:tcPr>
            <w:tcW w:w="1260"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84"/>
              <w:jc w:val="right"/>
              <w:rPr>
                <w:rFonts w:ascii="宋体" w:hAnsi="宋体" w:cs="宋体" w:eastAsia="宋体" w:hint="default"/>
                <w:sz w:val="20"/>
                <w:szCs w:val="20"/>
              </w:rPr>
            </w:pPr>
            <w:r>
              <w:rPr>
                <w:rFonts w:ascii="宋体"/>
                <w:spacing w:val="-1"/>
                <w:sz w:val="20"/>
              </w:rPr>
              <w:t>100%</w:t>
            </w:r>
          </w:p>
        </w:tc>
      </w:tr>
    </w:tbl>
    <w:p>
      <w:pPr>
        <w:tabs>
          <w:tab w:pos="1263" w:val="left" w:leader="none"/>
          <w:tab w:pos="7623" w:val="left" w:leader="none"/>
        </w:tabs>
        <w:spacing w:line="292" w:lineRule="exact" w:before="0"/>
        <w:ind w:left="724" w:right="0" w:firstLine="0"/>
        <w:jc w:val="left"/>
        <w:rPr>
          <w:rFonts w:ascii="宋体" w:hAnsi="宋体" w:cs="宋体" w:eastAsia="宋体" w:hint="default"/>
          <w:sz w:val="21"/>
          <w:szCs w:val="21"/>
        </w:rPr>
      </w:pPr>
      <w:r>
        <w:rPr/>
        <w:pict>
          <v:group style="position:absolute;margin-left:77.879997pt;margin-top:25.68pt;width:58.15pt;height:42.75pt;mso-position-horizontal-relative:page;mso-position-vertical-relative:paragraph;z-index:-671632" coordorigin="1558,514" coordsize="1163,855">
            <v:shape style="position:absolute;left:1558;top:514;width:1163;height:855" coordorigin="1558,514" coordsize="1163,855" path="m1558,514l2720,1368e" filled="false" stroked="true" strokeweight=".48pt" strokecolor="#000000">
              <v:path arrowok="t"/>
            </v:shape>
            <w10:wrap type="none"/>
          </v:group>
        </w:pict>
      </w: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各区域店面类型分布：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6"/>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189"/>
        <w:gridCol w:w="956"/>
        <w:gridCol w:w="955"/>
        <w:gridCol w:w="956"/>
        <w:gridCol w:w="956"/>
        <w:gridCol w:w="955"/>
        <w:gridCol w:w="956"/>
        <w:gridCol w:w="956"/>
        <w:gridCol w:w="970"/>
      </w:tblGrid>
      <w:tr>
        <w:trPr>
          <w:trHeight w:val="328" w:hRule="exact"/>
        </w:trPr>
        <w:tc>
          <w:tcPr>
            <w:tcW w:w="1189" w:type="dxa"/>
            <w:vMerge w:val="restart"/>
            <w:tcBorders>
              <w:top w:val="single" w:sz="17" w:space="0" w:color="000000"/>
              <w:left w:val="single" w:sz="17" w:space="0" w:color="000000"/>
              <w:right w:val="single" w:sz="4" w:space="0" w:color="000000"/>
            </w:tcBorders>
          </w:tcPr>
          <w:p>
            <w:pPr>
              <w:pStyle w:val="TableParagraph"/>
              <w:spacing w:line="261" w:lineRule="exact" w:before="137"/>
              <w:ind w:left="586"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61" w:lineRule="exact"/>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1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华东一区</w:t>
            </w:r>
          </w:p>
        </w:tc>
        <w:tc>
          <w:tcPr>
            <w:tcW w:w="191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华东二区</w:t>
            </w:r>
          </w:p>
        </w:tc>
        <w:tc>
          <w:tcPr>
            <w:tcW w:w="191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926"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华北地区</w:t>
            </w:r>
          </w:p>
        </w:tc>
      </w:tr>
      <w:tr>
        <w:trPr>
          <w:trHeight w:val="600" w:hRule="exact"/>
        </w:trPr>
        <w:tc>
          <w:tcPr>
            <w:tcW w:w="1189" w:type="dxa"/>
            <w:vMerge/>
            <w:tcBorders>
              <w:left w:val="single" w:sz="17"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1"/>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12.79%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19.86%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z w:val="20"/>
              </w:rPr>
              <w:t>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9.63%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19</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15.70%</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46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26.74%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29.45%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z w:val="20"/>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22.22%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34</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28.10%</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104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60.47%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50.68%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z w:val="20"/>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68.15%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68</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7"/>
              <w:jc w:val="right"/>
              <w:rPr>
                <w:rFonts w:ascii="Times New Roman" w:hAnsi="Times New Roman" w:cs="Times New Roman" w:eastAsia="Times New Roman" w:hint="default"/>
                <w:sz w:val="20"/>
                <w:szCs w:val="20"/>
              </w:rPr>
            </w:pPr>
            <w:r>
              <w:rPr>
                <w:rFonts w:ascii="Times New Roman"/>
                <w:spacing w:val="-1"/>
                <w:sz w:val="20"/>
              </w:rPr>
              <w:t>56.20%</w:t>
            </w:r>
          </w:p>
        </w:tc>
      </w:tr>
      <w:tr>
        <w:trPr>
          <w:trHeight w:val="326" w:hRule="exact"/>
        </w:trPr>
        <w:tc>
          <w:tcPr>
            <w:tcW w:w="118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172</w:t>
            </w:r>
          </w:p>
        </w:tc>
        <w:tc>
          <w:tcPr>
            <w:tcW w:w="95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r>
              <w:rPr>
                <w:rFonts w:ascii="宋体"/>
                <w:sz w:val="20"/>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146</w:t>
            </w:r>
            <w:r>
              <w:rPr>
                <w:rFonts w:ascii="宋体"/>
                <w:sz w:val="20"/>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95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135</w:t>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121</w:t>
            </w:r>
          </w:p>
        </w:tc>
        <w:tc>
          <w:tcPr>
            <w:tcW w:w="970"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98"/>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329" w:hRule="exact"/>
        </w:trPr>
        <w:tc>
          <w:tcPr>
            <w:tcW w:w="1189" w:type="dxa"/>
            <w:vMerge w:val="restart"/>
            <w:tcBorders>
              <w:top w:val="single" w:sz="17" w:space="0" w:color="000000"/>
              <w:left w:val="single" w:sz="17" w:space="0" w:color="000000"/>
              <w:right w:val="single" w:sz="4" w:space="0" w:color="000000"/>
            </w:tcBorders>
          </w:tcPr>
          <w:p>
            <w:pPr>
              <w:pStyle w:val="TableParagraph"/>
              <w:spacing w:line="261" w:lineRule="exact" w:before="82"/>
              <w:ind w:left="586"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61" w:lineRule="exact"/>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1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91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91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926"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
              <w:ind w:left="549" w:right="0"/>
              <w:jc w:val="left"/>
              <w:rPr>
                <w:rFonts w:ascii="宋体" w:hAnsi="宋体" w:cs="宋体" w:eastAsia="宋体" w:hint="default"/>
                <w:sz w:val="20"/>
                <w:szCs w:val="20"/>
              </w:rPr>
            </w:pPr>
            <w:r>
              <w:rPr>
                <w:rFonts w:ascii="宋体" w:hAnsi="宋体" w:cs="宋体" w:eastAsia="宋体" w:hint="default"/>
                <w:sz w:val="20"/>
                <w:szCs w:val="20"/>
              </w:rPr>
              <w:t>西北地区</w:t>
            </w:r>
          </w:p>
        </w:tc>
      </w:tr>
      <w:tr>
        <w:trPr>
          <w:trHeight w:val="490" w:hRule="exact"/>
        </w:trPr>
        <w:tc>
          <w:tcPr>
            <w:tcW w:w="1189" w:type="dxa"/>
            <w:vMerge/>
            <w:tcBorders>
              <w:left w:val="single" w:sz="17"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7"/>
              <w:ind w:left="272"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13.75%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8.20%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w w:val="100"/>
                <w:sz w:val="20"/>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15.00%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10.81%</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27.50%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31.15%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z w:val="20"/>
              </w:rPr>
              <w:t>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15</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40.54%</w:t>
            </w:r>
          </w:p>
        </w:tc>
      </w:tr>
      <w:tr>
        <w:trPr>
          <w:trHeight w:val="295" w:hRule="exact"/>
        </w:trPr>
        <w:tc>
          <w:tcPr>
            <w:tcW w:w="1189"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58.75%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60.66%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z w:val="20"/>
              </w:rPr>
              <w:t>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18</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48.65%</w:t>
            </w:r>
          </w:p>
        </w:tc>
      </w:tr>
      <w:tr>
        <w:trPr>
          <w:trHeight w:val="328" w:hRule="exact"/>
        </w:trPr>
        <w:tc>
          <w:tcPr>
            <w:tcW w:w="118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80</w:t>
            </w:r>
          </w:p>
        </w:tc>
        <w:tc>
          <w:tcPr>
            <w:tcW w:w="95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r>
              <w:rPr>
                <w:rFonts w:ascii="宋体"/>
                <w:sz w:val="20"/>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61</w:t>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95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z w:val="20"/>
              </w:rPr>
              <w:t>60</w:t>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100%</w:t>
            </w:r>
            <w:r>
              <w:rPr>
                <w:rFonts w:ascii="宋体"/>
                <w:sz w:val="20"/>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37</w:t>
            </w:r>
          </w:p>
        </w:tc>
        <w:tc>
          <w:tcPr>
            <w:tcW w:w="970"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98"/>
              <w:jc w:val="right"/>
              <w:rPr>
                <w:rFonts w:ascii="宋体" w:hAnsi="宋体" w:cs="宋体" w:eastAsia="宋体" w:hint="default"/>
                <w:sz w:val="20"/>
                <w:szCs w:val="20"/>
              </w:rPr>
            </w:pPr>
            <w:r>
              <w:rPr>
                <w:rFonts w:ascii="宋体"/>
                <w:spacing w:val="-1"/>
                <w:sz w:val="20"/>
              </w:rPr>
              <w:t>100%</w:t>
            </w:r>
            <w:r>
              <w:rPr>
                <w:rFonts w:ascii="宋体"/>
                <w:sz w:val="20"/>
              </w:rPr>
            </w:r>
          </w:p>
        </w:tc>
      </w:tr>
    </w:tbl>
    <w:p>
      <w:pPr>
        <w:tabs>
          <w:tab w:pos="1143" w:val="left" w:leader="none"/>
          <w:tab w:pos="7609" w:val="left" w:leader="none"/>
        </w:tabs>
        <w:spacing w:line="292" w:lineRule="exact" w:before="0"/>
        <w:ind w:left="724" w:right="0" w:firstLine="0"/>
        <w:jc w:val="left"/>
        <w:rPr>
          <w:rFonts w:ascii="宋体" w:hAnsi="宋体" w:cs="宋体" w:eastAsia="宋体" w:hint="default"/>
          <w:sz w:val="21"/>
          <w:szCs w:val="21"/>
        </w:rPr>
      </w:pPr>
      <w:r>
        <w:rPr/>
        <w:pict>
          <v:group style="position:absolute;margin-left:77.879997pt;margin-top:-101.459999pt;width:58.15pt;height:37.2pt;mso-position-horizontal-relative:page;mso-position-vertical-relative:paragraph;z-index:-671608" coordorigin="1558,-2029" coordsize="1163,744">
            <v:shape style="position:absolute;left:1558;top:-2029;width:1163;height:744" coordorigin="1558,-2029" coordsize="1163,744" path="m1558,-2029l2720,-1285e" filled="false" stroked="true" strokeweight=".48pt" strokecolor="#000000">
              <v:path arrowok="t"/>
            </v:shape>
            <w10:wrap type="none"/>
          </v:group>
        </w:pict>
      </w:r>
      <w:r>
        <w:rPr/>
        <w:pict>
          <v:group style="position:absolute;margin-left:77.879997pt;margin-top:25.68pt;width:39.5pt;height:29.25pt;mso-position-horizontal-relative:page;mso-position-vertical-relative:paragraph;z-index:-671584" coordorigin="1558,514" coordsize="790,585">
            <v:shape style="position:absolute;left:1558;top:514;width:790;height:585" coordorigin="1558,514" coordsize="790,585" path="m1558,514l2347,1098e" filled="false" stroked="true" strokeweight=".48pt" strokecolor="#000000">
              <v:path arrowok="t"/>
            </v:shape>
            <w10:wrap type="none"/>
          </v:group>
        </w:pict>
      </w: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重点城市店面类型分布：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6"/>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16"/>
        <w:gridCol w:w="744"/>
        <w:gridCol w:w="834"/>
        <w:gridCol w:w="744"/>
        <w:gridCol w:w="834"/>
        <w:gridCol w:w="746"/>
        <w:gridCol w:w="833"/>
        <w:gridCol w:w="746"/>
        <w:gridCol w:w="905"/>
        <w:gridCol w:w="802"/>
        <w:gridCol w:w="847"/>
      </w:tblGrid>
      <w:tr>
        <w:trPr>
          <w:trHeight w:val="329" w:hRule="exact"/>
        </w:trPr>
        <w:tc>
          <w:tcPr>
            <w:tcW w:w="816" w:type="dxa"/>
            <w:vMerge w:val="restart"/>
            <w:tcBorders>
              <w:top w:val="single" w:sz="17" w:space="0" w:color="000000"/>
              <w:left w:val="single" w:sz="17" w:space="0" w:color="000000"/>
              <w:right w:val="single" w:sz="4" w:space="0" w:color="000000"/>
            </w:tcBorders>
          </w:tcPr>
          <w:p>
            <w:pPr>
              <w:pStyle w:val="TableParagraph"/>
              <w:spacing w:line="240" w:lineRule="auto" w:before="3"/>
              <w:ind w:left="86" w:right="101" w:firstLine="20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z w:val="20"/>
                <w:szCs w:val="20"/>
              </w:rPr>
              <w:t>类型</w:t>
            </w:r>
          </w:p>
        </w:tc>
        <w:tc>
          <w:tcPr>
            <w:tcW w:w="15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上海</w:t>
            </w:r>
          </w:p>
        </w:tc>
        <w:tc>
          <w:tcPr>
            <w:tcW w:w="15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157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广州</w:t>
            </w:r>
          </w:p>
        </w:tc>
        <w:tc>
          <w:tcPr>
            <w:tcW w:w="165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天津</w:t>
            </w:r>
          </w:p>
        </w:tc>
        <w:tc>
          <w:tcPr>
            <w:tcW w:w="1649"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hAnsi="宋体" w:cs="宋体" w:eastAsia="宋体" w:hint="default"/>
                <w:sz w:val="20"/>
                <w:szCs w:val="20"/>
              </w:rPr>
              <w:t>深圳</w:t>
            </w:r>
          </w:p>
        </w:tc>
      </w:tr>
      <w:tr>
        <w:trPr>
          <w:trHeight w:val="330" w:hRule="exact"/>
        </w:trPr>
        <w:tc>
          <w:tcPr>
            <w:tcW w:w="816" w:type="dxa"/>
            <w:vMerge/>
            <w:tcBorders>
              <w:left w:val="single" w:sz="17"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64"/>
              <w:jc w:val="right"/>
              <w:rPr>
                <w:rFonts w:ascii="宋体" w:hAnsi="宋体" w:cs="宋体" w:eastAsia="宋体" w:hint="default"/>
                <w:sz w:val="20"/>
                <w:szCs w:val="20"/>
              </w:rPr>
            </w:pPr>
            <w:r>
              <w:rPr>
                <w:rFonts w:ascii="宋体" w:hAnsi="宋体" w:cs="宋体" w:eastAsia="宋体" w:hint="default"/>
                <w:sz w:val="20"/>
                <w:szCs w:val="20"/>
              </w:rPr>
              <w:t>数量</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66"/>
              <w:jc w:val="right"/>
              <w:rPr>
                <w:rFonts w:ascii="宋体" w:hAnsi="宋体" w:cs="宋体" w:eastAsia="宋体" w:hint="default"/>
                <w:sz w:val="20"/>
                <w:szCs w:val="20"/>
              </w:rPr>
            </w:pPr>
            <w:r>
              <w:rPr>
                <w:rFonts w:ascii="宋体" w:hAnsi="宋体" w:cs="宋体" w:eastAsia="宋体" w:hint="default"/>
                <w:sz w:val="20"/>
                <w:szCs w:val="20"/>
              </w:rPr>
              <w:t>数量</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7"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7"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95"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95"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33.33%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29.17%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12.90%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16.00%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16.00%</w:t>
            </w:r>
          </w:p>
        </w:tc>
      </w:tr>
      <w:tr>
        <w:trPr>
          <w:trHeight w:val="295"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35.29%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31.25%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19.35%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24.00%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5</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20.00%</w:t>
            </w:r>
          </w:p>
        </w:tc>
      </w:tr>
      <w:tr>
        <w:trPr>
          <w:trHeight w:val="294"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31.37%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19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39.58%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67.74%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60.00%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z w:val="20"/>
              </w:rPr>
              <w:t>16</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64.00%</w:t>
            </w:r>
          </w:p>
        </w:tc>
      </w:tr>
      <w:tr>
        <w:trPr>
          <w:trHeight w:val="328" w:hRule="exact"/>
        </w:trPr>
        <w:tc>
          <w:tcPr>
            <w:tcW w:w="81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4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51</w:t>
            </w:r>
          </w:p>
        </w:tc>
        <w:tc>
          <w:tcPr>
            <w:tcW w:w="83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48</w:t>
            </w:r>
          </w:p>
        </w:tc>
        <w:tc>
          <w:tcPr>
            <w:tcW w:w="83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31</w:t>
            </w:r>
          </w:p>
        </w:tc>
        <w:tc>
          <w:tcPr>
            <w:tcW w:w="833"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25</w:t>
            </w:r>
          </w:p>
        </w:tc>
        <w:tc>
          <w:tcPr>
            <w:tcW w:w="90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802"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25</w:t>
            </w:r>
          </w:p>
        </w:tc>
        <w:tc>
          <w:tcPr>
            <w:tcW w:w="847"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99"/>
              <w:jc w:val="right"/>
              <w:rPr>
                <w:rFonts w:ascii="宋体" w:hAnsi="宋体" w:cs="宋体" w:eastAsia="宋体" w:hint="default"/>
                <w:sz w:val="20"/>
                <w:szCs w:val="20"/>
              </w:rPr>
            </w:pPr>
            <w:r>
              <w:rPr>
                <w:rFonts w:ascii="宋体"/>
                <w:spacing w:val="-1"/>
                <w:sz w:val="20"/>
              </w:rPr>
              <w:t>100%</w:t>
            </w:r>
          </w:p>
        </w:tc>
      </w:tr>
      <w:tr>
        <w:trPr>
          <w:trHeight w:val="328" w:hRule="exact"/>
        </w:trPr>
        <w:tc>
          <w:tcPr>
            <w:tcW w:w="816" w:type="dxa"/>
            <w:vMerge w:val="restart"/>
            <w:tcBorders>
              <w:top w:val="single" w:sz="17" w:space="0" w:color="000000"/>
              <w:left w:val="single" w:sz="17" w:space="0" w:color="000000"/>
              <w:right w:val="single" w:sz="4" w:space="0" w:color="000000"/>
            </w:tcBorders>
          </w:tcPr>
          <w:p>
            <w:pPr>
              <w:pStyle w:val="TableParagraph"/>
              <w:spacing w:line="260" w:lineRule="exact" w:before="10"/>
              <w:ind w:left="86" w:right="101" w:firstLine="20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z w:val="20"/>
                <w:szCs w:val="20"/>
              </w:rPr>
              <w:t>类型</w:t>
            </w:r>
          </w:p>
        </w:tc>
        <w:tc>
          <w:tcPr>
            <w:tcW w:w="15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重庆</w:t>
            </w:r>
          </w:p>
        </w:tc>
        <w:tc>
          <w:tcPr>
            <w:tcW w:w="15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南京</w:t>
            </w:r>
          </w:p>
        </w:tc>
        <w:tc>
          <w:tcPr>
            <w:tcW w:w="157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武汉</w:t>
            </w:r>
          </w:p>
        </w:tc>
        <w:tc>
          <w:tcPr>
            <w:tcW w:w="165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成都</w:t>
            </w:r>
          </w:p>
        </w:tc>
        <w:tc>
          <w:tcPr>
            <w:tcW w:w="1649"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hAnsi="宋体" w:cs="宋体" w:eastAsia="宋体" w:hint="default"/>
                <w:sz w:val="20"/>
                <w:szCs w:val="20"/>
              </w:rPr>
              <w:t>杭州</w:t>
            </w:r>
          </w:p>
        </w:tc>
      </w:tr>
      <w:tr>
        <w:trPr>
          <w:trHeight w:val="295" w:hRule="exact"/>
        </w:trPr>
        <w:tc>
          <w:tcPr>
            <w:tcW w:w="816" w:type="dxa"/>
            <w:vMerge/>
            <w:tcBorders>
              <w:left w:val="single" w:sz="17"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4"/>
              <w:jc w:val="right"/>
              <w:rPr>
                <w:rFonts w:ascii="宋体" w:hAnsi="宋体" w:cs="宋体" w:eastAsia="宋体" w:hint="default"/>
                <w:sz w:val="20"/>
                <w:szCs w:val="20"/>
              </w:rPr>
            </w:pPr>
            <w:r>
              <w:rPr>
                <w:rFonts w:ascii="宋体" w:hAnsi="宋体" w:cs="宋体" w:eastAsia="宋体" w:hint="default"/>
                <w:sz w:val="20"/>
                <w:szCs w:val="20"/>
              </w:rPr>
              <w:t>数量</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6"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6"/>
              <w:jc w:val="right"/>
              <w:rPr>
                <w:rFonts w:ascii="宋体" w:hAnsi="宋体" w:cs="宋体" w:eastAsia="宋体" w:hint="default"/>
                <w:sz w:val="20"/>
                <w:szCs w:val="20"/>
              </w:rPr>
            </w:pPr>
            <w:r>
              <w:rPr>
                <w:rFonts w:ascii="宋体" w:hAnsi="宋体" w:cs="宋体" w:eastAsia="宋体" w:hint="default"/>
                <w:sz w:val="20"/>
                <w:szCs w:val="20"/>
              </w:rPr>
              <w:t>数量</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7"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7"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5"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left="211"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295"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19.05%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15.38%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3</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27.27%</w:t>
            </w:r>
          </w:p>
        </w:tc>
      </w:tr>
      <w:tr>
        <w:trPr>
          <w:trHeight w:val="295"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33.33%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30.77%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25.00%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6</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54.55%</w:t>
            </w:r>
          </w:p>
        </w:tc>
      </w:tr>
      <w:tr>
        <w:trPr>
          <w:trHeight w:val="295" w:hRule="exact"/>
        </w:trPr>
        <w:tc>
          <w:tcPr>
            <w:tcW w:w="816"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z w:val="20"/>
              </w:rPr>
              <w:t>10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47.62%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45.00%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20"/>
                <w:szCs w:val="20"/>
              </w:rPr>
            </w:pPr>
            <w:r>
              <w:rPr>
                <w:rFonts w:ascii="Times New Roman"/>
                <w:spacing w:val="-1"/>
                <w:sz w:val="20"/>
              </w:rPr>
              <w:t>53.85%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w w:val="100"/>
                <w:sz w:val="20"/>
              </w:rPr>
              <w:t>2</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96"/>
              <w:jc w:val="right"/>
              <w:rPr>
                <w:rFonts w:ascii="Times New Roman" w:hAnsi="Times New Roman" w:cs="Times New Roman" w:eastAsia="Times New Roman" w:hint="default"/>
                <w:sz w:val="20"/>
                <w:szCs w:val="20"/>
              </w:rPr>
            </w:pPr>
            <w:r>
              <w:rPr>
                <w:rFonts w:ascii="Times New Roman"/>
                <w:spacing w:val="-1"/>
                <w:sz w:val="20"/>
              </w:rPr>
              <w:t>18.18%</w:t>
            </w:r>
          </w:p>
        </w:tc>
      </w:tr>
      <w:tr>
        <w:trPr>
          <w:trHeight w:val="328" w:hRule="exact"/>
        </w:trPr>
        <w:tc>
          <w:tcPr>
            <w:tcW w:w="81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4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21</w:t>
            </w:r>
          </w:p>
        </w:tc>
        <w:tc>
          <w:tcPr>
            <w:tcW w:w="83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20</w:t>
            </w:r>
          </w:p>
        </w:tc>
        <w:tc>
          <w:tcPr>
            <w:tcW w:w="83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13</w:t>
            </w:r>
          </w:p>
        </w:tc>
        <w:tc>
          <w:tcPr>
            <w:tcW w:w="833"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12</w:t>
            </w:r>
          </w:p>
        </w:tc>
        <w:tc>
          <w:tcPr>
            <w:tcW w:w="90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100%</w:t>
            </w:r>
          </w:p>
        </w:tc>
        <w:tc>
          <w:tcPr>
            <w:tcW w:w="802"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z w:val="20"/>
              </w:rPr>
              <w:t>11</w:t>
            </w:r>
          </w:p>
        </w:tc>
        <w:tc>
          <w:tcPr>
            <w:tcW w:w="847"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99"/>
              <w:jc w:val="right"/>
              <w:rPr>
                <w:rFonts w:ascii="宋体" w:hAnsi="宋体" w:cs="宋体" w:eastAsia="宋体" w:hint="default"/>
                <w:sz w:val="20"/>
                <w:szCs w:val="20"/>
              </w:rPr>
            </w:pPr>
            <w:r>
              <w:rPr>
                <w:rFonts w:ascii="宋体"/>
                <w:spacing w:val="-1"/>
                <w:sz w:val="20"/>
              </w:rPr>
              <w:t>100%</w:t>
            </w:r>
          </w:p>
        </w:tc>
      </w:tr>
    </w:tbl>
    <w:p>
      <w:pPr>
        <w:spacing w:line="240" w:lineRule="auto" w:before="2"/>
        <w:rPr>
          <w:rFonts w:ascii="宋体" w:hAnsi="宋体" w:cs="宋体" w:eastAsia="宋体" w:hint="default"/>
          <w:sz w:val="16"/>
          <w:szCs w:val="16"/>
        </w:rPr>
      </w:pPr>
    </w:p>
    <w:p>
      <w:pPr>
        <w:tabs>
          <w:tab w:pos="7683" w:val="left" w:leader="none"/>
        </w:tabs>
        <w:spacing w:before="26"/>
        <w:ind w:left="724" w:right="0" w:firstLine="0"/>
        <w:jc w:val="left"/>
        <w:rPr>
          <w:rFonts w:ascii="宋体" w:hAnsi="宋体" w:cs="宋体" w:eastAsia="宋体" w:hint="default"/>
          <w:sz w:val="21"/>
          <w:szCs w:val="21"/>
        </w:rPr>
      </w:pPr>
      <w:r>
        <w:rPr/>
        <w:pict>
          <v:group style="position:absolute;margin-left:77.879997pt;margin-top:-102.224075pt;width:39.5pt;height:27.5pt;mso-position-horizontal-relative:page;mso-position-vertical-relative:paragraph;z-index:-671560" coordorigin="1558,-2044" coordsize="790,550">
            <v:shape style="position:absolute;left:1558;top:-2044;width:790;height:550" coordorigin="1558,-2044" coordsize="790,550" path="m1558,-2044l2347,-1495e" filled="false" stroked="true" strokeweight=".48pt" strokecolor="#000000">
              <v:path arrowok="t"/>
            </v:shape>
            <w10:wrap type="none"/>
          </v:group>
        </w:pict>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）连锁店市场分布情况</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5"/>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768"/>
        <w:gridCol w:w="1769"/>
        <w:gridCol w:w="1766"/>
        <w:gridCol w:w="1768"/>
        <w:gridCol w:w="1766"/>
      </w:tblGrid>
      <w:tr>
        <w:trPr>
          <w:trHeight w:val="331" w:hRule="exact"/>
        </w:trPr>
        <w:tc>
          <w:tcPr>
            <w:tcW w:w="1768" w:type="dxa"/>
            <w:vMerge w:val="restart"/>
            <w:tcBorders>
              <w:top w:val="single" w:sz="12" w:space="0" w:color="000000"/>
              <w:left w:val="single" w:sz="12" w:space="0" w:color="000000"/>
              <w:right w:val="single" w:sz="4" w:space="0" w:color="000000"/>
            </w:tcBorders>
          </w:tcPr>
          <w:p>
            <w:pPr>
              <w:pStyle w:val="TableParagraph"/>
              <w:spacing w:line="240" w:lineRule="auto" w:before="149"/>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353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c>
          <w:tcPr>
            <w:tcW w:w="3534"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r>
      <w:tr>
        <w:trPr>
          <w:trHeight w:val="340" w:hRule="exact"/>
        </w:trPr>
        <w:tc>
          <w:tcPr>
            <w:tcW w:w="1768" w:type="dxa"/>
            <w:vMerge/>
            <w:tcBorders>
              <w:left w:val="single" w:sz="12"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17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left="9"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40" w:hRule="exact"/>
        </w:trPr>
        <w:tc>
          <w:tcPr>
            <w:tcW w:w="17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8"/>
              <w:jc w:val="center"/>
              <w:rPr>
                <w:rFonts w:ascii="宋体" w:hAnsi="宋体" w:cs="宋体" w:eastAsia="宋体" w:hint="default"/>
                <w:sz w:val="20"/>
                <w:szCs w:val="20"/>
              </w:rPr>
            </w:pPr>
            <w:r>
              <w:rPr>
                <w:rFonts w:ascii="宋体" w:hAnsi="宋体" w:cs="宋体" w:eastAsia="宋体" w:hint="default"/>
                <w:sz w:val="20"/>
                <w:szCs w:val="20"/>
              </w:rPr>
              <w:t>一级市场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405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sz w:val="21"/>
              </w:rPr>
              <w:t>49.88%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344</w:t>
            </w:r>
          </w:p>
        </w:tc>
        <w:tc>
          <w:tcPr>
            <w:tcW w:w="17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left="569" w:right="0"/>
              <w:jc w:val="left"/>
              <w:rPr>
                <w:rFonts w:ascii="Times New Roman" w:hAnsi="Times New Roman" w:cs="Times New Roman" w:eastAsia="Times New Roman" w:hint="default"/>
                <w:sz w:val="20"/>
                <w:szCs w:val="20"/>
              </w:rPr>
            </w:pPr>
            <w:r>
              <w:rPr>
                <w:rFonts w:ascii="Times New Roman"/>
                <w:sz w:val="20"/>
              </w:rPr>
              <w:t>54.43%</w:t>
            </w:r>
          </w:p>
        </w:tc>
      </w:tr>
      <w:tr>
        <w:trPr>
          <w:trHeight w:val="341" w:hRule="exact"/>
        </w:trPr>
        <w:tc>
          <w:tcPr>
            <w:tcW w:w="17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8"/>
              <w:jc w:val="center"/>
              <w:rPr>
                <w:rFonts w:ascii="宋体" w:hAnsi="宋体" w:cs="宋体" w:eastAsia="宋体" w:hint="default"/>
                <w:sz w:val="20"/>
                <w:szCs w:val="20"/>
              </w:rPr>
            </w:pPr>
            <w:r>
              <w:rPr>
                <w:rFonts w:ascii="宋体" w:hAnsi="宋体" w:cs="宋体" w:eastAsia="宋体" w:hint="default"/>
                <w:sz w:val="20"/>
                <w:szCs w:val="20"/>
              </w:rPr>
              <w:t>二级市场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268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sz w:val="21"/>
              </w:rPr>
              <w:t>33.00%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196</w:t>
            </w:r>
          </w:p>
        </w:tc>
        <w:tc>
          <w:tcPr>
            <w:tcW w:w="17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left="569" w:right="0"/>
              <w:jc w:val="left"/>
              <w:rPr>
                <w:rFonts w:ascii="Times New Roman" w:hAnsi="Times New Roman" w:cs="Times New Roman" w:eastAsia="Times New Roman" w:hint="default"/>
                <w:sz w:val="20"/>
                <w:szCs w:val="20"/>
              </w:rPr>
            </w:pPr>
            <w:r>
              <w:rPr>
                <w:rFonts w:ascii="Times New Roman"/>
                <w:sz w:val="20"/>
              </w:rPr>
              <w:t>31.01%</w:t>
            </w:r>
          </w:p>
        </w:tc>
      </w:tr>
      <w:tr>
        <w:trPr>
          <w:trHeight w:val="340" w:hRule="exact"/>
        </w:trPr>
        <w:tc>
          <w:tcPr>
            <w:tcW w:w="17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8"/>
              <w:jc w:val="center"/>
              <w:rPr>
                <w:rFonts w:ascii="宋体" w:hAnsi="宋体" w:cs="宋体" w:eastAsia="宋体" w:hint="default"/>
                <w:sz w:val="20"/>
                <w:szCs w:val="20"/>
              </w:rPr>
            </w:pPr>
            <w:r>
              <w:rPr>
                <w:rFonts w:ascii="宋体" w:hAnsi="宋体" w:cs="宋体" w:eastAsia="宋体" w:hint="default"/>
                <w:sz w:val="20"/>
                <w:szCs w:val="20"/>
              </w:rPr>
              <w:t>三级市场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139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sz w:val="21"/>
              </w:rPr>
              <w:t>17.12%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sz w:val="20"/>
              </w:rPr>
              <w:t>92</w:t>
            </w:r>
          </w:p>
        </w:tc>
        <w:tc>
          <w:tcPr>
            <w:tcW w:w="17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left="569" w:right="0"/>
              <w:jc w:val="left"/>
              <w:rPr>
                <w:rFonts w:ascii="Times New Roman" w:hAnsi="Times New Roman" w:cs="Times New Roman" w:eastAsia="Times New Roman" w:hint="default"/>
                <w:sz w:val="20"/>
                <w:szCs w:val="20"/>
              </w:rPr>
            </w:pPr>
            <w:r>
              <w:rPr>
                <w:rFonts w:ascii="Times New Roman"/>
                <w:sz w:val="20"/>
              </w:rPr>
              <w:t>14.56%</w:t>
            </w:r>
          </w:p>
        </w:tc>
      </w:tr>
      <w:tr>
        <w:trPr>
          <w:trHeight w:val="350" w:hRule="exact"/>
        </w:trPr>
        <w:tc>
          <w:tcPr>
            <w:tcW w:w="17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8"/>
              <w:jc w:val="center"/>
              <w:rPr>
                <w:rFonts w:ascii="宋体" w:hAnsi="宋体" w:cs="宋体" w:eastAsia="宋体" w:hint="default"/>
                <w:sz w:val="20"/>
                <w:szCs w:val="20"/>
              </w:rPr>
            </w:pPr>
            <w:r>
              <w:rPr>
                <w:rFonts w:ascii="宋体" w:hAnsi="宋体" w:cs="宋体" w:eastAsia="宋体" w:hint="default"/>
                <w:sz w:val="20"/>
                <w:szCs w:val="20"/>
              </w:rPr>
              <w:t>合计</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812</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100.00%</w:t>
            </w:r>
          </w:p>
        </w:tc>
        <w:tc>
          <w:tcPr>
            <w:tcW w:w="1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632</w:t>
            </w:r>
          </w:p>
        </w:tc>
        <w:tc>
          <w:tcPr>
            <w:tcW w:w="17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7"/>
              <w:ind w:left="519" w:right="0"/>
              <w:jc w:val="left"/>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left"/>
        <w:rPr>
          <w:rFonts w:ascii="Times New Roman" w:hAnsi="Times New Roman" w:cs="Times New Roman" w:eastAsia="Times New Roman" w:hint="default"/>
          <w:sz w:val="20"/>
          <w:szCs w:val="20"/>
        </w:rPr>
        <w:sectPr>
          <w:pgSz w:w="11910" w:h="16840"/>
          <w:pgMar w:header="826" w:footer="900" w:top="1100" w:bottom="1100" w:left="1400" w:right="1360"/>
        </w:sectPr>
      </w:pPr>
    </w:p>
    <w:p>
      <w:pPr>
        <w:pStyle w:val="BodyText"/>
        <w:spacing w:line="240" w:lineRule="auto" w:before="106"/>
        <w:ind w:left="704" w:right="2568"/>
        <w:jc w:val="left"/>
      </w:pPr>
      <w:r>
        <w:rPr/>
        <w:t>（三</w:t>
      </w:r>
      <w:r>
        <w:rPr>
          <w:spacing w:val="-120"/>
        </w:rPr>
        <w:t>）</w:t>
      </w:r>
      <w:r>
        <w:rPr/>
        <w:t>、连锁店经营质量分析</w:t>
      </w:r>
    </w:p>
    <w:p>
      <w:pPr>
        <w:pStyle w:val="BodyText"/>
        <w:spacing w:line="345" w:lineRule="auto" w:before="154"/>
        <w:ind w:left="223" w:right="0" w:firstLine="480"/>
        <w:jc w:val="left"/>
      </w:pPr>
      <w:r>
        <w:rPr/>
        <w:t>报告期内，主要在第四季度，公司可比店面（指</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日当日及之前 </w:t>
      </w:r>
      <w:r>
        <w:rPr>
          <w:spacing w:val="-4"/>
        </w:rPr>
        <w:t>开设的店面）销售收入出现阶段性下降，全年同比下降</w:t>
      </w:r>
      <w:r>
        <w:rPr>
          <w:spacing w:val="-53"/>
        </w:rPr>
        <w:t> </w:t>
      </w:r>
      <w:r>
        <w:rPr>
          <w:rFonts w:ascii="Times New Roman" w:hAnsi="Times New Roman" w:cs="Times New Roman" w:eastAsia="Times New Roman" w:hint="default"/>
          <w:spacing w:val="-3"/>
        </w:rPr>
        <w:t>5.72%</w:t>
      </w:r>
      <w:r>
        <w:rPr>
          <w:spacing w:val="-3"/>
        </w:rPr>
        <w:t>。这与全年宏观经济、</w:t>
      </w:r>
      <w:r>
        <w:rPr>
          <w:spacing w:val="-115"/>
        </w:rPr>
        <w:t> </w:t>
      </w:r>
      <w:r>
        <w:rPr>
          <w:spacing w:val="-115"/>
        </w:rPr>
      </w:r>
      <w:r>
        <w:rPr/>
        <w:t>行业状况、自然灾害有一定的关系，本年度的节假日调整也带来了一定的影响，尤</w:t>
      </w:r>
      <w:r>
        <w:rPr/>
        <w:t> 其是年初年末两个元旦假期的调整。</w:t>
      </w:r>
    </w:p>
    <w:p>
      <w:pPr>
        <w:pStyle w:val="BodyText"/>
        <w:spacing w:line="357" w:lineRule="auto" w:before="48"/>
        <w:ind w:left="223" w:right="109" w:firstLine="480"/>
        <w:jc w:val="left"/>
      </w:pPr>
      <w:r>
        <w:rPr/>
        <w:t>但公司同时也看到，一些地区、一些店面通过较好的管理提升，同比店面增长 </w:t>
      </w:r>
      <w:r>
        <w:rPr>
          <w:spacing w:val="-4"/>
        </w:rPr>
        <w:t>仍然较好，这说明公司的大部分店面具有发展空间，通过团队磨合、人员经验积累、</w:t>
      </w:r>
      <w:r>
        <w:rPr>
          <w:spacing w:val="-113"/>
        </w:rPr>
        <w:t> </w:t>
      </w:r>
      <w:r>
        <w:rPr>
          <w:spacing w:val="-113"/>
        </w:rPr>
      </w:r>
      <w:r>
        <w:rPr/>
        <w:t>精细化管理的深入，店面绩效还可以进一步提升，对公司而言，这是一个长期的、 持续的系统工程。</w:t>
      </w:r>
    </w:p>
    <w:p>
      <w:pPr>
        <w:pStyle w:val="BodyText"/>
        <w:spacing w:line="240" w:lineRule="auto" w:before="36"/>
        <w:ind w:left="703" w:right="2568"/>
        <w:jc w:val="left"/>
      </w:pPr>
      <w:r>
        <w:rPr/>
        <w:t>公司可比店面按店面类型及市场类型分布经营质量情况</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950"/>
        <w:gridCol w:w="1846"/>
        <w:gridCol w:w="1960"/>
        <w:gridCol w:w="2082"/>
      </w:tblGrid>
      <w:tr>
        <w:trPr>
          <w:trHeight w:val="444" w:hRule="exact"/>
        </w:trPr>
        <w:tc>
          <w:tcPr>
            <w:tcW w:w="295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20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社区店</w:t>
            </w:r>
          </w:p>
        </w:tc>
      </w:tr>
      <w:tr>
        <w:trPr>
          <w:trHeight w:val="455" w:hRule="exact"/>
        </w:trPr>
        <w:tc>
          <w:tcPr>
            <w:tcW w:w="295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-5.39%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-7.27%</w:t>
            </w:r>
          </w:p>
        </w:tc>
        <w:tc>
          <w:tcPr>
            <w:tcW w:w="2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left="9" w:right="0"/>
              <w:jc w:val="center"/>
              <w:rPr>
                <w:rFonts w:ascii="Times New Roman" w:hAnsi="Times New Roman" w:cs="Times New Roman" w:eastAsia="Times New Roman" w:hint="default"/>
                <w:sz w:val="21"/>
                <w:szCs w:val="21"/>
              </w:rPr>
            </w:pPr>
            <w:r>
              <w:rPr>
                <w:rFonts w:ascii="Times New Roman"/>
                <w:sz w:val="21"/>
              </w:rPr>
              <w:t>-4.57%</w:t>
            </w:r>
          </w:p>
        </w:tc>
      </w:tr>
      <w:tr>
        <w:trPr>
          <w:trHeight w:val="454" w:hRule="exact"/>
        </w:trPr>
        <w:tc>
          <w:tcPr>
            <w:tcW w:w="295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21"/>
                <w:szCs w:val="21"/>
              </w:rPr>
            </w:pPr>
            <w:r>
              <w:rPr>
                <w:rFonts w:ascii="宋体" w:hAnsi="宋体" w:cs="宋体" w:eastAsia="宋体" w:hint="default"/>
                <w:sz w:val="21"/>
                <w:szCs w:val="21"/>
              </w:rPr>
              <w:t>市场级别</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2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21"/>
                <w:szCs w:val="21"/>
              </w:rPr>
            </w:pPr>
            <w:r>
              <w:rPr>
                <w:rFonts w:ascii="宋体" w:hAnsi="宋体" w:cs="宋体" w:eastAsia="宋体" w:hint="default"/>
                <w:sz w:val="21"/>
                <w:szCs w:val="21"/>
              </w:rPr>
              <w:t>三级市场</w:t>
            </w:r>
          </w:p>
        </w:tc>
      </w:tr>
      <w:tr>
        <w:trPr>
          <w:trHeight w:val="464" w:hRule="exact"/>
        </w:trPr>
        <w:tc>
          <w:tcPr>
            <w:tcW w:w="295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7"/>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-6.02%</w:t>
            </w:r>
          </w:p>
        </w:tc>
        <w:tc>
          <w:tcPr>
            <w:tcW w:w="1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-5.62%</w:t>
            </w:r>
          </w:p>
        </w:tc>
        <w:tc>
          <w:tcPr>
            <w:tcW w:w="20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left="9" w:right="0"/>
              <w:jc w:val="center"/>
              <w:rPr>
                <w:rFonts w:ascii="Times New Roman" w:hAnsi="Times New Roman" w:cs="Times New Roman" w:eastAsia="Times New Roman" w:hint="default"/>
                <w:sz w:val="21"/>
                <w:szCs w:val="21"/>
              </w:rPr>
            </w:pPr>
            <w:r>
              <w:rPr>
                <w:rFonts w:ascii="Times New Roman"/>
                <w:sz w:val="21"/>
              </w:rPr>
              <w:t>-3.41%</w:t>
            </w:r>
          </w:p>
        </w:tc>
      </w:tr>
    </w:tbl>
    <w:p>
      <w:pPr>
        <w:spacing w:line="240" w:lineRule="auto" w:before="9"/>
        <w:rPr>
          <w:rFonts w:ascii="宋体" w:hAnsi="宋体" w:cs="宋体" w:eastAsia="宋体" w:hint="default"/>
          <w:sz w:val="26"/>
          <w:szCs w:val="26"/>
        </w:rPr>
      </w:pPr>
    </w:p>
    <w:p>
      <w:pPr>
        <w:pStyle w:val="BodyText"/>
        <w:spacing w:line="240" w:lineRule="auto" w:before="26"/>
        <w:ind w:left="704" w:right="2568"/>
        <w:jc w:val="left"/>
      </w:pPr>
      <w:r>
        <w:rPr/>
        <w:t>（四）经营成果及原因分析</w:t>
      </w:r>
    </w:p>
    <w:p>
      <w:pPr>
        <w:tabs>
          <w:tab w:pos="7482" w:val="left" w:leader="none"/>
        </w:tabs>
        <w:spacing w:before="154"/>
        <w:ind w:left="945"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、经营结果及原因综述</w:t>
        <w:tab/>
      </w:r>
      <w:r>
        <w:rPr>
          <w:rFonts w:ascii="宋体" w:hAnsi="宋体" w:cs="宋体" w:eastAsia="宋体" w:hint="default"/>
          <w:spacing w:val="-1"/>
          <w:sz w:val="21"/>
          <w:szCs w:val="21"/>
        </w:rPr>
        <w:t>（单位：千元）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29"/>
        <w:gridCol w:w="1552"/>
        <w:gridCol w:w="1553"/>
        <w:gridCol w:w="1552"/>
        <w:gridCol w:w="1552"/>
      </w:tblGrid>
      <w:tr>
        <w:trPr>
          <w:trHeight w:val="484" w:hRule="exact"/>
        </w:trPr>
        <w:tc>
          <w:tcPr>
            <w:tcW w:w="26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5"/>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left="246" w:right="0"/>
              <w:jc w:val="left"/>
              <w:rPr>
                <w:rFonts w:ascii="宋体" w:hAnsi="宋体" w:cs="宋体" w:eastAsia="宋体" w:hint="default"/>
                <w:sz w:val="18"/>
                <w:szCs w:val="18"/>
              </w:rPr>
            </w:pPr>
            <w:r>
              <w:rPr>
                <w:rFonts w:ascii="宋体" w:hAnsi="宋体" w:cs="宋体" w:eastAsia="宋体" w:hint="default"/>
                <w:sz w:val="18"/>
                <w:szCs w:val="18"/>
              </w:rPr>
              <w:t>增减率（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5"/>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z w:val="18"/>
              </w:rPr>
              <w:t>49,896,709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40,152,371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24.27%</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sz w:val="18"/>
              </w:rPr>
              <w:t>26,161,252</w:t>
            </w:r>
          </w:p>
        </w:tc>
      </w:tr>
      <w:tr>
        <w:trPr>
          <w:trHeight w:val="341"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41,334,756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34,346,740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20.35%</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Times New Roman" w:hAnsi="Times New Roman" w:cs="Times New Roman" w:eastAsia="Times New Roman" w:hint="default"/>
                <w:sz w:val="18"/>
                <w:szCs w:val="18"/>
              </w:rPr>
            </w:pPr>
            <w:r>
              <w:rPr>
                <w:rFonts w:ascii="Times New Roman"/>
                <w:sz w:val="18"/>
              </w:rPr>
              <w:t>22,268,806</w:t>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4,780,468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2,985,538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60.12%</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sz w:val="18"/>
              </w:rPr>
              <w:t>2,207,862</w:t>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z w:val="18"/>
              </w:rPr>
              <w:t>784,521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493,581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58.94%</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sz w:val="18"/>
              </w:rPr>
              <w:t>392,975</w:t>
            </w:r>
          </w:p>
        </w:tc>
      </w:tr>
      <w:tr>
        <w:trPr>
          <w:trHeight w:val="341"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财务收入—净额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z w:val="18"/>
              </w:rPr>
              <w:t>223,290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88,162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153.27%</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w w:val="95"/>
                <w:sz w:val="18"/>
              </w:rPr>
              <w:t>-23,581</w:t>
            </w:r>
            <w:r>
              <w:rPr>
                <w:rFonts w:ascii="Times New Roman"/>
                <w:sz w:val="18"/>
              </w:rPr>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2,964,374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2,250,060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31.75%</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sz w:val="18"/>
              </w:rPr>
              <w:t>1,147,162</w:t>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2,950,873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2,241,358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31.66%</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Times New Roman" w:hAnsi="Times New Roman" w:cs="Times New Roman" w:eastAsia="Times New Roman" w:hint="default"/>
                <w:sz w:val="18"/>
                <w:szCs w:val="18"/>
              </w:rPr>
            </w:pPr>
            <w:r>
              <w:rPr>
                <w:rFonts w:ascii="Times New Roman"/>
                <w:sz w:val="18"/>
              </w:rPr>
              <w:t>1,147,478</w:t>
            </w:r>
          </w:p>
        </w:tc>
      </w:tr>
      <w:tr>
        <w:trPr>
          <w:trHeight w:val="341"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2,170,189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1,465,426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48.09%</w:t>
            </w:r>
            <w:r>
              <w:rPr>
                <w:rFonts w:ascii="Times New Roman"/>
                <w:sz w:val="18"/>
              </w:rPr>
            </w:r>
          </w:p>
        </w:tc>
        <w:tc>
          <w:tcPr>
            <w:tcW w:w="15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Times New Roman" w:hAnsi="Times New Roman" w:cs="Times New Roman" w:eastAsia="Times New Roman" w:hint="default"/>
                <w:sz w:val="18"/>
                <w:szCs w:val="18"/>
              </w:rPr>
            </w:pPr>
            <w:r>
              <w:rPr>
                <w:rFonts w:ascii="Times New Roman"/>
                <w:sz w:val="18"/>
              </w:rPr>
              <w:t>757,636</w:t>
            </w:r>
          </w:p>
        </w:tc>
      </w:tr>
      <w:tr>
        <w:trPr>
          <w:trHeight w:val="350" w:hRule="exact"/>
        </w:trPr>
        <w:tc>
          <w:tcPr>
            <w:tcW w:w="26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3,819,141</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3,496,476</w:t>
            </w: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3"/>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c>
          <w:tcPr>
            <w:tcW w:w="155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2"/>
              <w:jc w:val="right"/>
              <w:rPr>
                <w:rFonts w:ascii="Times New Roman" w:hAnsi="Times New Roman" w:cs="Times New Roman" w:eastAsia="Times New Roman" w:hint="default"/>
                <w:sz w:val="18"/>
                <w:szCs w:val="18"/>
              </w:rPr>
            </w:pPr>
            <w:r>
              <w:rPr>
                <w:rFonts w:ascii="Times New Roman"/>
                <w:sz w:val="18"/>
              </w:rPr>
              <w:t>150,751</w:t>
            </w:r>
          </w:p>
        </w:tc>
      </w:tr>
    </w:tbl>
    <w:p>
      <w:pPr>
        <w:spacing w:line="240" w:lineRule="auto" w:before="9"/>
        <w:rPr>
          <w:rFonts w:ascii="宋体" w:hAnsi="宋体" w:cs="宋体" w:eastAsia="宋体" w:hint="default"/>
          <w:sz w:val="26"/>
          <w:szCs w:val="26"/>
        </w:rPr>
      </w:pPr>
    </w:p>
    <w:p>
      <w:pPr>
        <w:pStyle w:val="BodyText"/>
        <w:spacing w:line="338" w:lineRule="auto" w:before="26"/>
        <w:ind w:left="703" w:right="235"/>
        <w:jc w:val="left"/>
      </w:pPr>
      <w:r>
        <w:rPr/>
        <w:t>（</w:t>
      </w:r>
      <w:r>
        <w:rPr>
          <w:rFonts w:ascii="Times New Roman" w:hAnsi="Times New Roman" w:cs="Times New Roman" w:eastAsia="Times New Roman" w:hint="default"/>
        </w:rPr>
        <w:t>1</w:t>
      </w:r>
      <w:r>
        <w:rPr/>
        <w:t>）营业收入变化情况 </w:t>
      </w:r>
      <w:r>
        <w:rPr>
          <w:spacing w:val="-1"/>
        </w:rPr>
        <w:t>报告期内，公司连锁网络规模不断扩大，终端销售和服务能力进一步增强，实</w:t>
      </w:r>
    </w:p>
    <w:p>
      <w:pPr>
        <w:pStyle w:val="BodyText"/>
        <w:spacing w:line="240" w:lineRule="auto" w:before="55"/>
        <w:ind w:left="223" w:right="0"/>
        <w:jc w:val="left"/>
      </w:pPr>
      <w:r>
        <w:rPr/>
        <w:t>现营业总收入比上年同期增长</w:t>
      </w:r>
      <w:r>
        <w:rPr>
          <w:spacing w:val="-60"/>
        </w:rPr>
        <w:t> </w:t>
      </w:r>
      <w:r>
        <w:rPr>
          <w:rFonts w:ascii="Times New Roman" w:hAnsi="Times New Roman" w:cs="Times New Roman" w:eastAsia="Times New Roman" w:hint="default"/>
        </w:rPr>
        <w:t>24.27%</w:t>
      </w:r>
      <w:r>
        <w:rPr/>
        <w:t>，其中主营业务收入同比增长</w:t>
      </w:r>
      <w:r>
        <w:rPr>
          <w:spacing w:val="-60"/>
        </w:rPr>
        <w:t> </w:t>
      </w:r>
      <w:r>
        <w:rPr>
          <w:rFonts w:ascii="Times New Roman" w:hAnsi="Times New Roman" w:cs="Times New Roman" w:eastAsia="Times New Roman" w:hint="default"/>
        </w:rPr>
        <w:t>24.91%</w:t>
      </w:r>
      <w:r>
        <w:rPr/>
        <w:t>。</w:t>
      </w:r>
    </w:p>
    <w:p>
      <w:pPr>
        <w:spacing w:after="0" w:line="240" w:lineRule="auto"/>
        <w:jc w:val="left"/>
        <w:sectPr>
          <w:pgSz w:w="11910" w:h="16840"/>
          <w:pgMar w:header="826" w:footer="900" w:top="1100" w:bottom="1100" w:left="1420" w:right="1400"/>
        </w:sectPr>
      </w:pPr>
    </w:p>
    <w:p>
      <w:pPr>
        <w:pStyle w:val="BodyText"/>
        <w:spacing w:line="240" w:lineRule="auto" w:before="106"/>
        <w:ind w:left="724" w:right="153"/>
        <w:jc w:val="left"/>
      </w:pPr>
      <w:r>
        <w:rPr/>
        <w:t>（</w:t>
      </w:r>
      <w:r>
        <w:rPr>
          <w:rFonts w:ascii="Times New Roman" w:hAnsi="Times New Roman" w:cs="Times New Roman" w:eastAsia="Times New Roman" w:hint="default"/>
        </w:rPr>
        <w:t>2</w:t>
      </w:r>
      <w:r>
        <w:rPr/>
        <w:t>） 毛利率变化情况</w:t>
      </w:r>
    </w:p>
    <w:p>
      <w:pPr>
        <w:spacing w:line="240" w:lineRule="auto" w:before="5"/>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629"/>
        <w:gridCol w:w="1552"/>
        <w:gridCol w:w="1553"/>
        <w:gridCol w:w="1757"/>
        <w:gridCol w:w="1346"/>
      </w:tblGrid>
      <w:tr>
        <w:trPr>
          <w:trHeight w:val="440" w:hRule="exact"/>
        </w:trPr>
        <w:tc>
          <w:tcPr>
            <w:tcW w:w="26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增减变化</w:t>
            </w:r>
          </w:p>
        </w:tc>
        <w:tc>
          <w:tcPr>
            <w:tcW w:w="134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41"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主营业务毛利率（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14.53%</w:t>
            </w:r>
            <w:r>
              <w:rPr>
                <w:rFonts w:ascii="Times New Roman"/>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pacing w:val="-2"/>
                <w:sz w:val="18"/>
              </w:rPr>
              <w:t>11.25%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0"/>
              <w:jc w:val="right"/>
              <w:rPr>
                <w:rFonts w:ascii="Times New Roman" w:hAnsi="Times New Roman" w:cs="Times New Roman" w:eastAsia="Times New Roman" w:hint="default"/>
                <w:sz w:val="18"/>
                <w:szCs w:val="18"/>
              </w:rPr>
            </w:pPr>
            <w:r>
              <w:rPr>
                <w:rFonts w:ascii="Times New Roman"/>
                <w:w w:val="95"/>
                <w:sz w:val="18"/>
              </w:rPr>
              <w:t>10.68%</w:t>
            </w:r>
            <w:r>
              <w:rPr>
                <w:rFonts w:ascii="Times New Roman"/>
                <w:sz w:val="18"/>
              </w:rPr>
            </w:r>
          </w:p>
        </w:tc>
      </w:tr>
      <w:tr>
        <w:trPr>
          <w:trHeight w:val="340" w:hRule="exact"/>
        </w:trPr>
        <w:tc>
          <w:tcPr>
            <w:tcW w:w="2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8"/>
                <w:szCs w:val="18"/>
              </w:rPr>
            </w:pPr>
            <w:r>
              <w:rPr>
                <w:rFonts w:ascii="宋体" w:hAnsi="宋体" w:cs="宋体" w:eastAsia="宋体" w:hint="default"/>
                <w:sz w:val="18"/>
                <w:szCs w:val="18"/>
              </w:rPr>
              <w:t>其他业务率（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w w:val="95"/>
                <w:sz w:val="18"/>
              </w:rPr>
              <w:t>3.76%</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0"/>
              <w:jc w:val="right"/>
              <w:rPr>
                <w:rFonts w:ascii="Times New Roman" w:hAnsi="Times New Roman" w:cs="Times New Roman" w:eastAsia="Times New Roman" w:hint="default"/>
                <w:sz w:val="18"/>
                <w:szCs w:val="18"/>
              </w:rPr>
            </w:pPr>
            <w:r>
              <w:rPr>
                <w:rFonts w:ascii="Times New Roman"/>
                <w:w w:val="95"/>
                <w:sz w:val="18"/>
              </w:rPr>
              <w:t>4.94%</w:t>
            </w:r>
            <w:r>
              <w:rPr>
                <w:rFonts w:ascii="Times New Roman"/>
                <w:sz w:val="18"/>
              </w:rPr>
            </w:r>
          </w:p>
        </w:tc>
      </w:tr>
      <w:tr>
        <w:trPr>
          <w:trHeight w:val="350" w:hRule="exact"/>
        </w:trPr>
        <w:tc>
          <w:tcPr>
            <w:tcW w:w="26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综合毛利率（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17.72%</w:t>
            </w:r>
            <w:r>
              <w:rPr>
                <w:rFonts w:ascii="Times New Roman"/>
                <w:sz w:val="18"/>
              </w:rPr>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w w:val="95"/>
                <w:sz w:val="18"/>
              </w:rPr>
              <w:t>15.01%</w:t>
            </w:r>
            <w:r>
              <w:rPr>
                <w:rFonts w:ascii="Times New Roman"/>
                <w:sz w:val="18"/>
              </w:rPr>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0"/>
              <w:jc w:val="right"/>
              <w:rPr>
                <w:rFonts w:ascii="Times New Roman" w:hAnsi="Times New Roman" w:cs="Times New Roman" w:eastAsia="Times New Roman" w:hint="default"/>
                <w:sz w:val="18"/>
                <w:szCs w:val="18"/>
              </w:rPr>
            </w:pPr>
            <w:r>
              <w:rPr>
                <w:rFonts w:ascii="Times New Roman"/>
                <w:w w:val="95"/>
                <w:sz w:val="18"/>
              </w:rPr>
              <w:t>15.62%</w:t>
            </w:r>
            <w:r>
              <w:rPr>
                <w:rFonts w:ascii="Times New Roman"/>
                <w:sz w:val="18"/>
              </w:rPr>
            </w:r>
          </w:p>
        </w:tc>
      </w:tr>
    </w:tbl>
    <w:p>
      <w:pPr>
        <w:pStyle w:val="BodyText"/>
        <w:spacing w:line="293" w:lineRule="exact"/>
        <w:ind w:left="724" w:right="153"/>
        <w:jc w:val="left"/>
      </w:pPr>
      <w:r>
        <w:rPr/>
        <w:t>报告期内，公司实现主营业务毛利率同比增长</w:t>
      </w:r>
      <w:r>
        <w:rPr>
          <w:spacing w:val="-76"/>
        </w:rPr>
        <w:t> </w:t>
      </w:r>
      <w:r>
        <w:rPr>
          <w:rFonts w:ascii="Times New Roman" w:hAnsi="Times New Roman" w:cs="Times New Roman" w:eastAsia="Times New Roman" w:hint="default"/>
        </w:rPr>
        <w:t>3.28</w:t>
      </w:r>
      <w:r>
        <w:rPr>
          <w:rFonts w:ascii="Times New Roman" w:hAnsi="Times New Roman" w:cs="Times New Roman" w:eastAsia="Times New Roman" w:hint="default"/>
          <w:spacing w:val="-16"/>
        </w:rPr>
        <w:t> </w:t>
      </w:r>
      <w:r>
        <w:rPr>
          <w:spacing w:val="-4"/>
        </w:rPr>
        <w:t>个百分点，其他业务利润同</w:t>
      </w:r>
    </w:p>
    <w:p>
      <w:pPr>
        <w:pStyle w:val="BodyText"/>
        <w:spacing w:line="240" w:lineRule="auto" w:before="135"/>
        <w:ind w:left="244" w:right="153"/>
        <w:jc w:val="left"/>
      </w:pPr>
      <w:r>
        <w:rPr/>
        <w:t>比下降</w:t>
      </w:r>
      <w:r>
        <w:rPr>
          <w:spacing w:val="-60"/>
        </w:rPr>
        <w:t> </w:t>
      </w:r>
      <w:r>
        <w:rPr>
          <w:rFonts w:ascii="Times New Roman" w:hAnsi="Times New Roman" w:cs="Times New Roman" w:eastAsia="Times New Roman" w:hint="default"/>
        </w:rPr>
        <w:t>0.57 </w:t>
      </w:r>
      <w:r>
        <w:rPr/>
        <w:t>个百分点，综合毛利率同比增长</w:t>
      </w:r>
      <w:r>
        <w:rPr>
          <w:spacing w:val="-60"/>
        </w:rPr>
        <w:t> </w:t>
      </w:r>
      <w:r>
        <w:rPr>
          <w:rFonts w:ascii="Times New Roman" w:hAnsi="Times New Roman" w:cs="Times New Roman" w:eastAsia="Times New Roman" w:hint="default"/>
        </w:rPr>
        <w:t>2.71 </w:t>
      </w:r>
      <w:r>
        <w:rPr/>
        <w:t>个百分点，主要原因为：</w:t>
      </w:r>
    </w:p>
    <w:p>
      <w:pPr>
        <w:pStyle w:val="BodyText"/>
        <w:spacing w:line="350" w:lineRule="auto" w:before="135"/>
        <w:ind w:left="244" w:right="25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公司一直以来追求供应商与零售商的合作模式逐步简单化，以降低双方的</w:t>
      </w:r>
      <w:r>
        <w:rPr>
          <w:spacing w:val="3"/>
        </w:rPr>
        <w:t> </w:t>
      </w:r>
      <w:r>
        <w:rPr>
          <w:spacing w:val="-1"/>
        </w:rPr>
        <w:t>管理成本，提升供应链效率，尤其是在利润结构上要逐步转向进销差模式。报告期</w:t>
      </w:r>
      <w:r>
        <w:rPr>
          <w:spacing w:val="-102"/>
        </w:rPr>
        <w:t> </w:t>
      </w:r>
      <w:r>
        <w:rPr>
          <w:spacing w:val="-102"/>
        </w:rPr>
      </w:r>
      <w:r>
        <w:rPr>
          <w:spacing w:val="-1"/>
        </w:rPr>
        <w:t>内，公司更多的与供应商采用简单的进销差的结算模式，使得综合毛利率的组成结</w:t>
      </w:r>
      <w:r>
        <w:rPr>
          <w:spacing w:val="-104"/>
        </w:rPr>
        <w:t> </w:t>
      </w:r>
      <w:r>
        <w:rPr>
          <w:spacing w:val="-104"/>
        </w:rPr>
      </w:r>
      <w:r>
        <w:rPr/>
        <w:t>构较去年同期有所变化；</w:t>
      </w:r>
    </w:p>
    <w:p>
      <w:pPr>
        <w:pStyle w:val="BodyText"/>
        <w:spacing w:line="338" w:lineRule="auto" w:before="43"/>
        <w:ind w:left="243" w:right="128" w:firstLine="480"/>
        <w:jc w:val="left"/>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spacing w:val="2"/>
        </w:rPr>
        <w:t>随着公司销售规模的不断扩大，公司与供应商合作的规模效益对于双方都</w:t>
      </w:r>
      <w:r>
        <w:rPr>
          <w:spacing w:val="3"/>
        </w:rPr>
        <w:t> </w:t>
      </w:r>
      <w:r>
        <w:rPr>
          <w:spacing w:val="-8"/>
        </w:rPr>
        <w:t>进一步体现，采购合同毛利水平随之提升；同时，报告期内，公司进一步推进</w:t>
      </w:r>
      <w:r>
        <w:rPr>
          <w:spacing w:val="-48"/>
        </w:rPr>
        <w:t> </w:t>
      </w:r>
      <w:r>
        <w:rPr>
          <w:rFonts w:ascii="Times New Roman" w:hAnsi="Times New Roman" w:cs="Times New Roman" w:eastAsia="Times New Roman" w:hint="default"/>
        </w:rPr>
        <w:t>OEM</w:t>
      </w:r>
      <w:r>
        <w:rPr/>
        <w:t>、</w:t>
      </w:r>
      <w:r>
        <w:rPr>
          <w:spacing w:val="-118"/>
        </w:rPr>
        <w:t> </w:t>
      </w:r>
      <w:r>
        <w:rPr>
          <w:rFonts w:ascii="Times New Roman" w:hAnsi="Times New Roman" w:cs="Times New Roman" w:eastAsia="Times New Roman" w:hint="default"/>
        </w:rPr>
        <w:t>ODM</w:t>
      </w:r>
      <w:r>
        <w:rPr/>
        <w:t>、定制、包销等采购手段，推动公司毛利率水平稳步提升；</w:t>
      </w:r>
    </w:p>
    <w:p>
      <w:pPr>
        <w:pStyle w:val="BodyText"/>
        <w:spacing w:line="338" w:lineRule="auto" w:before="27"/>
        <w:ind w:left="244" w:right="257" w:firstLine="480"/>
        <w:jc w:val="both"/>
      </w:pPr>
      <w:r>
        <w:rPr>
          <w:rFonts w:ascii="Wingdings" w:hAnsi="Wingdings" w:cs="Wingdings" w:eastAsia="Wingdings" w:hint="default"/>
        </w:rPr>
        <w:t></w:t>
      </w:r>
      <w:r>
        <w:rPr>
          <w:rFonts w:ascii="Wingdings" w:hAnsi="Wingdings" w:cs="Wingdings" w:eastAsia="Wingdings" w:hint="default"/>
          <w:spacing w:val="-48"/>
        </w:rPr>
        <w:t></w:t>
      </w:r>
      <w:r>
        <w:rPr>
          <w:rFonts w:ascii="Times New Roman" w:hAnsi="Times New Roman" w:cs="Times New Roman" w:eastAsia="Times New Roman" w:hint="default"/>
          <w:spacing w:val="-48"/>
        </w:rPr>
      </w:r>
      <w:r>
        <w:rPr/>
        <w:t>随着公司</w:t>
      </w:r>
      <w:r>
        <w:rPr>
          <w:spacing w:val="-56"/>
        </w:rPr>
        <w:t> </w:t>
      </w:r>
      <w:r>
        <w:rPr>
          <w:rFonts w:ascii="Times New Roman" w:hAnsi="Times New Roman" w:cs="Times New Roman" w:eastAsia="Times New Roman" w:hint="default"/>
        </w:rPr>
        <w:t>3C</w:t>
      </w:r>
      <w:r>
        <w:rPr>
          <w:rFonts w:ascii="Times New Roman" w:hAnsi="Times New Roman" w:cs="Times New Roman" w:eastAsia="Times New Roman" w:hint="default"/>
          <w:spacing w:val="3"/>
        </w:rPr>
        <w:t> </w:t>
      </w:r>
      <w:r>
        <w:rPr>
          <w:spacing w:val="-3"/>
        </w:rPr>
        <w:t>类产品销售规模和占比的提升，以及公司对此类产品研究的不</w:t>
      </w:r>
      <w:r>
        <w:rPr/>
        <w:t> 断深入，公司</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类产品毛利率有所提升；</w:t>
      </w:r>
    </w:p>
    <w:p>
      <w:pPr>
        <w:pStyle w:val="BodyText"/>
        <w:spacing w:line="348" w:lineRule="auto" w:before="27"/>
        <w:ind w:left="244" w:right="257" w:firstLine="480"/>
        <w:jc w:val="both"/>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年底承接的加盟店纳入公司体系运营，零售业务的毛利水平高于 </w:t>
      </w:r>
      <w:r>
        <w:rPr>
          <w:spacing w:val="-1"/>
        </w:rPr>
        <w:t>向特许加盟商的销售业务，从而实现报告期内综合毛利率和主营业务毛利率相对去</w:t>
      </w:r>
      <w:r>
        <w:rPr>
          <w:spacing w:val="-104"/>
        </w:rPr>
        <w:t> </w:t>
      </w:r>
      <w:r>
        <w:rPr>
          <w:spacing w:val="-104"/>
        </w:rPr>
      </w:r>
      <w:r>
        <w:rPr/>
        <w:t>年同期有所上升。</w:t>
      </w:r>
    </w:p>
    <w:p>
      <w:pPr>
        <w:pStyle w:val="BodyText"/>
        <w:spacing w:line="240" w:lineRule="auto" w:before="46"/>
        <w:ind w:left="724" w:right="153"/>
        <w:jc w:val="left"/>
      </w:pPr>
      <w:r>
        <w:rPr/>
        <w:t>（</w:t>
      </w:r>
      <w:r>
        <w:rPr>
          <w:rFonts w:ascii="Times New Roman" w:hAnsi="Times New Roman" w:cs="Times New Roman" w:eastAsia="Times New Roman" w:hint="default"/>
        </w:rPr>
        <w:t>3</w:t>
      </w:r>
      <w:r>
        <w:rPr/>
        <w:t>）三项费用率变化情况：</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627"/>
        <w:gridCol w:w="1444"/>
        <w:gridCol w:w="1621"/>
        <w:gridCol w:w="1764"/>
        <w:gridCol w:w="1381"/>
      </w:tblGrid>
      <w:tr>
        <w:trPr>
          <w:trHeight w:val="348" w:hRule="exact"/>
        </w:trPr>
        <w:tc>
          <w:tcPr>
            <w:tcW w:w="2627"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4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1"/>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1"/>
              <w:ind w:left="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增减变化</w:t>
            </w:r>
          </w:p>
        </w:tc>
        <w:tc>
          <w:tcPr>
            <w:tcW w:w="1381"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1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0" w:hRule="exact"/>
        </w:trPr>
        <w:tc>
          <w:tcPr>
            <w:tcW w:w="262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18"/>
                <w:szCs w:val="18"/>
              </w:rPr>
            </w:pPr>
            <w:r>
              <w:rPr>
                <w:rFonts w:ascii="宋体" w:hAnsi="宋体" w:cs="宋体" w:eastAsia="宋体" w:hint="default"/>
                <w:sz w:val="18"/>
                <w:szCs w:val="18"/>
              </w:rPr>
              <w:t>销售费用率</w:t>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9.90%</w:t>
            </w:r>
            <w:r>
              <w:rPr>
                <w:rFonts w:ascii="Times New Roman"/>
                <w:sz w:val="18"/>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7.72%</w:t>
            </w:r>
            <w:r>
              <w:rPr>
                <w:rFonts w:ascii="Times New Roman"/>
                <w:sz w:val="18"/>
              </w:rPr>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8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3"/>
              <w:ind w:right="83"/>
              <w:jc w:val="right"/>
              <w:rPr>
                <w:rFonts w:ascii="Times New Roman" w:hAnsi="Times New Roman" w:cs="Times New Roman" w:eastAsia="Times New Roman" w:hint="default"/>
                <w:sz w:val="18"/>
                <w:szCs w:val="18"/>
              </w:rPr>
            </w:pPr>
            <w:r>
              <w:rPr>
                <w:rFonts w:ascii="Times New Roman"/>
                <w:w w:val="95"/>
                <w:sz w:val="18"/>
              </w:rPr>
              <w:t>8.86%</w:t>
            </w:r>
            <w:r>
              <w:rPr>
                <w:rFonts w:ascii="Times New Roman"/>
                <w:sz w:val="18"/>
              </w:rPr>
            </w:r>
          </w:p>
        </w:tc>
      </w:tr>
      <w:tr>
        <w:trPr>
          <w:trHeight w:val="319" w:hRule="exact"/>
        </w:trPr>
        <w:tc>
          <w:tcPr>
            <w:tcW w:w="262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18"/>
                <w:szCs w:val="18"/>
              </w:rPr>
            </w:pPr>
            <w:r>
              <w:rPr>
                <w:rFonts w:ascii="宋体" w:hAnsi="宋体" w:cs="宋体" w:eastAsia="宋体" w:hint="default"/>
                <w:sz w:val="18"/>
                <w:szCs w:val="18"/>
              </w:rPr>
              <w:t>管理费用率</w:t>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1.28%</w:t>
            </w:r>
            <w:r>
              <w:rPr>
                <w:rFonts w:ascii="Times New Roman"/>
                <w:sz w:val="18"/>
              </w:rPr>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8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3"/>
              <w:ind w:right="83"/>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r>
      <w:tr>
        <w:trPr>
          <w:trHeight w:val="320" w:hRule="exact"/>
        </w:trPr>
        <w:tc>
          <w:tcPr>
            <w:tcW w:w="262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18"/>
                <w:szCs w:val="18"/>
              </w:rPr>
            </w:pPr>
            <w:r>
              <w:rPr>
                <w:rFonts w:ascii="宋体" w:hAnsi="宋体" w:cs="宋体" w:eastAsia="宋体" w:hint="default"/>
                <w:sz w:val="18"/>
                <w:szCs w:val="18"/>
              </w:rPr>
              <w:t>财务费用率</w:t>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63"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8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3"/>
              <w:ind w:right="83"/>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r>
      <w:tr>
        <w:trPr>
          <w:trHeight w:val="334" w:hRule="exact"/>
        </w:trPr>
        <w:tc>
          <w:tcPr>
            <w:tcW w:w="2627"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3"/>
              <w:ind w:left="86" w:right="0"/>
              <w:jc w:val="left"/>
              <w:rPr>
                <w:rFonts w:ascii="宋体" w:hAnsi="宋体" w:cs="宋体" w:eastAsia="宋体" w:hint="default"/>
                <w:sz w:val="18"/>
                <w:szCs w:val="18"/>
              </w:rPr>
            </w:pPr>
            <w:r>
              <w:rPr>
                <w:rFonts w:ascii="宋体" w:hAnsi="宋体" w:cs="宋体" w:eastAsia="宋体" w:hint="default"/>
                <w:sz w:val="18"/>
                <w:szCs w:val="18"/>
              </w:rPr>
              <w:t>三项费用率</w:t>
            </w:r>
          </w:p>
        </w:tc>
        <w:tc>
          <w:tcPr>
            <w:tcW w:w="14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11.06%</w:t>
            </w:r>
            <w:r>
              <w:rPr>
                <w:rFonts w:ascii="Times New Roman"/>
                <w:sz w:val="18"/>
              </w:rPr>
            </w:r>
          </w:p>
        </w:tc>
        <w:tc>
          <w:tcPr>
            <w:tcW w:w="162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8.77%</w:t>
            </w:r>
            <w:r>
              <w:rPr>
                <w:rFonts w:ascii="Times New Roman"/>
                <w:sz w:val="18"/>
              </w:rPr>
            </w:r>
          </w:p>
        </w:tc>
        <w:tc>
          <w:tcPr>
            <w:tcW w:w="176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
              <w:ind w:left="63"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81"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3"/>
              <w:ind w:right="83"/>
              <w:jc w:val="right"/>
              <w:rPr>
                <w:rFonts w:ascii="Times New Roman" w:hAnsi="Times New Roman" w:cs="Times New Roman" w:eastAsia="Times New Roman" w:hint="default"/>
                <w:sz w:val="18"/>
                <w:szCs w:val="18"/>
              </w:rPr>
            </w:pPr>
            <w:r>
              <w:rPr>
                <w:rFonts w:ascii="Times New Roman"/>
                <w:w w:val="95"/>
                <w:sz w:val="18"/>
              </w:rPr>
              <w:t>10.53%</w:t>
            </w:r>
            <w:r>
              <w:rPr>
                <w:rFonts w:ascii="Times New Roman"/>
                <w:sz w:val="18"/>
              </w:rPr>
            </w:r>
          </w:p>
        </w:tc>
      </w:tr>
    </w:tbl>
    <w:p>
      <w:pPr>
        <w:pStyle w:val="BodyText"/>
        <w:spacing w:line="292" w:lineRule="exact"/>
        <w:ind w:left="244" w:right="153" w:firstLine="480"/>
        <w:jc w:val="left"/>
      </w:pPr>
      <w:r>
        <w:rPr>
          <w:rFonts w:ascii="Wingdings" w:hAnsi="Wingdings" w:cs="Wingdings" w:eastAsia="Wingdings" w:hint="default"/>
        </w:rPr>
        <w:t></w:t>
      </w:r>
      <w:r>
        <w:rPr>
          <w:rFonts w:ascii="Wingdings" w:hAnsi="Wingdings" w:cs="Wingdings" w:eastAsia="Wingdings" w:hint="default"/>
          <w:spacing w:val="-31"/>
        </w:rPr>
        <w:t></w:t>
      </w:r>
      <w:r>
        <w:rPr>
          <w:rFonts w:ascii="Times New Roman" w:hAnsi="Times New Roman" w:cs="Times New Roman" w:eastAsia="Times New Roman" w:hint="default"/>
          <w:spacing w:val="-31"/>
        </w:rPr>
      </w:r>
      <w:r>
        <w:rPr>
          <w:spacing w:val="2"/>
        </w:rPr>
        <w:t>报告期内，公司新开店面数量有所增加带来公司管理费用、销售费用的上</w:t>
      </w:r>
      <w:r>
        <w:rPr/>
      </w:r>
    </w:p>
    <w:p>
      <w:pPr>
        <w:pStyle w:val="BodyText"/>
        <w:spacing w:line="348" w:lineRule="auto" w:before="137"/>
        <w:ind w:left="244" w:right="256"/>
        <w:jc w:val="both"/>
      </w:pPr>
      <w:r>
        <w:rPr>
          <w:spacing w:val="-7"/>
        </w:rPr>
        <w:t>升；</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33"/>
        </w:rPr>
        <w:t> </w:t>
      </w:r>
      <w:r>
        <w:rPr/>
        <w:t>年底承接的加盟店纳入公司体系运营，零售业务的费用水平高于向特许加 </w:t>
      </w:r>
      <w:r>
        <w:rPr>
          <w:spacing w:val="-1"/>
        </w:rPr>
        <w:t>盟商的销售业务；同时，由于社会劳动成本及单位租金水平的上升，使得公司人员</w:t>
      </w:r>
      <w:r>
        <w:rPr>
          <w:spacing w:val="-102"/>
        </w:rPr>
        <w:t> </w:t>
      </w:r>
      <w:r>
        <w:rPr>
          <w:spacing w:val="-102"/>
        </w:rPr>
      </w:r>
      <w:r>
        <w:rPr/>
        <w:t>成本、租赁费用进一步上升；</w:t>
      </w:r>
    </w:p>
    <w:p>
      <w:pPr>
        <w:pStyle w:val="BodyText"/>
        <w:spacing w:line="350" w:lineRule="auto" w:before="46"/>
        <w:ind w:left="243" w:right="129" w:firstLine="480"/>
        <w:jc w:val="left"/>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spacing w:val="2"/>
        </w:rPr>
        <w:t>受自然灾害、国际金融危机向实体经济蔓延以及节假日调整的影响，公司</w:t>
      </w:r>
      <w:r>
        <w:rPr>
          <w:spacing w:val="3"/>
        </w:rPr>
        <w:t> </w:t>
      </w:r>
      <w:r>
        <w:rPr>
          <w:spacing w:val="-4"/>
        </w:rPr>
        <w:t>全年销售尤其四季度可比店面销售出现阶段性下降，而管理费用、销售费用中人员、</w:t>
      </w:r>
      <w:r>
        <w:rPr>
          <w:spacing w:val="-112"/>
        </w:rPr>
        <w:t> </w:t>
      </w:r>
      <w:r>
        <w:rPr>
          <w:spacing w:val="-112"/>
        </w:rPr>
      </w:r>
      <w:r>
        <w:rPr/>
        <w:t>水电、租赁等费用属于固定费用、相对固定费用，由此带来报告期内管理费用率、 销售费用率合计比去年同期上升</w:t>
      </w:r>
      <w:r>
        <w:rPr>
          <w:spacing w:val="-60"/>
        </w:rPr>
        <w:t> </w:t>
      </w:r>
      <w:r>
        <w:rPr>
          <w:rFonts w:ascii="Times New Roman" w:hAnsi="Times New Roman" w:cs="Times New Roman" w:eastAsia="Times New Roman" w:hint="default"/>
        </w:rPr>
        <w:t>2.53 </w:t>
      </w:r>
      <w:r>
        <w:rPr/>
        <w:t>个百分点，但综合费用水平仍在可控范围内；</w:t>
      </w:r>
    </w:p>
    <w:p>
      <w:pPr>
        <w:spacing w:after="0" w:line="350" w:lineRule="auto"/>
        <w:jc w:val="left"/>
        <w:sectPr>
          <w:pgSz w:w="11910" w:h="16840"/>
          <w:pgMar w:header="826" w:footer="900" w:top="1100" w:bottom="1100" w:left="1400" w:right="1380"/>
        </w:sectPr>
      </w:pPr>
    </w:p>
    <w:p>
      <w:pPr>
        <w:pStyle w:val="BodyText"/>
        <w:tabs>
          <w:tab w:pos="1123" w:val="left" w:leader="none"/>
        </w:tabs>
        <w:spacing w:line="338" w:lineRule="auto" w:before="106"/>
        <w:ind w:left="224" w:right="236" w:firstLine="480"/>
        <w:jc w:val="left"/>
      </w:pPr>
      <w:r>
        <w:rPr>
          <w:rFonts w:ascii="Wingdings" w:hAnsi="Wingdings" w:cs="Wingdings" w:eastAsia="Wingdings" w:hint="default"/>
        </w:rPr>
        <w:t></w:t>
      </w:r>
      <w:r>
        <w:rPr>
          <w:rFonts w:ascii="Times New Roman" w:hAnsi="Times New Roman" w:cs="Times New Roman" w:eastAsia="Times New Roman" w:hint="default"/>
        </w:rPr>
        <w:tab/>
      </w:r>
      <w:r>
        <w:rPr/>
        <w:t>在与供应商合作过程中，公司较多的使用应付票据的结算方式，带来公司</w:t>
      </w:r>
      <w:r>
        <w:rPr>
          <w:spacing w:val="1"/>
        </w:rPr>
        <w:t> </w:t>
      </w:r>
      <w:r>
        <w:rPr/>
        <w:t>保证金利息的增加，报告期内财务费用率同比下降</w:t>
      </w:r>
      <w:r>
        <w:rPr>
          <w:spacing w:val="-60"/>
        </w:rPr>
        <w:t> </w:t>
      </w:r>
      <w:r>
        <w:rPr>
          <w:rFonts w:ascii="Times New Roman" w:hAnsi="Times New Roman" w:cs="Times New Roman" w:eastAsia="Times New Roman" w:hint="default"/>
        </w:rPr>
        <w:t>0.23 </w:t>
      </w:r>
      <w:r>
        <w:rPr/>
        <w:t>个百分点。</w:t>
      </w:r>
    </w:p>
    <w:p>
      <w:pPr>
        <w:pStyle w:val="BodyText"/>
        <w:spacing w:line="338" w:lineRule="auto" w:before="27"/>
        <w:ind w:left="703" w:right="236"/>
        <w:jc w:val="left"/>
      </w:pPr>
      <w:r>
        <w:rPr/>
        <w:t>（</w:t>
      </w:r>
      <w:r>
        <w:rPr>
          <w:rFonts w:ascii="Times New Roman" w:hAnsi="Times New Roman" w:cs="Times New Roman" w:eastAsia="Times New Roman" w:hint="default"/>
        </w:rPr>
        <w:t>4</w:t>
      </w:r>
      <w:r>
        <w:rPr/>
        <w:t>）归属于上市公司股东的净利润变化情况： </w:t>
      </w:r>
      <w:r>
        <w:rPr>
          <w:spacing w:val="-1"/>
        </w:rPr>
        <w:t>鉴于上述（</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3</w:t>
      </w:r>
      <w:r>
        <w:rPr>
          <w:spacing w:val="-1"/>
        </w:rPr>
        <w:t>）项，报告期内，由于公司综合经营质量继续保持相对稳</w:t>
      </w:r>
    </w:p>
    <w:p>
      <w:pPr>
        <w:pStyle w:val="BodyText"/>
        <w:spacing w:line="357" w:lineRule="auto" w:before="27"/>
        <w:ind w:left="223" w:right="0"/>
        <w:jc w:val="left"/>
      </w:pPr>
      <w:r>
        <w:rPr>
          <w:spacing w:val="-1"/>
        </w:rPr>
        <w:t>定的水平，带来公司营业总收入和综合毛利的增长高于三项费用的增长幅度，加之</w:t>
      </w:r>
      <w:r>
        <w:rPr>
          <w:spacing w:val="-104"/>
        </w:rPr>
        <w:t> </w:t>
      </w:r>
      <w:r>
        <w:rPr>
          <w:spacing w:val="-104"/>
        </w:rPr>
      </w:r>
      <w:r>
        <w:rPr/>
        <w:t>所得税率调整的影响，实现归属于上市公司股东的净利润同比增长</w:t>
      </w:r>
      <w:r>
        <w:rPr>
          <w:spacing w:val="-60"/>
        </w:rPr>
        <w:t> </w:t>
      </w:r>
      <w:r>
        <w:rPr>
          <w:rFonts w:ascii="Times New Roman" w:hAnsi="Times New Roman" w:cs="Times New Roman" w:eastAsia="Times New Roman" w:hint="default"/>
        </w:rPr>
        <w:t>48.09%</w:t>
      </w:r>
      <w:r>
        <w:rPr/>
        <w:t>。</w:t>
      </w:r>
    </w:p>
    <w:p>
      <w:pPr>
        <w:spacing w:line="240" w:lineRule="auto" w:before="12"/>
        <w:rPr>
          <w:rFonts w:ascii="宋体" w:hAnsi="宋体" w:cs="宋体" w:eastAsia="宋体" w:hint="default"/>
          <w:sz w:val="29"/>
          <w:szCs w:val="29"/>
        </w:rPr>
      </w:pPr>
    </w:p>
    <w:p>
      <w:pPr>
        <w:pStyle w:val="BodyText"/>
        <w:spacing w:line="240" w:lineRule="auto"/>
        <w:ind w:left="703" w:right="2568"/>
        <w:jc w:val="left"/>
      </w:pPr>
      <w:r>
        <w:rPr>
          <w:rFonts w:ascii="Times New Roman" w:hAnsi="Times New Roman" w:cs="Times New Roman" w:eastAsia="Times New Roman" w:hint="default"/>
        </w:rPr>
        <w:t>2</w:t>
      </w:r>
      <w:r>
        <w:rPr/>
        <w:t>、主营业务情况分析</w:t>
      </w:r>
    </w:p>
    <w:p>
      <w:pPr>
        <w:pStyle w:val="BodyText"/>
        <w:spacing w:line="338" w:lineRule="auto" w:before="135"/>
        <w:ind w:left="223" w:right="0" w:firstLine="480"/>
        <w:jc w:val="left"/>
      </w:pPr>
      <w:r>
        <w:rPr>
          <w:spacing w:val="2"/>
        </w:rPr>
        <w:t>（</w:t>
      </w:r>
      <w:r>
        <w:rPr>
          <w:rFonts w:ascii="Times New Roman" w:hAnsi="Times New Roman" w:cs="Times New Roman" w:eastAsia="Times New Roman" w:hint="default"/>
          <w:spacing w:val="2"/>
        </w:rPr>
        <w:t>1</w:t>
      </w:r>
      <w:r>
        <w:rPr>
          <w:spacing w:val="2"/>
        </w:rPr>
        <w:t>）报告期内公司主营业务范围为：家用电器及消费类电子的销售和服务，</w:t>
      </w:r>
      <w:r>
        <w:rPr>
          <w:spacing w:val="3"/>
        </w:rPr>
        <w:t> </w:t>
      </w:r>
      <w:r>
        <w:rPr/>
        <w:t>未发生变更。</w:t>
      </w:r>
    </w:p>
    <w:p>
      <w:pPr>
        <w:pStyle w:val="BodyText"/>
        <w:tabs>
          <w:tab w:pos="7506" w:val="left" w:leader="none"/>
        </w:tabs>
        <w:spacing w:line="240" w:lineRule="auto" w:before="55"/>
        <w:ind w:left="703" w:right="0"/>
        <w:jc w:val="left"/>
        <w:rPr>
          <w:sz w:val="21"/>
          <w:szCs w:val="21"/>
        </w:rPr>
      </w:pPr>
      <w:r>
        <w:rPr>
          <w:spacing w:val="-4"/>
        </w:rPr>
        <w:t>（</w:t>
      </w:r>
      <w:r>
        <w:rPr>
          <w:rFonts w:ascii="Times New Roman" w:hAnsi="Times New Roman" w:cs="Times New Roman" w:eastAsia="Times New Roman" w:hint="default"/>
          <w:spacing w:val="-4"/>
        </w:rPr>
        <w:t>2</w:t>
      </w:r>
      <w:r>
        <w:rPr>
          <w:spacing w:val="-4"/>
        </w:rPr>
        <w:t>）报告期内公司主营业务收入、主营业务利润的构成情况：</w:t>
        <w:tab/>
      </w:r>
      <w:r>
        <w:rPr>
          <w:spacing w:val="-4"/>
          <w:sz w:val="21"/>
          <w:szCs w:val="21"/>
        </w:rPr>
        <w:t>（单位：千元）</w:t>
      </w:r>
    </w:p>
    <w:p>
      <w:pPr>
        <w:pStyle w:val="BodyText"/>
        <w:spacing w:line="240" w:lineRule="auto" w:before="135"/>
        <w:ind w:left="703" w:right="2568"/>
        <w:jc w:val="left"/>
      </w:pPr>
      <w:r>
        <w:rPr>
          <w:rFonts w:ascii="Times New Roman" w:hAnsi="Times New Roman" w:cs="Times New Roman" w:eastAsia="Times New Roman" w:hint="default"/>
        </w:rPr>
        <w:t>A</w:t>
      </w:r>
      <w:r>
        <w:rPr/>
        <w:t>、主营业务分行业、产品情况表：</w:t>
      </w:r>
    </w:p>
    <w:p>
      <w:pPr>
        <w:spacing w:line="240" w:lineRule="auto" w:before="5"/>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85"/>
        <w:gridCol w:w="881"/>
        <w:gridCol w:w="1087"/>
        <w:gridCol w:w="1235"/>
        <w:gridCol w:w="1229"/>
        <w:gridCol w:w="1231"/>
        <w:gridCol w:w="1768"/>
      </w:tblGrid>
      <w:tr>
        <w:trPr>
          <w:trHeight w:val="722" w:hRule="exact"/>
        </w:trPr>
        <w:tc>
          <w:tcPr>
            <w:tcW w:w="138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8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4" w:right="74" w:hanging="180"/>
              <w:jc w:val="left"/>
              <w:rPr>
                <w:rFonts w:ascii="宋体" w:hAnsi="宋体" w:cs="宋体" w:eastAsia="宋体" w:hint="default"/>
                <w:sz w:val="18"/>
                <w:szCs w:val="18"/>
              </w:rPr>
            </w:pPr>
            <w:r>
              <w:rPr>
                <w:rFonts w:ascii="宋体" w:hAnsi="宋体" w:cs="宋体" w:eastAsia="宋体" w:hint="default"/>
                <w:sz w:val="18"/>
                <w:szCs w:val="18"/>
              </w:rPr>
              <w:t>主营业务 收入</w:t>
            </w:r>
          </w:p>
        </w:tc>
        <w:tc>
          <w:tcPr>
            <w:tcW w:w="10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8" w:right="176" w:hanging="180"/>
              <w:jc w:val="left"/>
              <w:rPr>
                <w:rFonts w:ascii="宋体" w:hAnsi="宋体" w:cs="宋体" w:eastAsia="宋体" w:hint="default"/>
                <w:sz w:val="18"/>
                <w:szCs w:val="18"/>
              </w:rPr>
            </w:pPr>
            <w:r>
              <w:rPr>
                <w:rFonts w:ascii="宋体" w:hAnsi="宋体" w:cs="宋体" w:eastAsia="宋体" w:hint="default"/>
                <w:sz w:val="18"/>
                <w:szCs w:val="18"/>
              </w:rPr>
              <w:t>主营业务 成本</w:t>
            </w:r>
          </w:p>
        </w:tc>
        <w:tc>
          <w:tcPr>
            <w:tcW w:w="12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71" w:hanging="180"/>
              <w:jc w:val="left"/>
              <w:rPr>
                <w:rFonts w:ascii="宋体" w:hAnsi="宋体" w:cs="宋体" w:eastAsia="宋体" w:hint="default"/>
                <w:sz w:val="18"/>
                <w:szCs w:val="18"/>
              </w:rPr>
            </w:pPr>
            <w:r>
              <w:rPr>
                <w:rFonts w:ascii="宋体" w:hAnsi="宋体" w:cs="宋体" w:eastAsia="宋体" w:hint="default"/>
                <w:sz w:val="18"/>
                <w:szCs w:val="18"/>
              </w:rPr>
              <w:t>主营业务毛利 率（％）</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69" w:right="0"/>
              <w:jc w:val="left"/>
              <w:rPr>
                <w:rFonts w:ascii="宋体" w:hAnsi="宋体" w:cs="宋体" w:eastAsia="宋体" w:hint="default"/>
                <w:sz w:val="18"/>
                <w:szCs w:val="18"/>
              </w:rPr>
            </w:pPr>
            <w:r>
              <w:rPr>
                <w:rFonts w:ascii="宋体" w:hAnsi="宋体" w:cs="宋体" w:eastAsia="宋体" w:hint="default"/>
                <w:sz w:val="18"/>
                <w:szCs w:val="18"/>
              </w:rPr>
              <w:t>主营业务收入</w:t>
            </w:r>
          </w:p>
          <w:p>
            <w:pPr>
              <w:pStyle w:val="TableParagraph"/>
              <w:spacing w:line="240"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比上年同期增 减（％）</w:t>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主营业务成本</w:t>
            </w:r>
          </w:p>
          <w:p>
            <w:pPr>
              <w:pStyle w:val="TableParagraph"/>
              <w:spacing w:line="240" w:lineRule="auto"/>
              <w:ind w:left="250" w:right="68" w:hanging="180"/>
              <w:jc w:val="left"/>
              <w:rPr>
                <w:rFonts w:ascii="宋体" w:hAnsi="宋体" w:cs="宋体" w:eastAsia="宋体" w:hint="default"/>
                <w:sz w:val="18"/>
                <w:szCs w:val="18"/>
              </w:rPr>
            </w:pPr>
            <w:r>
              <w:rPr>
                <w:rFonts w:ascii="宋体" w:hAnsi="宋体" w:cs="宋体" w:eastAsia="宋体" w:hint="default"/>
                <w:sz w:val="18"/>
                <w:szCs w:val="18"/>
              </w:rPr>
              <w:t>比上年同期增 减（％）</w:t>
            </w:r>
          </w:p>
        </w:tc>
        <w:tc>
          <w:tcPr>
            <w:tcW w:w="176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7"/>
              <w:ind w:left="333" w:right="152" w:hanging="180"/>
              <w:jc w:val="left"/>
              <w:rPr>
                <w:rFonts w:ascii="宋体" w:hAnsi="宋体" w:cs="宋体" w:eastAsia="宋体" w:hint="default"/>
                <w:sz w:val="18"/>
                <w:szCs w:val="18"/>
              </w:rPr>
            </w:pPr>
            <w:r>
              <w:rPr>
                <w:rFonts w:ascii="宋体" w:hAnsi="宋体" w:cs="宋体" w:eastAsia="宋体" w:hint="default"/>
                <w:sz w:val="18"/>
                <w:szCs w:val="18"/>
              </w:rPr>
              <w:t>主营业务毛利率比 上年同期增减</w:t>
            </w:r>
          </w:p>
        </w:tc>
      </w:tr>
      <w:tr>
        <w:trPr>
          <w:trHeight w:val="368" w:hRule="exact"/>
        </w:trPr>
        <w:tc>
          <w:tcPr>
            <w:tcW w:w="13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零售业</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 w:right="0"/>
              <w:jc w:val="center"/>
              <w:rPr>
                <w:rFonts w:ascii="Times New Roman" w:hAnsi="Times New Roman" w:cs="Times New Roman" w:eastAsia="Times New Roman" w:hint="default"/>
                <w:sz w:val="18"/>
                <w:szCs w:val="18"/>
              </w:rPr>
            </w:pPr>
            <w:r>
              <w:rPr>
                <w:rFonts w:ascii="Times New Roman"/>
                <w:spacing w:val="-1"/>
                <w:sz w:val="18"/>
              </w:rPr>
              <w:t>48,311,039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6" w:right="0"/>
              <w:jc w:val="left"/>
              <w:rPr>
                <w:rFonts w:ascii="Times New Roman" w:hAnsi="Times New Roman" w:cs="Times New Roman" w:eastAsia="Times New Roman" w:hint="default"/>
                <w:sz w:val="18"/>
                <w:szCs w:val="18"/>
              </w:rPr>
            </w:pPr>
            <w:r>
              <w:rPr>
                <w:rFonts w:ascii="Times New Roman"/>
                <w:sz w:val="18"/>
              </w:rPr>
              <w:t>41,292,637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14.53%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24.91%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sz w:val="18"/>
              </w:rPr>
              <w:t>20.30%</w:t>
            </w:r>
          </w:p>
        </w:tc>
        <w:tc>
          <w:tcPr>
            <w:tcW w:w="17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80" w:hRule="exact"/>
        </w:trPr>
        <w:tc>
          <w:tcPr>
            <w:tcW w:w="13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其中：关联交易</w:t>
            </w:r>
          </w:p>
        </w:tc>
        <w:tc>
          <w:tcPr>
            <w:tcW w:w="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864"/>
        <w:gridCol w:w="1306"/>
        <w:gridCol w:w="1260"/>
        <w:gridCol w:w="900"/>
        <w:gridCol w:w="1082"/>
        <w:gridCol w:w="1260"/>
        <w:gridCol w:w="1165"/>
      </w:tblGrid>
      <w:tr>
        <w:trPr>
          <w:trHeight w:val="956" w:hRule="exact"/>
        </w:trPr>
        <w:tc>
          <w:tcPr>
            <w:tcW w:w="18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92"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151" w:hanging="316"/>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128" w:hanging="316"/>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75" w:right="173"/>
              <w:jc w:val="center"/>
              <w:rPr>
                <w:rFonts w:ascii="宋体" w:hAnsi="宋体" w:cs="宋体" w:eastAsia="宋体" w:hint="default"/>
                <w:sz w:val="18"/>
                <w:szCs w:val="18"/>
              </w:rPr>
            </w:pPr>
            <w:r>
              <w:rPr>
                <w:rFonts w:ascii="宋体" w:hAnsi="宋体" w:cs="宋体" w:eastAsia="宋体" w:hint="default"/>
                <w:sz w:val="18"/>
                <w:szCs w:val="18"/>
              </w:rPr>
              <w:t>主营业 务毛利 率</w:t>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6" w:right="0"/>
              <w:jc w:val="both"/>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40" w:lineRule="auto"/>
              <w:ind w:left="130" w:right="130" w:firstLine="45"/>
              <w:jc w:val="both"/>
              <w:rPr>
                <w:rFonts w:ascii="宋体" w:hAnsi="宋体" w:cs="宋体" w:eastAsia="宋体" w:hint="default"/>
                <w:sz w:val="18"/>
                <w:szCs w:val="18"/>
              </w:rPr>
            </w:pPr>
            <w:r>
              <w:rPr>
                <w:rFonts w:ascii="宋体" w:hAnsi="宋体" w:cs="宋体" w:eastAsia="宋体" w:hint="default"/>
                <w:sz w:val="18"/>
                <w:szCs w:val="18"/>
              </w:rPr>
              <w:t>收入比上 年同期增 减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3" w:right="65" w:firstLine="72"/>
              <w:jc w:val="both"/>
              <w:rPr>
                <w:rFonts w:ascii="宋体" w:hAnsi="宋体" w:cs="宋体" w:eastAsia="宋体" w:hint="default"/>
                <w:sz w:val="18"/>
                <w:szCs w:val="18"/>
              </w:rPr>
            </w:pPr>
            <w:r>
              <w:rPr>
                <w:rFonts w:ascii="宋体" w:hAnsi="宋体" w:cs="宋体" w:eastAsia="宋体" w:hint="default"/>
                <w:sz w:val="18"/>
                <w:szCs w:val="18"/>
              </w:rPr>
              <w:t>主营业务成 本比上年同 期增减（％）</w:t>
            </w:r>
          </w:p>
        </w:tc>
        <w:tc>
          <w:tcPr>
            <w:tcW w:w="116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7"/>
              <w:ind w:left="128" w:right="115"/>
              <w:jc w:val="both"/>
              <w:rPr>
                <w:rFonts w:ascii="宋体" w:hAnsi="宋体" w:cs="宋体" w:eastAsia="宋体" w:hint="default"/>
                <w:sz w:val="18"/>
                <w:szCs w:val="18"/>
              </w:rPr>
            </w:pPr>
            <w:r>
              <w:rPr>
                <w:rFonts w:ascii="宋体" w:hAnsi="宋体" w:cs="宋体" w:eastAsia="宋体" w:hint="default"/>
                <w:sz w:val="18"/>
                <w:szCs w:val="18"/>
              </w:rPr>
              <w:t>主营业务毛 利率比上年 同期增减</w:t>
            </w:r>
          </w:p>
        </w:tc>
      </w:tr>
      <w:tr>
        <w:trPr>
          <w:trHeight w:val="294"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彩电、音像、碟机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13,739,446</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2"/>
                <w:sz w:val="20"/>
              </w:rPr>
              <w:t>11,224,495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18.30%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20.74%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12.87%</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5.69%</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冰箱、洗衣机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8,049,444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6,675,030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17.07%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24.14%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17.38%</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4.77%</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数码及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IT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6,783,139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6,403,540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6" w:right="0"/>
              <w:jc w:val="center"/>
              <w:rPr>
                <w:rFonts w:ascii="Times New Roman" w:hAnsi="Times New Roman" w:cs="Times New Roman" w:eastAsia="Times New Roman" w:hint="default"/>
                <w:sz w:val="20"/>
                <w:szCs w:val="20"/>
              </w:rPr>
            </w:pPr>
            <w:r>
              <w:rPr>
                <w:rFonts w:ascii="Times New Roman"/>
                <w:sz w:val="20"/>
              </w:rPr>
              <w:t>5.60%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46.12%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43.35%</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1.83%</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小家电产品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6,666,535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5,547,632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16.78%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49.39%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47.05%</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1.32%</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空调器产品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6,495,254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5,559,768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14.40%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9.36%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5.77%</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2.90%</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通讯产品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6,054,791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5,603,102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6" w:right="0"/>
              <w:jc w:val="center"/>
              <w:rPr>
                <w:rFonts w:ascii="Times New Roman" w:hAnsi="Times New Roman" w:cs="Times New Roman" w:eastAsia="Times New Roman" w:hint="default"/>
                <w:sz w:val="20"/>
                <w:szCs w:val="20"/>
              </w:rPr>
            </w:pPr>
            <w:r>
              <w:rPr>
                <w:rFonts w:ascii="Times New Roman"/>
                <w:sz w:val="20"/>
              </w:rPr>
              <w:t>7.46%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12.73%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12.50%</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0.19%</w:t>
            </w:r>
          </w:p>
        </w:tc>
      </w:tr>
      <w:tr>
        <w:trPr>
          <w:trHeight w:val="294"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安装维修业务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483,650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270,638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44.04%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53.67%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63.54%</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-3.38%</w:t>
            </w:r>
          </w:p>
        </w:tc>
      </w:tr>
      <w:tr>
        <w:trPr>
          <w:trHeight w:val="295" w:hRule="exact"/>
        </w:trPr>
        <w:tc>
          <w:tcPr>
            <w:tcW w:w="1864"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38,780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8,432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78.26%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-53.33%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-83.53%</w:t>
            </w:r>
          </w:p>
        </w:tc>
        <w:tc>
          <w:tcPr>
            <w:tcW w:w="11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39.86%</w:t>
            </w:r>
          </w:p>
        </w:tc>
      </w:tr>
      <w:tr>
        <w:trPr>
          <w:trHeight w:val="306" w:hRule="exact"/>
        </w:trPr>
        <w:tc>
          <w:tcPr>
            <w:tcW w:w="1864" w:type="dxa"/>
            <w:tcBorders>
              <w:top w:val="single" w:sz="4" w:space="0" w:color="000000"/>
              <w:left w:val="single" w:sz="12" w:space="0" w:color="000000"/>
              <w:bottom w:val="single" w:sz="12" w:space="0" w:color="000000"/>
              <w:right w:val="single" w:sz="4" w:space="0" w:color="000000"/>
            </w:tcBorders>
          </w:tcPr>
          <w:p>
            <w:pPr>
              <w:pStyle w:val="TableParagraph"/>
              <w:spacing w:line="242" w:lineRule="exact"/>
              <w:ind w:right="8"/>
              <w:jc w:val="center"/>
              <w:rPr>
                <w:rFonts w:ascii="宋体" w:hAnsi="宋体" w:cs="宋体" w:eastAsia="宋体" w:hint="default"/>
                <w:sz w:val="20"/>
                <w:szCs w:val="20"/>
              </w:rPr>
            </w:pPr>
            <w:r>
              <w:rPr>
                <w:rFonts w:ascii="宋体" w:hAnsi="宋体" w:cs="宋体" w:eastAsia="宋体" w:hint="default"/>
                <w:sz w:val="20"/>
                <w:szCs w:val="20"/>
              </w:rPr>
              <w:t>合计</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2"/>
                <w:sz w:val="20"/>
              </w:rPr>
              <w:t>48,311,039</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41,292,637</w:t>
            </w:r>
            <w:r>
              <w:rPr>
                <w:rFonts w:ascii="Times New Roman"/>
                <w:sz w:val="20"/>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left="66" w:right="0"/>
              <w:jc w:val="center"/>
              <w:rPr>
                <w:rFonts w:ascii="Times New Roman" w:hAnsi="Times New Roman" w:cs="Times New Roman" w:eastAsia="Times New Roman" w:hint="default"/>
                <w:sz w:val="20"/>
                <w:szCs w:val="20"/>
              </w:rPr>
            </w:pPr>
            <w:r>
              <w:rPr>
                <w:rFonts w:ascii="Times New Roman"/>
                <w:sz w:val="20"/>
              </w:rPr>
              <w:t>14.53%</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24.91%</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20.30%</w:t>
            </w:r>
          </w:p>
        </w:tc>
        <w:tc>
          <w:tcPr>
            <w:tcW w:w="11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69"/>
              <w:jc w:val="right"/>
              <w:rPr>
                <w:rFonts w:ascii="Times New Roman" w:hAnsi="Times New Roman" w:cs="Times New Roman" w:eastAsia="Times New Roman" w:hint="default"/>
                <w:sz w:val="20"/>
                <w:szCs w:val="20"/>
              </w:rPr>
            </w:pPr>
            <w:r>
              <w:rPr>
                <w:rFonts w:ascii="Times New Roman"/>
                <w:spacing w:val="-1"/>
                <w:sz w:val="20"/>
              </w:rPr>
              <w:t>3.28%</w:t>
            </w:r>
          </w:p>
        </w:tc>
      </w:tr>
    </w:tbl>
    <w:p>
      <w:pPr>
        <w:spacing w:line="240" w:lineRule="auto" w:before="9"/>
        <w:rPr>
          <w:rFonts w:ascii="宋体" w:hAnsi="宋体" w:cs="宋体" w:eastAsia="宋体" w:hint="default"/>
          <w:sz w:val="26"/>
          <w:szCs w:val="26"/>
        </w:rPr>
      </w:pPr>
    </w:p>
    <w:p>
      <w:pPr>
        <w:pStyle w:val="BodyText"/>
        <w:spacing w:line="240" w:lineRule="auto" w:before="26"/>
        <w:ind w:left="704" w:right="2568"/>
        <w:jc w:val="left"/>
      </w:pPr>
      <w:r>
        <w:rPr>
          <w:rFonts w:ascii="Times New Roman" w:hAnsi="Times New Roman" w:cs="Times New Roman" w:eastAsia="Times New Roman" w:hint="default"/>
        </w:rPr>
        <w:t>B</w:t>
      </w:r>
      <w:r>
        <w:rPr/>
        <w:t>、主营业务分地区情况表：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515"/>
        <w:gridCol w:w="2987"/>
        <w:gridCol w:w="2335"/>
      </w:tblGrid>
      <w:tr>
        <w:trPr>
          <w:trHeight w:val="359" w:hRule="exact"/>
        </w:trPr>
        <w:tc>
          <w:tcPr>
            <w:tcW w:w="351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
              <w:ind w:right="8"/>
              <w:jc w:val="center"/>
              <w:rPr>
                <w:rFonts w:ascii="宋体" w:hAnsi="宋体" w:cs="宋体" w:eastAsia="宋体" w:hint="default"/>
                <w:sz w:val="20"/>
                <w:szCs w:val="20"/>
              </w:rPr>
            </w:pPr>
            <w:r>
              <w:rPr>
                <w:rFonts w:ascii="宋体" w:hAnsi="宋体" w:cs="宋体" w:eastAsia="宋体" w:hint="default"/>
                <w:sz w:val="20"/>
                <w:szCs w:val="20"/>
              </w:rPr>
              <w:t>地区</w:t>
            </w:r>
          </w:p>
        </w:tc>
        <w:tc>
          <w:tcPr>
            <w:tcW w:w="29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left="887"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33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
              <w:ind w:left="712" w:right="0"/>
              <w:jc w:val="left"/>
              <w:rPr>
                <w:rFonts w:ascii="宋体" w:hAnsi="宋体" w:cs="宋体" w:eastAsia="宋体" w:hint="default"/>
                <w:sz w:val="20"/>
                <w:szCs w:val="20"/>
              </w:rPr>
            </w:pPr>
            <w:r>
              <w:rPr>
                <w:rFonts w:ascii="宋体" w:hAnsi="宋体" w:cs="宋体" w:eastAsia="宋体" w:hint="default"/>
                <w:sz w:val="20"/>
                <w:szCs w:val="20"/>
              </w:rPr>
              <w:t>占收入比率</w:t>
            </w:r>
          </w:p>
        </w:tc>
      </w:tr>
      <w:tr>
        <w:trPr>
          <w:trHeight w:val="370" w:hRule="exact"/>
        </w:trPr>
        <w:tc>
          <w:tcPr>
            <w:tcW w:w="35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华东一区</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2"/>
                <w:sz w:val="20"/>
              </w:rPr>
              <w:t>11,312,628</w:t>
            </w:r>
          </w:p>
        </w:tc>
        <w:tc>
          <w:tcPr>
            <w:tcW w:w="2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2"/>
              <w:jc w:val="right"/>
              <w:rPr>
                <w:rFonts w:ascii="Times New Roman" w:hAnsi="Times New Roman" w:cs="Times New Roman" w:eastAsia="Times New Roman" w:hint="default"/>
                <w:sz w:val="20"/>
                <w:szCs w:val="20"/>
              </w:rPr>
            </w:pPr>
            <w:r>
              <w:rPr>
                <w:rFonts w:ascii="Times New Roman"/>
                <w:spacing w:val="-1"/>
                <w:sz w:val="20"/>
              </w:rPr>
              <w:t>23.42%</w:t>
            </w:r>
          </w:p>
        </w:tc>
      </w:tr>
      <w:tr>
        <w:trPr>
          <w:trHeight w:val="368" w:hRule="exact"/>
        </w:trPr>
        <w:tc>
          <w:tcPr>
            <w:tcW w:w="35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华东二区</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9,733,141</w:t>
            </w:r>
          </w:p>
        </w:tc>
        <w:tc>
          <w:tcPr>
            <w:tcW w:w="2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20.15%</w:t>
            </w:r>
          </w:p>
        </w:tc>
      </w:tr>
      <w:tr>
        <w:trPr>
          <w:trHeight w:val="370" w:hRule="exact"/>
        </w:trPr>
        <w:tc>
          <w:tcPr>
            <w:tcW w:w="35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华北地区</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2"/>
                <w:sz w:val="20"/>
              </w:rPr>
              <w:t>8,118,476</w:t>
            </w:r>
            <w:r>
              <w:rPr>
                <w:rFonts w:ascii="Times New Roman"/>
                <w:sz w:val="20"/>
              </w:rPr>
            </w:r>
          </w:p>
        </w:tc>
        <w:tc>
          <w:tcPr>
            <w:tcW w:w="2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2"/>
              <w:jc w:val="right"/>
              <w:rPr>
                <w:rFonts w:ascii="Times New Roman" w:hAnsi="Times New Roman" w:cs="Times New Roman" w:eastAsia="Times New Roman" w:hint="default"/>
                <w:sz w:val="20"/>
                <w:szCs w:val="20"/>
              </w:rPr>
            </w:pPr>
            <w:r>
              <w:rPr>
                <w:rFonts w:ascii="Times New Roman"/>
                <w:spacing w:val="-1"/>
                <w:sz w:val="20"/>
              </w:rPr>
              <w:t>16.80%</w:t>
            </w:r>
          </w:p>
        </w:tc>
      </w:tr>
      <w:tr>
        <w:trPr>
          <w:trHeight w:val="368" w:hRule="exact"/>
        </w:trPr>
        <w:tc>
          <w:tcPr>
            <w:tcW w:w="35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华南地区</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7,048,097</w:t>
            </w:r>
          </w:p>
        </w:tc>
        <w:tc>
          <w:tcPr>
            <w:tcW w:w="2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14.59%</w:t>
            </w:r>
          </w:p>
        </w:tc>
      </w:tr>
      <w:tr>
        <w:trPr>
          <w:trHeight w:val="380" w:hRule="exact"/>
        </w:trPr>
        <w:tc>
          <w:tcPr>
            <w:tcW w:w="351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西部地区</w:t>
            </w:r>
          </w:p>
        </w:tc>
        <w:tc>
          <w:tcPr>
            <w:tcW w:w="29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6,423,075</w:t>
            </w:r>
          </w:p>
        </w:tc>
        <w:tc>
          <w:tcPr>
            <w:tcW w:w="233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13.29%</w:t>
            </w:r>
          </w:p>
        </w:tc>
      </w:tr>
    </w:tbl>
    <w:p>
      <w:pPr>
        <w:spacing w:after="0" w:line="240" w:lineRule="auto"/>
        <w:jc w:val="right"/>
        <w:rPr>
          <w:rFonts w:ascii="Times New Roman" w:hAnsi="Times New Roman" w:cs="Times New Roman" w:eastAsia="Times New Roman" w:hint="default"/>
          <w:sz w:val="20"/>
          <w:szCs w:val="20"/>
        </w:rPr>
        <w:sectPr>
          <w:pgSz w:w="11910" w:h="16840"/>
          <w:pgMar w:header="826" w:footer="900" w:top="1100" w:bottom="1100" w:left="1420" w:right="1400"/>
        </w:sectPr>
      </w:pP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515"/>
        <w:gridCol w:w="2987"/>
        <w:gridCol w:w="2335"/>
      </w:tblGrid>
      <w:tr>
        <w:trPr>
          <w:trHeight w:val="360" w:hRule="exact"/>
        </w:trPr>
        <w:tc>
          <w:tcPr>
            <w:tcW w:w="351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
              <w:ind w:right="8"/>
              <w:jc w:val="center"/>
              <w:rPr>
                <w:rFonts w:ascii="宋体" w:hAnsi="宋体" w:cs="宋体" w:eastAsia="宋体" w:hint="default"/>
                <w:sz w:val="20"/>
                <w:szCs w:val="20"/>
              </w:rPr>
            </w:pPr>
            <w:r>
              <w:rPr>
                <w:rFonts w:ascii="宋体" w:hAnsi="宋体" w:cs="宋体" w:eastAsia="宋体" w:hint="default"/>
                <w:sz w:val="20"/>
                <w:szCs w:val="20"/>
              </w:rPr>
              <w:t>东北地区</w:t>
            </w:r>
          </w:p>
        </w:tc>
        <w:tc>
          <w:tcPr>
            <w:tcW w:w="29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3,139,591</w:t>
            </w:r>
          </w:p>
        </w:tc>
        <w:tc>
          <w:tcPr>
            <w:tcW w:w="233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20"/>
                <w:szCs w:val="20"/>
              </w:rPr>
            </w:pPr>
            <w:r>
              <w:rPr>
                <w:rFonts w:ascii="Times New Roman"/>
                <w:spacing w:val="-1"/>
                <w:sz w:val="20"/>
              </w:rPr>
              <w:t>6.50%</w:t>
            </w:r>
          </w:p>
        </w:tc>
      </w:tr>
      <w:tr>
        <w:trPr>
          <w:trHeight w:val="368" w:hRule="exact"/>
        </w:trPr>
        <w:tc>
          <w:tcPr>
            <w:tcW w:w="35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华中地区</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2,536,031</w:t>
            </w:r>
          </w:p>
        </w:tc>
        <w:tc>
          <w:tcPr>
            <w:tcW w:w="2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5.25%</w:t>
            </w:r>
          </w:p>
        </w:tc>
      </w:tr>
      <w:tr>
        <w:trPr>
          <w:trHeight w:val="380" w:hRule="exact"/>
        </w:trPr>
        <w:tc>
          <w:tcPr>
            <w:tcW w:w="3515" w:type="dxa"/>
            <w:tcBorders>
              <w:top w:val="single" w:sz="4" w:space="0" w:color="000000"/>
              <w:left w:val="single" w:sz="12" w:space="0" w:color="000000"/>
              <w:bottom w:val="single" w:sz="12" w:space="0" w:color="000000"/>
              <w:right w:val="single" w:sz="4" w:space="0" w:color="000000"/>
            </w:tcBorders>
          </w:tcPr>
          <w:p>
            <w:pPr>
              <w:pStyle w:val="TableParagraph"/>
              <w:tabs>
                <w:tab w:pos="601" w:val="left" w:leader="none"/>
              </w:tabs>
              <w:spacing w:line="240" w:lineRule="auto" w:before="17"/>
              <w:ind w:right="8"/>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9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2"/>
                <w:sz w:val="20"/>
              </w:rPr>
              <w:t>48,311,039</w:t>
            </w:r>
          </w:p>
        </w:tc>
        <w:tc>
          <w:tcPr>
            <w:tcW w:w="233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8"/>
        <w:rPr>
          <w:rFonts w:ascii="宋体" w:hAnsi="宋体" w:cs="宋体" w:eastAsia="宋体" w:hint="default"/>
          <w:sz w:val="26"/>
          <w:szCs w:val="26"/>
        </w:rPr>
      </w:pPr>
    </w:p>
    <w:p>
      <w:pPr>
        <w:pStyle w:val="BodyText"/>
        <w:spacing w:line="240" w:lineRule="auto" w:before="26"/>
        <w:ind w:left="704" w:right="0"/>
        <w:jc w:val="left"/>
      </w:pPr>
      <w:r>
        <w:rPr>
          <w:rFonts w:ascii="Times New Roman" w:hAnsi="Times New Roman" w:cs="Times New Roman" w:eastAsia="Times New Roman" w:hint="default"/>
        </w:rPr>
        <w:t>C</w:t>
      </w:r>
      <w:r>
        <w:rPr/>
        <w:t>、占公司主营业务收入或主营业务利润</w:t>
      </w:r>
      <w:r>
        <w:rPr>
          <w:spacing w:val="-61"/>
        </w:rPr>
        <w:t> </w:t>
      </w:r>
      <w:r>
        <w:rPr>
          <w:rFonts w:ascii="Times New Roman" w:hAnsi="Times New Roman" w:cs="Times New Roman" w:eastAsia="Times New Roman" w:hint="default"/>
        </w:rPr>
        <w:t>10</w:t>
      </w:r>
      <w:r>
        <w:rPr/>
        <w:t>％以上的主要产品情况：</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883"/>
        <w:gridCol w:w="1601"/>
        <w:gridCol w:w="1610"/>
        <w:gridCol w:w="1282"/>
        <w:gridCol w:w="1206"/>
        <w:gridCol w:w="1255"/>
      </w:tblGrid>
      <w:tr>
        <w:trPr>
          <w:trHeight w:val="360" w:hRule="exact"/>
        </w:trPr>
        <w:tc>
          <w:tcPr>
            <w:tcW w:w="188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2"/>
              <w:ind w:left="8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0"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1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占收入比率</w:t>
            </w:r>
          </w:p>
        </w:tc>
        <w:tc>
          <w:tcPr>
            <w:tcW w:w="125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right="116"/>
              <w:jc w:val="right"/>
              <w:rPr>
                <w:rFonts w:ascii="宋体" w:hAnsi="宋体" w:cs="宋体" w:eastAsia="宋体" w:hint="default"/>
                <w:sz w:val="18"/>
                <w:szCs w:val="18"/>
              </w:rPr>
            </w:pPr>
            <w:r>
              <w:rPr>
                <w:rFonts w:ascii="宋体" w:hAnsi="宋体" w:cs="宋体" w:eastAsia="宋体" w:hint="default"/>
                <w:sz w:val="18"/>
                <w:szCs w:val="18"/>
              </w:rPr>
              <w:t>占利润比率</w:t>
            </w:r>
          </w:p>
        </w:tc>
      </w:tr>
      <w:tr>
        <w:trPr>
          <w:trHeight w:val="368" w:hRule="exact"/>
        </w:trPr>
        <w:tc>
          <w:tcPr>
            <w:tcW w:w="18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彩电、音像、碟机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13,739,446</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2"/>
                <w:sz w:val="20"/>
              </w:rPr>
              <w:t>11,224,495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2,514,951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28.44%</w:t>
            </w:r>
          </w:p>
        </w:tc>
        <w:tc>
          <w:tcPr>
            <w:tcW w:w="12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35.83%</w:t>
            </w:r>
          </w:p>
        </w:tc>
      </w:tr>
      <w:tr>
        <w:trPr>
          <w:trHeight w:val="370" w:hRule="exact"/>
        </w:trPr>
        <w:tc>
          <w:tcPr>
            <w:tcW w:w="18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冰箱、洗衣机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8,049,444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6,675,030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1,374,414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16.66%</w:t>
            </w:r>
          </w:p>
        </w:tc>
        <w:tc>
          <w:tcPr>
            <w:tcW w:w="12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19.58%</w:t>
            </w:r>
          </w:p>
        </w:tc>
      </w:tr>
      <w:tr>
        <w:trPr>
          <w:trHeight w:val="368" w:hRule="exact"/>
        </w:trPr>
        <w:tc>
          <w:tcPr>
            <w:tcW w:w="18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数码及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IT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产品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6,783,139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6,403,540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379,599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14.04%</w:t>
            </w:r>
          </w:p>
        </w:tc>
        <w:tc>
          <w:tcPr>
            <w:tcW w:w="12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5.41%</w:t>
            </w:r>
          </w:p>
        </w:tc>
      </w:tr>
      <w:tr>
        <w:trPr>
          <w:trHeight w:val="370" w:hRule="exact"/>
        </w:trPr>
        <w:tc>
          <w:tcPr>
            <w:tcW w:w="18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小家电产品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6,666,535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5,547,632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2"/>
                <w:sz w:val="20"/>
              </w:rPr>
              <w:t>1,118,903</w:t>
            </w:r>
            <w:r>
              <w:rPr>
                <w:rFonts w:ascii="Times New Roman"/>
                <w:sz w:val="20"/>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13.80%</w:t>
            </w:r>
          </w:p>
        </w:tc>
        <w:tc>
          <w:tcPr>
            <w:tcW w:w="12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15.94%</w:t>
            </w:r>
          </w:p>
        </w:tc>
      </w:tr>
      <w:tr>
        <w:trPr>
          <w:trHeight w:val="368" w:hRule="exact"/>
        </w:trPr>
        <w:tc>
          <w:tcPr>
            <w:tcW w:w="18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空调器产品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6,495,254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5,559,768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935,486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13.44%</w:t>
            </w:r>
          </w:p>
        </w:tc>
        <w:tc>
          <w:tcPr>
            <w:tcW w:w="12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90"/>
              <w:jc w:val="right"/>
              <w:rPr>
                <w:rFonts w:ascii="Times New Roman" w:hAnsi="Times New Roman" w:cs="Times New Roman" w:eastAsia="Times New Roman" w:hint="default"/>
                <w:sz w:val="20"/>
                <w:szCs w:val="20"/>
              </w:rPr>
            </w:pPr>
            <w:r>
              <w:rPr>
                <w:rFonts w:ascii="Times New Roman"/>
                <w:spacing w:val="-1"/>
                <w:sz w:val="20"/>
              </w:rPr>
              <w:t>13.33%</w:t>
            </w:r>
          </w:p>
        </w:tc>
      </w:tr>
      <w:tr>
        <w:trPr>
          <w:trHeight w:val="380" w:hRule="exact"/>
        </w:trPr>
        <w:tc>
          <w:tcPr>
            <w:tcW w:w="188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20"/>
                <w:szCs w:val="20"/>
              </w:rPr>
            </w:pPr>
            <w:r>
              <w:rPr>
                <w:rFonts w:ascii="宋体" w:hAnsi="宋体" w:cs="宋体" w:eastAsia="宋体" w:hint="default"/>
                <w:sz w:val="20"/>
                <w:szCs w:val="20"/>
              </w:rPr>
              <w:t>通讯产品</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6,054,791</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5,603,102</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451,689</w:t>
            </w: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12.53%</w:t>
            </w:r>
          </w:p>
        </w:tc>
        <w:tc>
          <w:tcPr>
            <w:tcW w:w="12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right="91"/>
              <w:jc w:val="right"/>
              <w:rPr>
                <w:rFonts w:ascii="Times New Roman" w:hAnsi="Times New Roman" w:cs="Times New Roman" w:eastAsia="Times New Roman" w:hint="default"/>
                <w:sz w:val="20"/>
                <w:szCs w:val="20"/>
              </w:rPr>
            </w:pPr>
            <w:r>
              <w:rPr>
                <w:rFonts w:ascii="Times New Roman"/>
                <w:spacing w:val="-1"/>
                <w:sz w:val="20"/>
              </w:rPr>
              <w:t>6.44%</w:t>
            </w:r>
          </w:p>
        </w:tc>
      </w:tr>
    </w:tbl>
    <w:p>
      <w:pPr>
        <w:spacing w:line="240" w:lineRule="auto" w:before="9"/>
        <w:rPr>
          <w:rFonts w:ascii="宋体" w:hAnsi="宋体" w:cs="宋体" w:eastAsia="宋体" w:hint="default"/>
          <w:sz w:val="26"/>
          <w:szCs w:val="26"/>
        </w:rPr>
      </w:pPr>
    </w:p>
    <w:p>
      <w:pPr>
        <w:pStyle w:val="BodyText"/>
        <w:spacing w:line="240" w:lineRule="auto" w:before="26"/>
        <w:ind w:left="704" w:right="1778"/>
        <w:jc w:val="left"/>
      </w:pPr>
      <w:r>
        <w:rPr/>
        <w:t>（</w:t>
      </w:r>
      <w:r>
        <w:rPr>
          <w:rFonts w:ascii="Times New Roman" w:hAnsi="Times New Roman" w:cs="Times New Roman" w:eastAsia="Times New Roman" w:hint="default"/>
        </w:rPr>
        <w:t>3</w:t>
      </w:r>
      <w:r>
        <w:rPr/>
        <w:t>）报告期内主营业务或结构及盈利能力变化的说明：</w:t>
      </w:r>
    </w:p>
    <w:p>
      <w:pPr>
        <w:pStyle w:val="BodyText"/>
        <w:spacing w:line="338" w:lineRule="auto" w:before="135"/>
        <w:ind w:left="223"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结算模式的简单化、产品合同政策的提升、差异化的采购策略，使得公司</w:t>
      </w:r>
      <w:r>
        <w:rPr>
          <w:spacing w:val="3"/>
        </w:rPr>
        <w:t> </w:t>
      </w:r>
      <w:r>
        <w:rPr/>
        <w:t>报告期内主营业务毛利率得到有效提升。</w:t>
      </w:r>
    </w:p>
    <w:p>
      <w:pPr>
        <w:pStyle w:val="BodyText"/>
        <w:spacing w:line="357" w:lineRule="auto" w:before="55"/>
        <w:ind w:left="223" w:right="237" w:firstLine="480"/>
        <w:jc w:val="both"/>
      </w:pPr>
      <w:r>
        <w:rPr>
          <w:spacing w:val="-1"/>
        </w:rPr>
        <w:t>但公司目前的毛利率水平相对国际成熟市场的水平还有一定空间，随着公司的</w:t>
      </w:r>
      <w:r>
        <w:rPr/>
        <w:t> </w:t>
      </w:r>
      <w:r>
        <w:rPr>
          <w:spacing w:val="-1"/>
        </w:rPr>
        <w:t>规模扩大，商品研究能力、品类管理能力、店面经营能力与客户服务能力上升，公</w:t>
      </w:r>
      <w:r>
        <w:rPr>
          <w:spacing w:val="-104"/>
        </w:rPr>
        <w:t> </w:t>
      </w:r>
      <w:r>
        <w:rPr>
          <w:spacing w:val="-104"/>
        </w:rPr>
      </w:r>
      <w:r>
        <w:rPr/>
        <w:t>司的盈利能力仍会逐步提升。</w:t>
      </w:r>
    </w:p>
    <w:p>
      <w:pPr>
        <w:pStyle w:val="BodyText"/>
        <w:spacing w:line="240" w:lineRule="auto" w:before="36"/>
        <w:ind w:left="703" w:right="2568"/>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分品类产品销售及毛利率变动情况如下：</w:t>
      </w:r>
    </w:p>
    <w:p>
      <w:pPr>
        <w:pStyle w:val="BodyText"/>
        <w:tabs>
          <w:tab w:pos="1123" w:val="left" w:leader="none"/>
        </w:tabs>
        <w:spacing w:line="338" w:lineRule="auto" w:before="137"/>
        <w:ind w:left="703" w:right="23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彩电、冰洗产品 </w:t>
      </w:r>
      <w:r>
        <w:rPr>
          <w:spacing w:val="-1"/>
        </w:rPr>
        <w:t>对彩电、冰洗产品而言，在一级城市以及富裕的二级城市正处于一个较快的更</w:t>
      </w:r>
    </w:p>
    <w:p>
      <w:pPr>
        <w:pStyle w:val="BodyText"/>
        <w:spacing w:line="357" w:lineRule="auto" w:before="55"/>
        <w:ind w:left="223" w:right="218"/>
        <w:jc w:val="both"/>
      </w:pPr>
      <w:r>
        <w:rPr/>
        <w:t>新换代阶段，在过去几年中，公司有效把握市场机会推动了发展。同时供应厂商也 在紧抓这方面机遇，尤其是合资品牌与家电连锁建立了更为紧密的共同发展模式， </w:t>
      </w:r>
      <w:r>
        <w:rPr>
          <w:spacing w:val="-1"/>
        </w:rPr>
        <w:t>有效降低了其发展成本，而其技术水平比如在平板彩电方面具有一定的成本领先优</w:t>
      </w:r>
      <w:r>
        <w:rPr>
          <w:spacing w:val="-104"/>
        </w:rPr>
        <w:t> </w:t>
      </w:r>
      <w:r>
        <w:rPr>
          <w:spacing w:val="-104"/>
        </w:rPr>
      </w:r>
      <w:r>
        <w:rPr/>
        <w:t>势，近年以来其市场占有率逐步提高。这种互惠的合作模式，使双方的交易成本都</w:t>
      </w:r>
      <w:r>
        <w:rPr/>
        <w:t> 得到了有效的控制，公司的合同政策与毛利率水平得到了有效提升；</w:t>
      </w:r>
    </w:p>
    <w:p>
      <w:pPr>
        <w:pStyle w:val="BodyText"/>
        <w:spacing w:line="357" w:lineRule="auto" w:before="36"/>
        <w:ind w:left="223" w:right="236" w:firstLine="480"/>
        <w:jc w:val="both"/>
      </w:pPr>
      <w:r>
        <w:rPr>
          <w:spacing w:val="-1"/>
        </w:rPr>
        <w:t>另一方面，彩电、冰洗品类基本为规模较大的供应商，非常认同公司简化结算</w:t>
      </w:r>
      <w:r>
        <w:rPr/>
        <w:t> </w:t>
      </w:r>
      <w:r>
        <w:rPr>
          <w:spacing w:val="-1"/>
        </w:rPr>
        <w:t>模式的举措，其他业务利润减少，毛利结构的变化，也带来了产品主营业务利润的</w:t>
      </w:r>
      <w:r>
        <w:rPr>
          <w:spacing w:val="-102"/>
        </w:rPr>
        <w:t> </w:t>
      </w:r>
      <w:r>
        <w:rPr>
          <w:spacing w:val="-102"/>
        </w:rPr>
      </w:r>
      <w:r>
        <w:rPr/>
        <w:t>提升。</w:t>
      </w:r>
    </w:p>
    <w:p>
      <w:pPr>
        <w:pStyle w:val="BodyText"/>
        <w:tabs>
          <w:tab w:pos="1123" w:val="left" w:leader="none"/>
        </w:tabs>
        <w:spacing w:line="338" w:lineRule="auto" w:before="36"/>
        <w:ind w:left="703" w:right="23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小家电产品 </w:t>
      </w:r>
      <w:r>
        <w:rPr>
          <w:spacing w:val="-1"/>
        </w:rPr>
        <w:t>随着消费者收入水平的提高和对高品质生活的追求，市场需求逐步上升。公司</w:t>
      </w:r>
    </w:p>
    <w:p>
      <w:pPr>
        <w:pStyle w:val="BodyText"/>
        <w:spacing w:line="240" w:lineRule="auto" w:before="55"/>
        <w:ind w:left="223" w:right="0"/>
        <w:jc w:val="both"/>
      </w:pPr>
      <w:r>
        <w:rPr/>
        <w:t>加强了此方面的研究，产品品类不断丰富，品种不断增加，使得小家电产品报告期</w:t>
      </w:r>
    </w:p>
    <w:p>
      <w:pPr>
        <w:spacing w:after="0" w:line="240" w:lineRule="auto"/>
        <w:jc w:val="both"/>
        <w:sectPr>
          <w:pgSz w:w="11910" w:h="16840"/>
          <w:pgMar w:header="826" w:footer="900" w:top="1100" w:bottom="1100" w:left="1420" w:right="1400"/>
        </w:sectPr>
      </w:pPr>
    </w:p>
    <w:p>
      <w:pPr>
        <w:pStyle w:val="BodyText"/>
        <w:spacing w:line="240" w:lineRule="auto" w:before="106"/>
        <w:ind w:left="224" w:right="0"/>
        <w:jc w:val="both"/>
      </w:pPr>
      <w:r>
        <w:rPr/>
        <w:t>内销售规模提升较快，主营业务毛利率继续保持相对较高的水平；</w:t>
      </w:r>
    </w:p>
    <w:p>
      <w:pPr>
        <w:pStyle w:val="BodyText"/>
        <w:tabs>
          <w:tab w:pos="1123" w:val="left" w:leader="none"/>
        </w:tabs>
        <w:spacing w:line="338" w:lineRule="auto" w:before="154"/>
        <w:ind w:left="703" w:right="23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空调产品 </w:t>
      </w:r>
      <w:r>
        <w:rPr>
          <w:spacing w:val="-1"/>
        </w:rPr>
        <w:t>由于宏观调控政策对房地产市场的影响以及气候因素的影响，本年度空调产品</w:t>
      </w:r>
    </w:p>
    <w:p>
      <w:pPr>
        <w:pStyle w:val="BodyText"/>
        <w:spacing w:line="352" w:lineRule="auto" w:before="55"/>
        <w:ind w:left="223" w:right="236"/>
        <w:jc w:val="both"/>
      </w:pPr>
      <w:r>
        <w:rPr>
          <w:spacing w:val="-1"/>
        </w:rPr>
        <w:t>销售增长受到一定抑制，同时在需求增长相对较快的二三级市场，公司布局仍需完</w:t>
      </w:r>
      <w:r>
        <w:rPr>
          <w:spacing w:val="-104"/>
        </w:rPr>
        <w:t> </w:t>
      </w:r>
      <w:r>
        <w:rPr>
          <w:spacing w:val="-104"/>
        </w:rPr>
      </w:r>
      <w:r>
        <w:rPr/>
        <w:t>善，公司合理制定销售策略，在经营质量方面有所提高，尤其是在空调的 </w:t>
      </w:r>
      <w:r>
        <w:rPr>
          <w:rFonts w:ascii="Times New Roman" w:hAnsi="Times New Roman" w:cs="Times New Roman" w:eastAsia="Times New Roman" w:hint="default"/>
        </w:rPr>
        <w:t>OEM</w:t>
      </w:r>
      <w:r>
        <w:rPr>
          <w:rFonts w:ascii="Times New Roman" w:hAnsi="Times New Roman" w:cs="Times New Roman" w:eastAsia="Times New Roman" w:hint="default"/>
          <w:spacing w:val="-14"/>
        </w:rPr>
        <w:t> </w:t>
      </w:r>
      <w:r>
        <w:rPr/>
        <w:t>方 </w:t>
      </w:r>
      <w:r>
        <w:rPr>
          <w:spacing w:val="-1"/>
        </w:rPr>
        <w:t>面实现重大突破，我们认为，随着市场布局的完善，公司多年经营空调产品的经验</w:t>
      </w:r>
      <w:r>
        <w:rPr>
          <w:spacing w:val="-102"/>
        </w:rPr>
        <w:t> </w:t>
      </w:r>
      <w:r>
        <w:rPr>
          <w:spacing w:val="-102"/>
        </w:rPr>
      </w:r>
      <w:r>
        <w:rPr>
          <w:spacing w:val="-1"/>
        </w:rPr>
        <w:t>积累以及对空调市场的把握能力，公司在产品的采购模式、销售模式方面会不断创</w:t>
      </w:r>
      <w:r>
        <w:rPr>
          <w:spacing w:val="-104"/>
        </w:rPr>
        <w:t> </w:t>
      </w:r>
      <w:r>
        <w:rPr>
          <w:spacing w:val="-104"/>
        </w:rPr>
      </w:r>
      <w:r>
        <w:rPr/>
        <w:t>新突破，空调产品的销售和经营质量的提高一定是可以实现的。</w:t>
      </w:r>
    </w:p>
    <w:p>
      <w:pPr>
        <w:pStyle w:val="BodyText"/>
        <w:tabs>
          <w:tab w:pos="1123" w:val="left" w:leader="none"/>
        </w:tabs>
        <w:spacing w:line="240" w:lineRule="auto" w:before="41"/>
        <w:ind w:left="703" w:right="256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通讯、数码、</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类产品</w:t>
      </w:r>
    </w:p>
    <w:p>
      <w:pPr>
        <w:pStyle w:val="BodyText"/>
        <w:spacing w:line="343" w:lineRule="auto" w:before="135"/>
        <w:ind w:left="223" w:right="109" w:firstLine="480"/>
        <w:jc w:val="left"/>
      </w:pPr>
      <w:r>
        <w:rPr/>
        <w:t>数码、</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产品市场分散、操作不规范，公司经营面临一定的困难。近年以来， </w:t>
      </w:r>
      <w:r>
        <w:rPr>
          <w:spacing w:val="-4"/>
        </w:rPr>
        <w:t>公司制定了相对完整的推进策略，从内部的组织完善和人员加强，商品研究的深入，</w:t>
      </w:r>
      <w:r>
        <w:rPr>
          <w:spacing w:val="-112"/>
        </w:rPr>
        <w:t> </w:t>
      </w:r>
      <w:r>
        <w:rPr>
          <w:spacing w:val="-112"/>
        </w:rPr>
      </w:r>
      <w:r>
        <w:rPr/>
        <w:t>供应商渠道的理顺以及服务能力的提升等方面，全面持续的进行培育。在数码、</w:t>
      </w:r>
      <w:r>
        <w:rPr>
          <w:rFonts w:ascii="Times New Roman" w:hAnsi="Times New Roman" w:cs="Times New Roman" w:eastAsia="Times New Roman" w:hint="default"/>
        </w:rPr>
        <w:t>IT </w:t>
      </w:r>
      <w:r>
        <w:rPr/>
        <w:t>类产品上销售规模继续保持快速发展，尤其是笔记本电脑，一直保持超过</w:t>
      </w:r>
      <w:r>
        <w:rPr>
          <w:spacing w:val="-3"/>
        </w:rPr>
        <w:t> </w:t>
      </w:r>
      <w:r>
        <w:rPr>
          <w:rFonts w:ascii="Times New Roman" w:hAnsi="Times New Roman" w:cs="Times New Roman" w:eastAsia="Times New Roman" w:hint="default"/>
        </w:rPr>
        <w:t>100%</w:t>
      </w:r>
      <w:r>
        <w:rPr/>
        <w:t>的 增幅；在此基础之上，产品毛利率稳中有升。</w:t>
      </w:r>
    </w:p>
    <w:p>
      <w:pPr>
        <w:pStyle w:val="BodyText"/>
        <w:spacing w:line="357" w:lineRule="auto" w:before="50"/>
        <w:ind w:left="223" w:right="236" w:firstLine="480"/>
        <w:jc w:val="both"/>
      </w:pPr>
      <w:r>
        <w:rPr>
          <w:spacing w:val="-1"/>
        </w:rPr>
        <w:t>对于通讯而言，渠道、产品近年出现了较多不规范经营的现象，而且品牌高度</w:t>
      </w:r>
      <w:r>
        <w:rPr/>
        <w:t> </w:t>
      </w:r>
      <w:r>
        <w:rPr>
          <w:spacing w:val="-1"/>
        </w:rPr>
        <w:t>集中，对公司销售产生一定影响，但公司通过不断的结构调整，以及逐步推进自营</w:t>
      </w:r>
      <w:r>
        <w:rPr>
          <w:spacing w:val="-102"/>
        </w:rPr>
        <w:t> </w:t>
      </w:r>
      <w:r>
        <w:rPr>
          <w:spacing w:val="-102"/>
        </w:rPr>
      </w:r>
      <w:r>
        <w:rPr>
          <w:spacing w:val="-1"/>
        </w:rPr>
        <w:t>操作，产品销售收入保持了一定的增长，产品毛利率有所回升，相信随着市场的不</w:t>
      </w:r>
      <w:r>
        <w:rPr>
          <w:spacing w:val="-102"/>
        </w:rPr>
        <w:t> </w:t>
      </w:r>
      <w:r>
        <w:rPr>
          <w:spacing w:val="-102"/>
        </w:rPr>
      </w:r>
      <w:r>
        <w:rPr/>
        <w:t>断规范与整合，家电连锁渠道的销售规模和盈利水平还会进一步提升。</w:t>
      </w:r>
    </w:p>
    <w:p>
      <w:pPr>
        <w:pStyle w:val="BodyText"/>
        <w:spacing w:line="357" w:lineRule="auto" w:before="36"/>
        <w:ind w:left="223" w:right="218" w:firstLine="480"/>
        <w:jc w:val="both"/>
      </w:pPr>
      <w:r>
        <w:rPr>
          <w:spacing w:val="-1"/>
        </w:rPr>
        <w:t>公司认为，上述情况属于市场竞争整合阶段的特点，消费类电子产品市场空间</w:t>
      </w:r>
      <w:r>
        <w:rPr/>
        <w:t> 巨大，是公司发展的重点。随着公司对行业、产品的把握，工商合作关系的深入， </w:t>
      </w:r>
      <w:r>
        <w:rPr>
          <w:spacing w:val="-1"/>
        </w:rPr>
        <w:t>消费者服务能力提升与店面针对性建设，该类产品的收入、毛利会继续保持较快增</w:t>
      </w:r>
      <w:r>
        <w:rPr>
          <w:spacing w:val="-104"/>
        </w:rPr>
        <w:t> </w:t>
      </w:r>
      <w:r>
        <w:rPr>
          <w:spacing w:val="-104"/>
        </w:rPr>
      </w:r>
      <w:r>
        <w:rPr/>
        <w:t>长态势。</w:t>
      </w:r>
    </w:p>
    <w:p>
      <w:pPr>
        <w:spacing w:line="240" w:lineRule="auto" w:before="5"/>
        <w:rPr>
          <w:rFonts w:ascii="宋体" w:hAnsi="宋体" w:cs="宋体" w:eastAsia="宋体" w:hint="default"/>
          <w:sz w:val="34"/>
          <w:szCs w:val="34"/>
        </w:rPr>
      </w:pPr>
    </w:p>
    <w:p>
      <w:pPr>
        <w:tabs>
          <w:tab w:pos="7303" w:val="left" w:leader="none"/>
        </w:tabs>
        <w:spacing w:before="0"/>
        <w:ind w:left="703"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3</w:t>
      </w:r>
      <w:r>
        <w:rPr>
          <w:rFonts w:ascii="宋体" w:hAnsi="宋体" w:cs="宋体" w:eastAsia="宋体" w:hint="default"/>
          <w:sz w:val="24"/>
          <w:szCs w:val="24"/>
        </w:rPr>
        <w:t>、销售费用和管理费用情况分析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117"/>
        <w:gridCol w:w="1693"/>
        <w:gridCol w:w="1621"/>
        <w:gridCol w:w="1439"/>
        <w:gridCol w:w="1321"/>
        <w:gridCol w:w="1645"/>
      </w:tblGrid>
      <w:tr>
        <w:trPr>
          <w:trHeight w:val="347" w:hRule="exact"/>
        </w:trPr>
        <w:tc>
          <w:tcPr>
            <w:tcW w:w="1117" w:type="dxa"/>
            <w:vMerge w:val="restart"/>
            <w:tcBorders>
              <w:top w:val="single" w:sz="12" w:space="0" w:color="000000"/>
              <w:left w:val="single" w:sz="12" w:space="0" w:color="000000"/>
              <w:right w:val="single" w:sz="4" w:space="0" w:color="000000"/>
            </w:tcBorders>
          </w:tcPr>
          <w:p>
            <w:pPr>
              <w:pStyle w:val="TableParagraph"/>
              <w:tabs>
                <w:tab w:pos="723" w:val="left" w:leader="none"/>
              </w:tabs>
              <w:spacing w:line="240" w:lineRule="auto" w:before="149"/>
              <w:ind w:left="18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104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7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76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645" w:type="dxa"/>
            <w:vMerge w:val="restart"/>
            <w:tcBorders>
              <w:top w:val="single" w:sz="12" w:space="0" w:color="000000"/>
              <w:left w:val="single" w:sz="4" w:space="0" w:color="000000"/>
              <w:right w:val="single" w:sz="12" w:space="0" w:color="000000"/>
            </w:tcBorders>
          </w:tcPr>
          <w:p>
            <w:pPr>
              <w:pStyle w:val="TableParagraph"/>
              <w:spacing w:line="240" w:lineRule="auto" w:before="32"/>
              <w:ind w:left="457" w:right="446"/>
              <w:jc w:val="left"/>
              <w:rPr>
                <w:rFonts w:ascii="宋体" w:hAnsi="宋体" w:cs="宋体" w:eastAsia="宋体" w:hint="default"/>
                <w:sz w:val="18"/>
                <w:szCs w:val="18"/>
              </w:rPr>
            </w:pPr>
            <w:r>
              <w:rPr>
                <w:rFonts w:ascii="宋体" w:hAnsi="宋体" w:cs="宋体" w:eastAsia="宋体" w:hint="default"/>
                <w:sz w:val="18"/>
                <w:szCs w:val="18"/>
              </w:rPr>
              <w:t>费用占比 变动情况</w:t>
            </w:r>
          </w:p>
        </w:tc>
      </w:tr>
      <w:tr>
        <w:trPr>
          <w:trHeight w:val="295" w:hRule="exact"/>
        </w:trPr>
        <w:tc>
          <w:tcPr>
            <w:tcW w:w="1117" w:type="dxa"/>
            <w:vMerge/>
            <w:tcBorders>
              <w:left w:val="single" w:sz="12"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占主营收入比</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占主营收入比</w:t>
            </w:r>
          </w:p>
        </w:tc>
        <w:tc>
          <w:tcPr>
            <w:tcW w:w="1645" w:type="dxa"/>
            <w:vMerge/>
            <w:tcBorders>
              <w:left w:val="single" w:sz="4" w:space="0" w:color="000000"/>
              <w:bottom w:val="single" w:sz="4" w:space="0" w:color="000000"/>
              <w:right w:val="single" w:sz="12" w:space="0" w:color="000000"/>
            </w:tcBorders>
          </w:tcPr>
          <w:p>
            <w:pP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217,836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0.45%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123,142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0.32%</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0.13%</w:t>
            </w: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823,291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1.70%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597,082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1.54%</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0.16%</w:t>
            </w: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1,820,194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3.77%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1,008,690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2.61%</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1.16%</w:t>
            </w: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1,564,997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3.24%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910,464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2.35%</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0.89%</w:t>
            </w:r>
          </w:p>
        </w:tc>
      </w:tr>
      <w:tr>
        <w:trPr>
          <w:trHeight w:val="294"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317,826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0.66%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221,132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0.57%</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left="584" w:right="0"/>
              <w:jc w:val="left"/>
              <w:rPr>
                <w:rFonts w:ascii="Times New Roman" w:hAnsi="Times New Roman" w:cs="Times New Roman" w:eastAsia="Times New Roman" w:hint="default"/>
                <w:sz w:val="18"/>
                <w:szCs w:val="18"/>
              </w:rPr>
            </w:pPr>
            <w:r>
              <w:rPr>
                <w:rFonts w:ascii="Times New Roman"/>
                <w:sz w:val="18"/>
              </w:rPr>
              <w:t>0.09%</w:t>
            </w: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装潢费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240,298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0.50%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169,159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0.44%</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0.06%</w:t>
            </w:r>
          </w:p>
        </w:tc>
      </w:tr>
      <w:tr>
        <w:trPr>
          <w:trHeight w:val="295" w:hRule="exact"/>
        </w:trPr>
        <w:tc>
          <w:tcPr>
            <w:tcW w:w="1117"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580,547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1.20%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449,450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1.16%</w:t>
            </w:r>
          </w:p>
        </w:tc>
        <w:tc>
          <w:tcPr>
            <w:tcW w:w="1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0.04%</w:t>
            </w:r>
          </w:p>
        </w:tc>
      </w:tr>
      <w:tr>
        <w:trPr>
          <w:trHeight w:val="306" w:hRule="exact"/>
        </w:trPr>
        <w:tc>
          <w:tcPr>
            <w:tcW w:w="1117"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5,564,989</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11.52%</w:t>
            </w:r>
          </w:p>
        </w:tc>
        <w:tc>
          <w:tcPr>
            <w:tcW w:w="14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3,479,119</w:t>
            </w:r>
          </w:p>
        </w:tc>
        <w:tc>
          <w:tcPr>
            <w:tcW w:w="1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8.99%</w:t>
            </w:r>
          </w:p>
        </w:tc>
        <w:tc>
          <w:tcPr>
            <w:tcW w:w="16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3"/>
              <w:ind w:left="584" w:right="0"/>
              <w:jc w:val="left"/>
              <w:rPr>
                <w:rFonts w:ascii="Times New Roman" w:hAnsi="Times New Roman" w:cs="Times New Roman" w:eastAsia="Times New Roman" w:hint="default"/>
                <w:sz w:val="18"/>
                <w:szCs w:val="18"/>
              </w:rPr>
            </w:pPr>
            <w:r>
              <w:rPr>
                <w:rFonts w:ascii="Times New Roman"/>
                <w:sz w:val="18"/>
              </w:rPr>
              <w:t>2.53%</w:t>
            </w:r>
          </w:p>
        </w:tc>
      </w:tr>
    </w:tbl>
    <w:p>
      <w:pPr>
        <w:spacing w:after="0" w:line="240" w:lineRule="auto"/>
        <w:jc w:val="left"/>
        <w:rPr>
          <w:rFonts w:ascii="Times New Roman" w:hAnsi="Times New Roman" w:cs="Times New Roman" w:eastAsia="Times New Roman" w:hint="default"/>
          <w:sz w:val="18"/>
          <w:szCs w:val="18"/>
        </w:rPr>
        <w:sectPr>
          <w:pgSz w:w="11910" w:h="16840"/>
          <w:pgMar w:header="826" w:footer="900" w:top="1100" w:bottom="1100" w:left="1420" w:right="1400"/>
        </w:sectPr>
      </w:pPr>
    </w:p>
    <w:p>
      <w:pPr>
        <w:pStyle w:val="BodyText"/>
        <w:spacing w:line="350" w:lineRule="auto" w:before="106"/>
        <w:ind w:left="223" w:right="109" w:firstLine="480"/>
        <w:jc w:val="left"/>
      </w:pPr>
      <w:r>
        <w:rPr/>
        <w:t>报告期内，公司新开店面数量有所增加带来公司管理费用、销售费用的上升； </w:t>
      </w:r>
      <w:r>
        <w:rPr>
          <w:rFonts w:ascii="Times New Roman" w:hAnsi="Times New Roman" w:cs="Times New Roman" w:eastAsia="Times New Roman" w:hint="default"/>
        </w:rPr>
        <w:t>2007 </w:t>
      </w:r>
      <w:r>
        <w:rPr>
          <w:spacing w:val="-3"/>
        </w:rPr>
        <w:t>年底承接的加盟店纳入公司体系运营，零售业务的费用水平高于向特许加盟商</w:t>
      </w:r>
      <w:r>
        <w:rPr>
          <w:spacing w:val="-98"/>
        </w:rPr>
        <w:t> </w:t>
      </w:r>
      <w:r>
        <w:rPr>
          <w:spacing w:val="-98"/>
        </w:rPr>
      </w:r>
      <w:r>
        <w:rPr>
          <w:spacing w:val="-4"/>
        </w:rPr>
        <w:t>的销售业务；同时，由于社会劳动成本及单位租金水平的上升，使得公司人员成本、</w:t>
      </w:r>
      <w:r>
        <w:rPr>
          <w:spacing w:val="-113"/>
        </w:rPr>
        <w:t> </w:t>
      </w:r>
      <w:r>
        <w:rPr>
          <w:spacing w:val="-113"/>
        </w:rPr>
      </w:r>
      <w:r>
        <w:rPr/>
        <w:t>租赁费用进一步上升；</w:t>
      </w:r>
    </w:p>
    <w:p>
      <w:pPr>
        <w:pStyle w:val="BodyText"/>
        <w:spacing w:line="357" w:lineRule="auto" w:before="43"/>
        <w:ind w:left="223" w:right="236" w:firstLine="547"/>
        <w:jc w:val="both"/>
      </w:pPr>
      <w:r>
        <w:rPr>
          <w:spacing w:val="-3"/>
        </w:rPr>
        <w:t>受自然灾害、国际金融危机向实体经济蔓延以及节假日调整的影响，公司全年</w:t>
      </w:r>
      <w:r>
        <w:rPr/>
        <w:t> </w:t>
      </w:r>
      <w:r>
        <w:rPr>
          <w:spacing w:val="-1"/>
        </w:rPr>
        <w:t>销售尤其四季度可比店面销售出现下滑，而管理费用、销售费用中人员、水电、租</w:t>
      </w:r>
      <w:r>
        <w:rPr>
          <w:spacing w:val="-104"/>
        </w:rPr>
        <w:t> </w:t>
      </w:r>
      <w:r>
        <w:rPr>
          <w:spacing w:val="-104"/>
        </w:rPr>
      </w:r>
      <w:r>
        <w:rPr>
          <w:spacing w:val="-1"/>
        </w:rPr>
        <w:t>赁等费用属于固定费用、相对固定费用，由此带来报告期内管理费用率、销售费用</w:t>
      </w:r>
      <w:r>
        <w:rPr>
          <w:spacing w:val="-102"/>
        </w:rPr>
        <w:t> </w:t>
      </w:r>
      <w:r>
        <w:rPr>
          <w:spacing w:val="-102"/>
        </w:rPr>
      </w:r>
      <w:r>
        <w:rPr/>
        <w:t>率合计比去年同期上升</w:t>
      </w:r>
      <w:r>
        <w:rPr>
          <w:spacing w:val="-60"/>
        </w:rPr>
        <w:t> </w:t>
      </w:r>
      <w:r>
        <w:rPr>
          <w:rFonts w:ascii="Times New Roman" w:hAnsi="Times New Roman" w:cs="Times New Roman" w:eastAsia="Times New Roman" w:hint="default"/>
        </w:rPr>
        <w:t>2.53 </w:t>
      </w:r>
      <w:r>
        <w:rPr/>
        <w:t>个百分点，但综合费用水平仍在可控范围内；</w:t>
      </w:r>
    </w:p>
    <w:p>
      <w:pPr>
        <w:pStyle w:val="BodyText"/>
        <w:spacing w:line="240" w:lineRule="auto" w:before="5"/>
        <w:ind w:left="771" w:right="2568"/>
        <w:jc w:val="left"/>
      </w:pPr>
      <w:r>
        <w:rPr/>
        <w:t>（</w:t>
      </w:r>
      <w:r>
        <w:rPr>
          <w:rFonts w:ascii="Times New Roman" w:hAnsi="Times New Roman" w:cs="Times New Roman" w:eastAsia="Times New Roman" w:hint="default"/>
        </w:rPr>
        <w:t>1</w:t>
      </w:r>
      <w:r>
        <w:rPr/>
        <w:t>）租赁费用率上升的主要原因：</w:t>
      </w:r>
    </w:p>
    <w:p>
      <w:pPr>
        <w:pStyle w:val="BodyText"/>
        <w:spacing w:line="352" w:lineRule="auto" w:before="135"/>
        <w:ind w:left="224" w:right="237" w:firstLine="480"/>
        <w:jc w:val="both"/>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年底承接的加盟店现已纳入公司体系运营，但这些店面的零售收 </w:t>
      </w:r>
      <w:r>
        <w:rPr>
          <w:spacing w:val="5"/>
        </w:rPr>
        <w:t>入在去年本公司对特许加盟商的销售收入中已经部分体现。公司承接该部分店面</w:t>
      </w:r>
      <w:r>
        <w:rPr>
          <w:spacing w:val="-96"/>
        </w:rPr>
        <w:t> </w:t>
      </w:r>
      <w:r>
        <w:rPr>
          <w:spacing w:val="-96"/>
        </w:rPr>
      </w:r>
      <w:r>
        <w:rPr>
          <w:spacing w:val="-1"/>
        </w:rPr>
        <w:t>后，开始为其支付租赁费用，使得主营业务收入的增加额与费用的增加额不完全同</w:t>
      </w:r>
      <w:r>
        <w:rPr>
          <w:spacing w:val="-104"/>
        </w:rPr>
        <w:t> </w:t>
      </w:r>
      <w:r>
        <w:rPr>
          <w:spacing w:val="-104"/>
        </w:rPr>
      </w:r>
      <w:r>
        <w:rPr>
          <w:spacing w:val="-1"/>
        </w:rPr>
        <w:t>步，加之加盟店的整合还需要一定时间，形成租赁费用占主营业务收入的比例有所</w:t>
      </w:r>
      <w:r>
        <w:rPr>
          <w:spacing w:val="-104"/>
        </w:rPr>
        <w:t> </w:t>
      </w:r>
      <w:r>
        <w:rPr>
          <w:spacing w:val="-104"/>
        </w:rPr>
      </w:r>
      <w:r>
        <w:rPr/>
        <w:t>上升；</w:t>
      </w:r>
    </w:p>
    <w:p>
      <w:pPr>
        <w:pStyle w:val="BodyText"/>
        <w:spacing w:line="338" w:lineRule="auto" w:before="41"/>
        <w:ind w:left="224"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由于近几年房地产价格的持续上升，带来公司报告期内新开店面单位租金</w:t>
      </w:r>
      <w:r>
        <w:rPr>
          <w:spacing w:val="3"/>
        </w:rPr>
        <w:t> </w:t>
      </w:r>
      <w:r>
        <w:rPr/>
        <w:t>的上涨，公司租赁费率上升较快。</w:t>
      </w:r>
    </w:p>
    <w:p>
      <w:pPr>
        <w:pStyle w:val="BodyText"/>
        <w:spacing w:line="240" w:lineRule="auto" w:before="55"/>
        <w:ind w:left="704" w:right="2568"/>
        <w:jc w:val="left"/>
      </w:pPr>
      <w:r>
        <w:rPr/>
        <w:t>（</w:t>
      </w:r>
      <w:r>
        <w:rPr>
          <w:rFonts w:ascii="Times New Roman" w:hAnsi="Times New Roman" w:cs="Times New Roman" w:eastAsia="Times New Roman" w:hint="default"/>
        </w:rPr>
        <w:t>2</w:t>
      </w:r>
      <w:r>
        <w:rPr/>
        <w:t>）人员费用率上升的主要原因：</w:t>
      </w:r>
    </w:p>
    <w:p>
      <w:pPr>
        <w:pStyle w:val="BodyText"/>
        <w:spacing w:line="348" w:lineRule="auto" w:before="135"/>
        <w:ind w:left="224" w:right="117" w:firstLine="480"/>
        <w:jc w:val="both"/>
      </w:pPr>
      <w:r>
        <w:rPr>
          <w:rFonts w:ascii="Wingdings" w:hAnsi="Wingdings" w:cs="Wingdings" w:eastAsia="Wingdings" w:hint="default"/>
        </w:rPr>
        <w:t></w:t>
      </w:r>
      <w:r>
        <w:rPr>
          <w:rFonts w:ascii="Wingdings" w:hAnsi="Wingdings" w:cs="Wingdings" w:eastAsia="Wingdings" w:hint="default"/>
          <w:spacing w:val="20"/>
        </w:rPr>
        <w:t></w:t>
      </w:r>
      <w:r>
        <w:rPr>
          <w:rFonts w:ascii="Times New Roman" w:hAnsi="Times New Roman" w:cs="Times New Roman" w:eastAsia="Times New Roman" w:hint="default"/>
          <w:spacing w:val="20"/>
        </w:rPr>
      </w:r>
      <w:r>
        <w:rPr/>
        <w:t>报告期内，公司新进二级城市数量较多，根据公司的组织设置，公司需在</w:t>
      </w:r>
      <w:r>
        <w:rPr>
          <w:spacing w:val="1"/>
        </w:rPr>
        <w:t> </w:t>
      </w:r>
      <w:r>
        <w:rPr/>
        <w:t>当地设立子公司进行运营，因此为保证当地公司的正常运作，公司提前进行了人员</w:t>
      </w:r>
      <w:r>
        <w:rPr/>
        <w:t> </w:t>
      </w:r>
      <w:r>
        <w:rPr>
          <w:spacing w:val="-4"/>
        </w:rPr>
        <w:t>储备，同时二级市场的收入提升有一个成熟的过程，由此带来了人员费用率的上升；</w:t>
      </w:r>
    </w:p>
    <w:p>
      <w:pPr>
        <w:pStyle w:val="BodyText"/>
        <w:spacing w:line="348" w:lineRule="auto" w:before="46"/>
        <w:ind w:left="223"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随着物价水平的上升，社会劳动力成本普遍上升，公司为保持薪酬的社会</w:t>
      </w:r>
      <w:r>
        <w:rPr>
          <w:spacing w:val="3"/>
        </w:rPr>
        <w:t> </w:t>
      </w:r>
      <w:r>
        <w:rPr>
          <w:spacing w:val="-1"/>
        </w:rPr>
        <w:t>竞争力，提高了员工的工资和福利水平，从而导致人员费用占主营业务收入的比例</w:t>
      </w:r>
      <w:r>
        <w:rPr>
          <w:spacing w:val="-104"/>
        </w:rPr>
        <w:t> </w:t>
      </w:r>
      <w:r>
        <w:rPr>
          <w:spacing w:val="-104"/>
        </w:rPr>
      </w:r>
      <w:r>
        <w:rPr/>
        <w:t>较去年同期有所上升。</w:t>
      </w:r>
    </w:p>
    <w:p>
      <w:pPr>
        <w:spacing w:line="240" w:lineRule="auto" w:before="2"/>
        <w:rPr>
          <w:rFonts w:ascii="宋体" w:hAnsi="宋体" w:cs="宋体" w:eastAsia="宋体" w:hint="default"/>
          <w:sz w:val="35"/>
          <w:szCs w:val="35"/>
        </w:rPr>
      </w:pPr>
    </w:p>
    <w:p>
      <w:pPr>
        <w:pStyle w:val="BodyText"/>
        <w:spacing w:line="240" w:lineRule="auto"/>
        <w:ind w:left="703" w:right="2568"/>
        <w:jc w:val="left"/>
      </w:pPr>
      <w:r>
        <w:rPr>
          <w:rFonts w:ascii="Times New Roman" w:hAnsi="Times New Roman" w:cs="Times New Roman" w:eastAsia="Times New Roman" w:hint="default"/>
        </w:rPr>
        <w:t>4</w:t>
      </w:r>
      <w:r>
        <w:rPr/>
        <w:t>、财务状况及相关指标变动情况及原因分析</w:t>
      </w:r>
    </w:p>
    <w:p>
      <w:pPr>
        <w:tabs>
          <w:tab w:pos="7423" w:val="left" w:leader="none"/>
        </w:tabs>
        <w:spacing w:before="135"/>
        <w:ind w:left="703" w:right="0"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）资产构成情况及变动原因分析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49"/>
        <w:gridCol w:w="1260"/>
        <w:gridCol w:w="1262"/>
        <w:gridCol w:w="1211"/>
        <w:gridCol w:w="1328"/>
        <w:gridCol w:w="1326"/>
      </w:tblGrid>
      <w:tr>
        <w:trPr>
          <w:trHeight w:val="359" w:hRule="exact"/>
        </w:trPr>
        <w:tc>
          <w:tcPr>
            <w:tcW w:w="2449" w:type="dxa"/>
            <w:vMerge w:val="restart"/>
            <w:tcBorders>
              <w:top w:val="single" w:sz="12" w:space="0" w:color="000000"/>
              <w:left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增减情况</w:t>
            </w:r>
          </w:p>
        </w:tc>
        <w:tc>
          <w:tcPr>
            <w:tcW w:w="1326" w:type="dxa"/>
            <w:vMerge w:val="restart"/>
            <w:tcBorders>
              <w:top w:val="single" w:sz="12" w:space="0" w:color="000000"/>
              <w:left w:val="single" w:sz="4" w:space="0" w:color="000000"/>
              <w:right w:val="single" w:sz="12" w:space="0" w:color="000000"/>
            </w:tcBorders>
          </w:tcPr>
          <w:p>
            <w:pPr>
              <w:pStyle w:val="TableParagraph"/>
              <w:spacing w:line="242" w:lineRule="exact" w:before="13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7" w:hRule="exact"/>
        </w:trPr>
        <w:tc>
          <w:tcPr>
            <w:tcW w:w="2449" w:type="dxa"/>
            <w:vMerge/>
            <w:tcBorders>
              <w:left w:val="single" w:sz="12"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宋体" w:hAnsi="宋体" w:cs="宋体" w:eastAsia="宋体" w:hint="default"/>
                <w:sz w:val="18"/>
                <w:szCs w:val="18"/>
              </w:rPr>
            </w:pPr>
            <w:r>
              <w:rPr>
                <w:rFonts w:ascii="宋体" w:hAnsi="宋体" w:cs="宋体" w:eastAsia="宋体" w:hint="default"/>
                <w:spacing w:val="-4"/>
                <w:sz w:val="18"/>
                <w:szCs w:val="18"/>
              </w:rPr>
              <w:t>增减幅度（</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tc>
        <w:tc>
          <w:tcPr>
            <w:tcW w:w="1326" w:type="dxa"/>
            <w:vMerge/>
            <w:tcBorders>
              <w:left w:val="single" w:sz="4" w:space="0" w:color="000000"/>
              <w:bottom w:val="single" w:sz="4" w:space="0" w:color="000000"/>
              <w:right w:val="single" w:sz="12" w:space="0" w:color="000000"/>
            </w:tcBorders>
          </w:tcPr>
          <w:p>
            <w:pPr/>
          </w:p>
        </w:tc>
      </w:tr>
      <w:tr>
        <w:trPr>
          <w:trHeight w:val="370"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10,574,232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7,465,293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3,108,939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41.65%</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3,339,781</w:t>
            </w:r>
          </w:p>
        </w:tc>
      </w:tr>
      <w:tr>
        <w:trPr>
          <w:trHeight w:val="368"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pacing w:val="-1"/>
                <w:sz w:val="18"/>
              </w:rPr>
              <w:t>4,908,211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4,552,543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355,668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3,407,269</w:t>
            </w:r>
          </w:p>
        </w:tc>
      </w:tr>
      <w:tr>
        <w:trPr>
          <w:trHeight w:val="380" w:hRule="exact"/>
        </w:trPr>
        <w:tc>
          <w:tcPr>
            <w:tcW w:w="244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17,188,227</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13,598,194</w:t>
            </w: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3,590,033</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26.40%</w:t>
            </w:r>
            <w:r>
              <w:rPr>
                <w:rFonts w:ascii="Times New Roman"/>
                <w:sz w:val="18"/>
              </w:rPr>
            </w:r>
          </w:p>
        </w:tc>
        <w:tc>
          <w:tcPr>
            <w:tcW w:w="13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8,076,092</w:t>
            </w:r>
          </w:p>
        </w:tc>
      </w:tr>
    </w:tbl>
    <w:p>
      <w:pPr>
        <w:spacing w:after="0" w:line="240" w:lineRule="auto"/>
        <w:jc w:val="right"/>
        <w:rPr>
          <w:rFonts w:ascii="宋体" w:hAnsi="宋体" w:cs="宋体" w:eastAsia="宋体" w:hint="default"/>
          <w:sz w:val="18"/>
          <w:szCs w:val="18"/>
        </w:rPr>
        <w:sectPr>
          <w:pgSz w:w="11910" w:h="16840"/>
          <w:pgMar w:header="826" w:footer="900" w:top="1100" w:bottom="1100" w:left="1420" w:right="1400"/>
        </w:sectPr>
      </w:pPr>
    </w:p>
    <w:p>
      <w:pPr>
        <w:spacing w:line="240" w:lineRule="auto" w:before="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449"/>
        <w:gridCol w:w="1260"/>
        <w:gridCol w:w="1262"/>
        <w:gridCol w:w="1211"/>
        <w:gridCol w:w="1328"/>
        <w:gridCol w:w="1326"/>
      </w:tblGrid>
      <w:tr>
        <w:trPr>
          <w:trHeight w:val="360" w:hRule="exact"/>
        </w:trPr>
        <w:tc>
          <w:tcPr>
            <w:tcW w:w="244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7,096,536</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6,582,678</w:t>
            </w:r>
          </w:p>
        </w:tc>
        <w:tc>
          <w:tcPr>
            <w:tcW w:w="12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513,858</w:t>
            </w:r>
          </w:p>
        </w:tc>
        <w:tc>
          <w:tcPr>
            <w:tcW w:w="13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c>
          <w:tcPr>
            <w:tcW w:w="13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right="91"/>
              <w:jc w:val="right"/>
              <w:rPr>
                <w:rFonts w:ascii="宋体" w:hAnsi="宋体" w:cs="宋体" w:eastAsia="宋体" w:hint="default"/>
                <w:sz w:val="18"/>
                <w:szCs w:val="18"/>
              </w:rPr>
            </w:pPr>
            <w:r>
              <w:rPr>
                <w:rFonts w:ascii="宋体"/>
                <w:sz w:val="18"/>
              </w:rPr>
              <w:t>3,182,959</w:t>
            </w:r>
          </w:p>
        </w:tc>
      </w:tr>
      <w:tr>
        <w:trPr>
          <w:trHeight w:val="368"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3,633,327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3,146,318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487,009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15.48%</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1,686,242</w:t>
            </w:r>
          </w:p>
        </w:tc>
      </w:tr>
      <w:tr>
        <w:trPr>
          <w:trHeight w:val="370"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12,478,565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pacing w:val="-1"/>
                <w:sz w:val="18"/>
              </w:rPr>
              <w:t>11,390,645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1,087,920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9.55%</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5,531,770</w:t>
            </w:r>
          </w:p>
        </w:tc>
      </w:tr>
      <w:tr>
        <w:trPr>
          <w:trHeight w:val="368"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3,316,431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1,869,265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1,447,166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77.42%</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383,681</w:t>
            </w:r>
          </w:p>
        </w:tc>
      </w:tr>
      <w:tr>
        <w:trPr>
          <w:trHeight w:val="370" w:hRule="exact"/>
        </w:trPr>
        <w:tc>
          <w:tcPr>
            <w:tcW w:w="24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股东权益（归属于母公司）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8,775,957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4,623,562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4,152,395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89.81%</w:t>
            </w:r>
            <w:r>
              <w:rPr>
                <w:rFonts w:ascii="Times New Roman"/>
                <w:sz w:val="18"/>
              </w:rPr>
            </w:r>
          </w:p>
        </w:tc>
        <w:tc>
          <w:tcPr>
            <w:tcW w:w="13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3,158,136</w:t>
            </w:r>
          </w:p>
        </w:tc>
      </w:tr>
      <w:tr>
        <w:trPr>
          <w:trHeight w:val="379" w:hRule="exact"/>
        </w:trPr>
        <w:tc>
          <w:tcPr>
            <w:tcW w:w="244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21,618,527</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16,229,651</w:t>
            </w:r>
          </w:p>
        </w:tc>
        <w:tc>
          <w:tcPr>
            <w:tcW w:w="1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5,388,876</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w w:val="95"/>
                <w:sz w:val="18"/>
              </w:rPr>
              <w:t>33.20%</w:t>
            </w:r>
            <w:r>
              <w:rPr>
                <w:rFonts w:ascii="Times New Roman"/>
                <w:sz w:val="18"/>
              </w:rPr>
            </w:r>
          </w:p>
        </w:tc>
        <w:tc>
          <w:tcPr>
            <w:tcW w:w="13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2"/>
              <w:ind w:right="91"/>
              <w:jc w:val="right"/>
              <w:rPr>
                <w:rFonts w:ascii="宋体" w:hAnsi="宋体" w:cs="宋体" w:eastAsia="宋体" w:hint="default"/>
                <w:sz w:val="18"/>
                <w:szCs w:val="18"/>
              </w:rPr>
            </w:pPr>
            <w:r>
              <w:rPr>
                <w:rFonts w:ascii="宋体"/>
                <w:sz w:val="18"/>
              </w:rPr>
              <w:t>8,829,047</w:t>
            </w:r>
          </w:p>
        </w:tc>
      </w:tr>
    </w:tbl>
    <w:p>
      <w:pPr>
        <w:pStyle w:val="BodyText"/>
        <w:spacing w:line="275" w:lineRule="exact"/>
        <w:ind w:left="724" w:right="153"/>
        <w:jc w:val="left"/>
      </w:pPr>
      <w:r>
        <w:rPr/>
        <w:t>① 货币资金变化的主要原因：</w:t>
      </w:r>
    </w:p>
    <w:p>
      <w:pPr>
        <w:pStyle w:val="BodyText"/>
        <w:spacing w:line="240" w:lineRule="auto" w:before="154"/>
        <w:ind w:left="723"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报告期末，公司银行承兑汇票保证金期末余额为</w:t>
      </w:r>
      <w:r>
        <w:rPr>
          <w:spacing w:val="-60"/>
        </w:rPr>
        <w:t> </w:t>
      </w:r>
      <w:r>
        <w:rPr>
          <w:rFonts w:ascii="Times New Roman" w:hAnsi="Times New Roman" w:cs="Times New Roman" w:eastAsia="Times New Roman" w:hint="default"/>
        </w:rPr>
        <w:t>36.3 </w:t>
      </w:r>
      <w:r>
        <w:rPr/>
        <w:t>亿元；</w:t>
      </w:r>
    </w:p>
    <w:p>
      <w:pPr>
        <w:pStyle w:val="BodyText"/>
        <w:spacing w:line="240" w:lineRule="auto" w:before="135"/>
        <w:ind w:left="723"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报告期内，公司非公开发行募集资金</w:t>
      </w:r>
      <w:r>
        <w:rPr>
          <w:spacing w:val="-60"/>
        </w:rPr>
        <w:t> </w:t>
      </w:r>
      <w:r>
        <w:rPr>
          <w:rFonts w:ascii="Times New Roman" w:hAnsi="Times New Roman" w:cs="Times New Roman" w:eastAsia="Times New Roman" w:hint="default"/>
        </w:rPr>
        <w:t>24.2 </w:t>
      </w:r>
      <w:r>
        <w:rPr/>
        <w:t>亿元尚未完全使用；</w:t>
      </w:r>
    </w:p>
    <w:p>
      <w:pPr>
        <w:pStyle w:val="BodyText"/>
        <w:spacing w:line="240" w:lineRule="auto" w:before="135"/>
        <w:ind w:left="723"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公司进一步加强存货管理，提升存货周转速度，期末资金回笼情况较好；</w:t>
      </w:r>
    </w:p>
    <w:p>
      <w:pPr>
        <w:pStyle w:val="BodyText"/>
        <w:spacing w:line="240" w:lineRule="auto" w:before="137"/>
        <w:ind w:left="723" w:right="153"/>
        <w:jc w:val="left"/>
      </w:pPr>
      <w:r>
        <w:rPr/>
        <w:t>② 固定资产变化的主要原因：</w:t>
      </w:r>
    </w:p>
    <w:p>
      <w:pPr>
        <w:pStyle w:val="BodyText"/>
        <w:spacing w:line="350" w:lineRule="auto" w:before="154"/>
        <w:ind w:left="243" w:right="256" w:firstLine="480"/>
        <w:jc w:val="both"/>
      </w:pPr>
      <w:r>
        <w:rPr>
          <w:rFonts w:ascii="Wingdings" w:hAnsi="Wingdings" w:cs="Wingdings" w:eastAsia="Wingdings" w:hint="default"/>
        </w:rPr>
        <w:t></w:t>
      </w:r>
      <w:r>
        <w:rPr>
          <w:rFonts w:ascii="Wingdings" w:hAnsi="Wingdings" w:cs="Wingdings" w:eastAsia="Wingdings" w:hint="default"/>
          <w:spacing w:val="29"/>
        </w:rPr>
        <w:t></w:t>
      </w:r>
      <w:r>
        <w:rPr>
          <w:rFonts w:ascii="Times New Roman" w:hAnsi="Times New Roman" w:cs="Times New Roman" w:eastAsia="Times New Roman" w:hint="default"/>
          <w:spacing w:val="29"/>
        </w:rPr>
      </w:r>
      <w:r>
        <w:rPr/>
        <w:t>报告期内，公司控股子公司——重庆渝宁苏宁电器有限公司、四川苏宁电</w:t>
      </w:r>
      <w:r>
        <w:rPr>
          <w:spacing w:val="1"/>
        </w:rPr>
        <w:t> </w:t>
      </w:r>
      <w:r>
        <w:rPr>
          <w:spacing w:val="-1"/>
        </w:rPr>
        <w:t>器有限公司、天津天宁苏宁电器有限公司、武汉苏宁电器有限公司、厦门福厦苏宁</w:t>
      </w:r>
      <w:r>
        <w:rPr>
          <w:spacing w:val="-102"/>
        </w:rPr>
        <w:t> </w:t>
      </w:r>
      <w:r>
        <w:rPr>
          <w:spacing w:val="-102"/>
        </w:rPr>
      </w:r>
      <w:r>
        <w:rPr>
          <w:spacing w:val="-1"/>
        </w:rPr>
        <w:t>电器有限公司、泰安苏宁电器有限公司采取在核心商圈购置经营用房、以扩大在核</w:t>
      </w:r>
      <w:r>
        <w:rPr>
          <w:spacing w:val="-104"/>
        </w:rPr>
        <w:t> </w:t>
      </w:r>
      <w:r>
        <w:rPr>
          <w:spacing w:val="-104"/>
        </w:rPr>
      </w:r>
      <w:r>
        <w:rPr/>
        <w:t>心商圈的营业面积，带来公司固定资产的增加；</w:t>
      </w:r>
    </w:p>
    <w:p>
      <w:pPr>
        <w:pStyle w:val="BodyText"/>
        <w:tabs>
          <w:tab w:pos="1143" w:val="left" w:leader="none"/>
        </w:tabs>
        <w:spacing w:line="240" w:lineRule="auto" w:before="43"/>
        <w:ind w:left="723" w:right="153"/>
        <w:jc w:val="left"/>
      </w:pPr>
      <w:r>
        <w:rPr>
          <w:rFonts w:ascii="Wingdings" w:hAnsi="Wingdings" w:cs="Wingdings" w:eastAsia="Wingdings" w:hint="default"/>
        </w:rPr>
        <w:t></w:t>
      </w:r>
      <w:r>
        <w:rPr>
          <w:rFonts w:ascii="Times New Roman" w:hAnsi="Times New Roman" w:cs="Times New Roman" w:eastAsia="Times New Roman" w:hint="default"/>
        </w:rPr>
        <w:tab/>
      </w:r>
      <w:r>
        <w:rPr/>
        <w:t>报告期内，江苏物流基地竣工，也带来报告期末固定资产的增加；</w:t>
      </w:r>
    </w:p>
    <w:p>
      <w:pPr>
        <w:pStyle w:val="BodyText"/>
        <w:spacing w:line="240" w:lineRule="auto" w:before="137"/>
        <w:ind w:left="723" w:right="153"/>
        <w:jc w:val="left"/>
      </w:pPr>
      <w:r>
        <w:rPr/>
        <w:t>③ 归属于上市公司股东的股东权益变化的主要原因：</w:t>
      </w:r>
    </w:p>
    <w:p>
      <w:pPr>
        <w:pStyle w:val="BodyText"/>
        <w:spacing w:line="240" w:lineRule="auto" w:before="154"/>
        <w:ind w:left="723"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报告期内，公司非公开发行股票募集资金到位；</w:t>
      </w:r>
    </w:p>
    <w:p>
      <w:pPr>
        <w:pStyle w:val="BodyText"/>
        <w:spacing w:line="338" w:lineRule="auto" w:before="137"/>
        <w:ind w:left="243" w:right="244" w:firstLine="480"/>
        <w:jc w:val="left"/>
      </w:pPr>
      <w:r>
        <w:rPr>
          <w:rFonts w:ascii="Wingdings" w:hAnsi="Wingdings" w:cs="Wingdings" w:eastAsia="Wingdings" w:hint="default"/>
        </w:rPr>
        <w:t></w:t>
      </w:r>
      <w:r>
        <w:rPr>
          <w:rFonts w:ascii="Wingdings" w:hAnsi="Wingdings" w:cs="Wingdings" w:eastAsia="Wingdings" w:hint="default"/>
          <w:spacing w:val="-56"/>
        </w:rPr>
        <w:t></w:t>
      </w:r>
      <w:r>
        <w:rPr>
          <w:rFonts w:ascii="Times New Roman" w:hAnsi="Times New Roman" w:cs="Times New Roman" w:eastAsia="Times New Roman" w:hint="default"/>
          <w:spacing w:val="-56"/>
        </w:rPr>
      </w:r>
      <w:r>
        <w:rPr/>
        <w:t>公司当期实现归属于上市公司股东的净利润</w:t>
      </w:r>
      <w:r>
        <w:rPr>
          <w:spacing w:val="-59"/>
        </w:rPr>
        <w:t> </w:t>
      </w:r>
      <w:r>
        <w:rPr>
          <w:rFonts w:ascii="Times New Roman" w:hAnsi="Times New Roman" w:cs="Times New Roman" w:eastAsia="Times New Roman" w:hint="default"/>
        </w:rPr>
        <w:t>21.70</w:t>
      </w:r>
      <w:r>
        <w:rPr>
          <w:rFonts w:ascii="Times New Roman" w:hAnsi="Times New Roman" w:cs="Times New Roman" w:eastAsia="Times New Roman" w:hint="default"/>
          <w:spacing w:val="1"/>
        </w:rPr>
        <w:t> </w:t>
      </w:r>
      <w:r>
        <w:rPr>
          <w:spacing w:val="-8"/>
        </w:rPr>
        <w:t>亿元，也带来归属于上市</w:t>
      </w:r>
      <w:r>
        <w:rPr/>
        <w:t> 公司股东的股东权益相应增加；</w:t>
      </w:r>
    </w:p>
    <w:p>
      <w:pPr>
        <w:pStyle w:val="BodyText"/>
        <w:spacing w:line="240" w:lineRule="auto" w:before="55"/>
        <w:ind w:left="723" w:right="153"/>
        <w:jc w:val="left"/>
      </w:pPr>
      <w:r>
        <w:rPr/>
        <w:t>④ 上述原因，造成报告期末流动资产、流动负债以及总资产的相应变化。</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tabs>
          <w:tab w:pos="7517" w:val="left" w:leader="none"/>
        </w:tabs>
        <w:spacing w:before="0"/>
        <w:ind w:left="726" w:right="0" w:firstLine="0"/>
        <w:jc w:val="left"/>
        <w:rPr>
          <w:rFonts w:ascii="宋体" w:hAnsi="宋体" w:cs="宋体" w:eastAsia="宋体" w:hint="default"/>
          <w:sz w:val="21"/>
          <w:szCs w:val="21"/>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）主要债权债务分析</w:t>
        <w:tab/>
      </w:r>
      <w:r>
        <w:rPr>
          <w:rFonts w:ascii="宋体" w:hAnsi="宋体" w:cs="宋体" w:eastAsia="宋体" w:hint="default"/>
          <w:spacing w:val="-3"/>
          <w:sz w:val="21"/>
          <w:szCs w:val="21"/>
        </w:rPr>
        <w:t>（单位：千元）</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196"/>
        <w:gridCol w:w="1660"/>
        <w:gridCol w:w="1661"/>
        <w:gridCol w:w="1661"/>
        <w:gridCol w:w="1660"/>
      </w:tblGrid>
      <w:tr>
        <w:trPr>
          <w:trHeight w:val="328" w:hRule="exact"/>
        </w:trPr>
        <w:tc>
          <w:tcPr>
            <w:tcW w:w="2196" w:type="dxa"/>
            <w:tcBorders>
              <w:top w:val="single" w:sz="17" w:space="0" w:color="000000"/>
              <w:left w:val="single" w:sz="17" w:space="0" w:color="000000"/>
              <w:bottom w:val="single" w:sz="4" w:space="0" w:color="000000"/>
              <w:right w:val="single" w:sz="4" w:space="0" w:color="000000"/>
            </w:tcBorders>
          </w:tcPr>
          <w:p>
            <w:pPr>
              <w:pStyle w:val="TableParagraph"/>
              <w:spacing w:line="251" w:lineRule="exact"/>
              <w:ind w:right="15"/>
              <w:jc w:val="center"/>
              <w:rPr>
                <w:rFonts w:ascii="宋体" w:hAnsi="宋体" w:cs="宋体" w:eastAsia="宋体" w:hint="default"/>
                <w:sz w:val="20"/>
                <w:szCs w:val="20"/>
              </w:rPr>
            </w:pPr>
            <w:r>
              <w:rPr>
                <w:rFonts w:ascii="宋体" w:hAnsi="宋体" w:cs="宋体" w:eastAsia="宋体" w:hint="default"/>
                <w:sz w:val="20"/>
                <w:szCs w:val="20"/>
              </w:rPr>
              <w:t>项目</w:t>
            </w:r>
          </w:p>
        </w:tc>
        <w:tc>
          <w:tcPr>
            <w:tcW w:w="1660"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399"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年度</w:t>
            </w:r>
          </w:p>
        </w:tc>
        <w:tc>
          <w:tcPr>
            <w:tcW w:w="1661"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399"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661"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425"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660" w:type="dxa"/>
            <w:tcBorders>
              <w:top w:val="single" w:sz="17" w:space="0" w:color="000000"/>
              <w:left w:val="single" w:sz="4" w:space="0" w:color="000000"/>
              <w:bottom w:val="single" w:sz="4" w:space="0" w:color="000000"/>
              <w:right w:val="single" w:sz="17" w:space="0" w:color="000000"/>
            </w:tcBorders>
          </w:tcPr>
          <w:p>
            <w:pPr>
              <w:pStyle w:val="TableParagraph"/>
              <w:spacing w:line="251" w:lineRule="exact"/>
              <w:ind w:left="398"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3"/>
                <w:sz w:val="20"/>
                <w:szCs w:val="20"/>
              </w:rPr>
              <w:t> </w:t>
            </w:r>
            <w:r>
              <w:rPr>
                <w:rFonts w:ascii="宋体" w:hAnsi="宋体" w:cs="宋体" w:eastAsia="宋体" w:hint="default"/>
                <w:sz w:val="20"/>
                <w:szCs w:val="20"/>
              </w:rPr>
              <w:t>年度</w:t>
            </w:r>
          </w:p>
        </w:tc>
      </w:tr>
      <w:tr>
        <w:trPr>
          <w:trHeight w:val="295" w:hRule="exact"/>
        </w:trPr>
        <w:tc>
          <w:tcPr>
            <w:tcW w:w="2196"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156,000</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140,000</w:t>
            </w:r>
            <w:r>
              <w:rPr>
                <w:rFonts w:ascii="宋体"/>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11.43%</w:t>
            </w:r>
            <w:r>
              <w:rPr>
                <w:rFonts w:ascii="宋体"/>
                <w:sz w:val="20"/>
              </w:rPr>
            </w:r>
          </w:p>
        </w:tc>
        <w:tc>
          <w:tcPr>
            <w:tcW w:w="1660"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5"/>
              <w:jc w:val="right"/>
              <w:rPr>
                <w:rFonts w:ascii="宋体" w:hAnsi="宋体" w:cs="宋体" w:eastAsia="宋体" w:hint="default"/>
                <w:sz w:val="20"/>
                <w:szCs w:val="20"/>
              </w:rPr>
            </w:pPr>
            <w:r>
              <w:rPr>
                <w:rFonts w:ascii="宋体"/>
                <w:spacing w:val="-1"/>
                <w:sz w:val="20"/>
              </w:rPr>
              <w:t>276,000</w:t>
            </w:r>
            <w:r>
              <w:rPr>
                <w:rFonts w:ascii="宋体"/>
                <w:sz w:val="20"/>
              </w:rPr>
            </w:r>
          </w:p>
        </w:tc>
      </w:tr>
      <w:tr>
        <w:trPr>
          <w:trHeight w:val="295" w:hRule="exact"/>
        </w:trPr>
        <w:tc>
          <w:tcPr>
            <w:tcW w:w="2196" w:type="dxa"/>
            <w:tcBorders>
              <w:top w:val="single" w:sz="4" w:space="0" w:color="000000"/>
              <w:left w:val="single" w:sz="17" w:space="0" w:color="000000"/>
              <w:bottom w:val="single" w:sz="4" w:space="0" w:color="000000"/>
              <w:right w:val="single" w:sz="4" w:space="0" w:color="000000"/>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应付票据余额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7,096,536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6,582,678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c>
          <w:tcPr>
            <w:tcW w:w="16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4"/>
              <w:ind w:right="84"/>
              <w:jc w:val="right"/>
              <w:rPr>
                <w:rFonts w:ascii="Times New Roman" w:hAnsi="Times New Roman" w:cs="Times New Roman" w:eastAsia="Times New Roman" w:hint="default"/>
                <w:sz w:val="18"/>
                <w:szCs w:val="18"/>
              </w:rPr>
            </w:pPr>
            <w:r>
              <w:rPr>
                <w:rFonts w:ascii="Times New Roman"/>
                <w:sz w:val="18"/>
              </w:rPr>
              <w:t>3,182,959</w:t>
            </w:r>
          </w:p>
        </w:tc>
      </w:tr>
      <w:tr>
        <w:trPr>
          <w:trHeight w:val="295" w:hRule="exact"/>
        </w:trPr>
        <w:tc>
          <w:tcPr>
            <w:tcW w:w="2196" w:type="dxa"/>
            <w:tcBorders>
              <w:top w:val="single" w:sz="4" w:space="0" w:color="000000"/>
              <w:left w:val="single" w:sz="17" w:space="0" w:color="000000"/>
              <w:bottom w:val="single" w:sz="4" w:space="0" w:color="000000"/>
              <w:right w:val="single" w:sz="4" w:space="0" w:color="000000"/>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应付票据周转天数（天）</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59.63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51.21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8.42</w:t>
            </w:r>
          </w:p>
        </w:tc>
        <w:tc>
          <w:tcPr>
            <w:tcW w:w="16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4"/>
              <w:ind w:right="84"/>
              <w:jc w:val="right"/>
              <w:rPr>
                <w:rFonts w:ascii="Times New Roman" w:hAnsi="Times New Roman" w:cs="Times New Roman" w:eastAsia="Times New Roman" w:hint="default"/>
                <w:sz w:val="18"/>
                <w:szCs w:val="18"/>
              </w:rPr>
            </w:pPr>
            <w:r>
              <w:rPr>
                <w:rFonts w:ascii="Times New Roman"/>
                <w:sz w:val="18"/>
              </w:rPr>
              <w:t>33.79</w:t>
            </w:r>
          </w:p>
        </w:tc>
      </w:tr>
      <w:tr>
        <w:trPr>
          <w:trHeight w:val="295" w:hRule="exact"/>
        </w:trPr>
        <w:tc>
          <w:tcPr>
            <w:tcW w:w="2196" w:type="dxa"/>
            <w:tcBorders>
              <w:top w:val="single" w:sz="4" w:space="0" w:color="000000"/>
              <w:left w:val="single" w:sz="17" w:space="0" w:color="000000"/>
              <w:bottom w:val="single" w:sz="4" w:space="0" w:color="000000"/>
              <w:right w:val="single" w:sz="4" w:space="0" w:color="000000"/>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应付账款余额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3,633,327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3,146,318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15.48%</w:t>
            </w:r>
            <w:r>
              <w:rPr>
                <w:rFonts w:ascii="Times New Roman"/>
                <w:sz w:val="18"/>
              </w:rPr>
            </w:r>
          </w:p>
        </w:tc>
        <w:tc>
          <w:tcPr>
            <w:tcW w:w="16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4"/>
              <w:ind w:right="84"/>
              <w:jc w:val="right"/>
              <w:rPr>
                <w:rFonts w:ascii="Times New Roman" w:hAnsi="Times New Roman" w:cs="Times New Roman" w:eastAsia="Times New Roman" w:hint="default"/>
                <w:sz w:val="18"/>
                <w:szCs w:val="18"/>
              </w:rPr>
            </w:pPr>
            <w:r>
              <w:rPr>
                <w:rFonts w:ascii="Times New Roman"/>
                <w:sz w:val="18"/>
              </w:rPr>
              <w:t>1,686,242</w:t>
            </w:r>
          </w:p>
        </w:tc>
      </w:tr>
      <w:tr>
        <w:trPr>
          <w:trHeight w:val="295" w:hRule="exact"/>
        </w:trPr>
        <w:tc>
          <w:tcPr>
            <w:tcW w:w="2196" w:type="dxa"/>
            <w:tcBorders>
              <w:top w:val="single" w:sz="4" w:space="0" w:color="000000"/>
              <w:left w:val="single" w:sz="17" w:space="0" w:color="000000"/>
              <w:bottom w:val="single" w:sz="4" w:space="0" w:color="000000"/>
              <w:right w:val="single" w:sz="4" w:space="0" w:color="000000"/>
            </w:tcBorders>
          </w:tcPr>
          <w:p>
            <w:pPr>
              <w:pStyle w:val="TableParagraph"/>
              <w:spacing w:line="231" w:lineRule="exact"/>
              <w:ind w:left="86" w:right="0"/>
              <w:jc w:val="left"/>
              <w:rPr>
                <w:rFonts w:ascii="宋体" w:hAnsi="宋体" w:cs="宋体" w:eastAsia="宋体" w:hint="default"/>
                <w:sz w:val="18"/>
                <w:szCs w:val="18"/>
              </w:rPr>
            </w:pPr>
            <w:r>
              <w:rPr>
                <w:rFonts w:ascii="宋体" w:hAnsi="宋体" w:cs="宋体" w:eastAsia="宋体" w:hint="default"/>
                <w:sz w:val="18"/>
                <w:szCs w:val="18"/>
              </w:rPr>
              <w:t>应付账款周转天数（天）</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29.55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25.34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4.21</w:t>
            </w:r>
          </w:p>
        </w:tc>
        <w:tc>
          <w:tcPr>
            <w:tcW w:w="16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4"/>
              <w:ind w:right="84"/>
              <w:jc w:val="right"/>
              <w:rPr>
                <w:rFonts w:ascii="Times New Roman" w:hAnsi="Times New Roman" w:cs="Times New Roman" w:eastAsia="Times New Roman" w:hint="default"/>
                <w:sz w:val="18"/>
                <w:szCs w:val="18"/>
              </w:rPr>
            </w:pPr>
            <w:r>
              <w:rPr>
                <w:rFonts w:ascii="Times New Roman"/>
                <w:sz w:val="18"/>
              </w:rPr>
              <w:t>27.95</w:t>
            </w:r>
          </w:p>
        </w:tc>
      </w:tr>
      <w:tr>
        <w:trPr>
          <w:trHeight w:val="328" w:hRule="exact"/>
        </w:trPr>
        <w:tc>
          <w:tcPr>
            <w:tcW w:w="2196"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6" w:right="0"/>
              <w:jc w:val="left"/>
              <w:rPr>
                <w:rFonts w:ascii="宋体" w:hAnsi="宋体" w:cs="宋体" w:eastAsia="宋体" w:hint="default"/>
                <w:sz w:val="20"/>
                <w:szCs w:val="20"/>
              </w:rPr>
            </w:pPr>
            <w:r>
              <w:rPr>
                <w:rFonts w:ascii="宋体" w:hAnsi="宋体" w:cs="宋体" w:eastAsia="宋体" w:hint="default"/>
                <w:sz w:val="20"/>
                <w:szCs w:val="20"/>
              </w:rPr>
              <w:t>应收账款余额</w:t>
            </w:r>
          </w:p>
        </w:tc>
        <w:tc>
          <w:tcPr>
            <w:tcW w:w="1660"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110,127</w:t>
            </w:r>
            <w:r>
              <w:rPr>
                <w:rFonts w:ascii="宋体"/>
                <w:sz w:val="20"/>
              </w:rPr>
            </w:r>
          </w:p>
        </w:tc>
        <w:tc>
          <w:tcPr>
            <w:tcW w:w="1661"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spacing w:val="-1"/>
                <w:sz w:val="20"/>
              </w:rPr>
              <w:t>107,844</w:t>
            </w:r>
            <w:r>
              <w:rPr>
                <w:rFonts w:ascii="宋体"/>
                <w:sz w:val="20"/>
              </w:rPr>
            </w:r>
          </w:p>
        </w:tc>
        <w:tc>
          <w:tcPr>
            <w:tcW w:w="1661"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2.12%</w:t>
            </w:r>
            <w:r>
              <w:rPr>
                <w:rFonts w:ascii="宋体"/>
                <w:sz w:val="20"/>
              </w:rPr>
            </w:r>
          </w:p>
        </w:tc>
        <w:tc>
          <w:tcPr>
            <w:tcW w:w="1660"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85"/>
              <w:jc w:val="right"/>
              <w:rPr>
                <w:rFonts w:ascii="宋体" w:hAnsi="宋体" w:cs="宋体" w:eastAsia="宋体" w:hint="default"/>
                <w:sz w:val="20"/>
                <w:szCs w:val="20"/>
              </w:rPr>
            </w:pPr>
            <w:r>
              <w:rPr>
                <w:rFonts w:ascii="宋体"/>
                <w:spacing w:val="-1"/>
                <w:sz w:val="20"/>
              </w:rPr>
              <w:t>90,521</w:t>
            </w:r>
            <w:r>
              <w:rPr>
                <w:rFonts w:ascii="宋体"/>
                <w:sz w:val="20"/>
              </w:rPr>
            </w:r>
          </w:p>
        </w:tc>
      </w:tr>
    </w:tbl>
    <w:p>
      <w:pPr>
        <w:pStyle w:val="BodyText"/>
        <w:spacing w:line="275" w:lineRule="exact"/>
        <w:ind w:left="724" w:right="153"/>
        <w:jc w:val="left"/>
      </w:pPr>
      <w:r>
        <w:rPr/>
        <w:t>报告期末，公司主要债权债务较上年同期未发生较大变化。</w:t>
      </w:r>
    </w:p>
    <w:p>
      <w:pPr>
        <w:spacing w:after="0" w:line="275" w:lineRule="exact"/>
        <w:jc w:val="left"/>
        <w:sectPr>
          <w:pgSz w:w="11910" w:h="16840"/>
          <w:pgMar w:header="826" w:footer="900" w:top="1100" w:bottom="1100" w:left="1400" w:right="1380"/>
        </w:sectPr>
      </w:pPr>
    </w:p>
    <w:p>
      <w:pPr>
        <w:pStyle w:val="BodyText"/>
        <w:spacing w:line="240" w:lineRule="auto" w:before="106"/>
        <w:ind w:left="724" w:right="153"/>
        <w:jc w:val="left"/>
      </w:pPr>
      <w:r>
        <w:rPr/>
        <w:t>（</w:t>
      </w:r>
      <w:r>
        <w:rPr>
          <w:rFonts w:ascii="Arial" w:hAnsi="Arial" w:cs="Arial" w:eastAsia="Arial" w:hint="default"/>
        </w:rPr>
        <w:t>3</w:t>
      </w:r>
      <w:r>
        <w:rPr/>
        <w:t>）偿债能力分析</w:t>
      </w:r>
    </w:p>
    <w:p>
      <w:pPr>
        <w:spacing w:line="240" w:lineRule="auto" w:before="6"/>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909"/>
        <w:gridCol w:w="1732"/>
        <w:gridCol w:w="1733"/>
        <w:gridCol w:w="1732"/>
        <w:gridCol w:w="1732"/>
      </w:tblGrid>
      <w:tr>
        <w:trPr>
          <w:trHeight w:val="313" w:hRule="exact"/>
        </w:trPr>
        <w:tc>
          <w:tcPr>
            <w:tcW w:w="1909" w:type="dxa"/>
            <w:tcBorders>
              <w:top w:val="single" w:sz="17" w:space="0" w:color="000000"/>
              <w:left w:val="single" w:sz="17" w:space="0" w:color="000000"/>
              <w:bottom w:val="single" w:sz="4" w:space="0" w:color="000000"/>
              <w:right w:val="single" w:sz="4" w:space="0" w:color="000000"/>
            </w:tcBorders>
          </w:tcPr>
          <w:p>
            <w:pPr>
              <w:pStyle w:val="TableParagraph"/>
              <w:spacing w:line="244" w:lineRule="exact"/>
              <w:ind w:right="16"/>
              <w:jc w:val="center"/>
              <w:rPr>
                <w:rFonts w:ascii="宋体" w:hAnsi="宋体" w:cs="宋体" w:eastAsia="宋体" w:hint="default"/>
                <w:sz w:val="20"/>
                <w:szCs w:val="20"/>
              </w:rPr>
            </w:pPr>
            <w:r>
              <w:rPr>
                <w:rFonts w:ascii="宋体" w:hAnsi="宋体" w:cs="宋体" w:eastAsia="宋体" w:hint="default"/>
                <w:sz w:val="20"/>
                <w:szCs w:val="20"/>
              </w:rPr>
              <w:t>项目</w:t>
            </w:r>
          </w:p>
        </w:tc>
        <w:tc>
          <w:tcPr>
            <w:tcW w:w="1732" w:type="dxa"/>
            <w:tcBorders>
              <w:top w:val="single" w:sz="17" w:space="0" w:color="000000"/>
              <w:left w:val="single" w:sz="4" w:space="0" w:color="000000"/>
              <w:bottom w:val="single" w:sz="4" w:space="0" w:color="000000"/>
              <w:right w:val="single" w:sz="4" w:space="0" w:color="000000"/>
            </w:tcBorders>
          </w:tcPr>
          <w:p>
            <w:pPr>
              <w:pStyle w:val="TableParagraph"/>
              <w:spacing w:line="244" w:lineRule="exact"/>
              <w:ind w:left="43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年度</w:t>
            </w:r>
          </w:p>
        </w:tc>
        <w:tc>
          <w:tcPr>
            <w:tcW w:w="1733" w:type="dxa"/>
            <w:tcBorders>
              <w:top w:val="single" w:sz="17" w:space="0" w:color="000000"/>
              <w:left w:val="single" w:sz="4" w:space="0" w:color="000000"/>
              <w:bottom w:val="single" w:sz="4" w:space="0" w:color="000000"/>
              <w:right w:val="single" w:sz="4" w:space="0" w:color="000000"/>
            </w:tcBorders>
          </w:tcPr>
          <w:p>
            <w:pPr>
              <w:pStyle w:val="TableParagraph"/>
              <w:spacing w:line="244" w:lineRule="exact"/>
              <w:ind w:left="435"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732" w:type="dxa"/>
            <w:tcBorders>
              <w:top w:val="single" w:sz="17" w:space="0" w:color="000000"/>
              <w:left w:val="single" w:sz="4" w:space="0" w:color="000000"/>
              <w:bottom w:val="single" w:sz="4" w:space="0" w:color="000000"/>
              <w:right w:val="single" w:sz="4" w:space="0" w:color="000000"/>
            </w:tcBorders>
          </w:tcPr>
          <w:p>
            <w:pPr>
              <w:pStyle w:val="TableParagraph"/>
              <w:spacing w:line="244" w:lineRule="exact"/>
              <w:ind w:left="459"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732" w:type="dxa"/>
            <w:tcBorders>
              <w:top w:val="single" w:sz="17" w:space="0" w:color="000000"/>
              <w:left w:val="single" w:sz="4" w:space="0" w:color="000000"/>
              <w:bottom w:val="single" w:sz="4" w:space="0" w:color="000000"/>
              <w:right w:val="single" w:sz="17" w:space="0" w:color="000000"/>
            </w:tcBorders>
          </w:tcPr>
          <w:p>
            <w:pPr>
              <w:pStyle w:val="TableParagraph"/>
              <w:spacing w:line="244" w:lineRule="exact"/>
              <w:ind w:left="43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3"/>
                <w:sz w:val="20"/>
                <w:szCs w:val="20"/>
              </w:rPr>
              <w:t> </w:t>
            </w:r>
            <w:r>
              <w:rPr>
                <w:rFonts w:ascii="宋体" w:hAnsi="宋体" w:cs="宋体" w:eastAsia="宋体" w:hint="default"/>
                <w:sz w:val="20"/>
                <w:szCs w:val="20"/>
              </w:rPr>
              <w:t>年度</w:t>
            </w:r>
          </w:p>
        </w:tc>
      </w:tr>
      <w:tr>
        <w:trPr>
          <w:trHeight w:val="29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流动比率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1.38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1.19</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0.19</w:t>
            </w:r>
            <w:r>
              <w:rPr>
                <w:rFonts w:ascii="宋体"/>
                <w:sz w:val="20"/>
              </w:rPr>
            </w:r>
          </w:p>
        </w:tc>
        <w:tc>
          <w:tcPr>
            <w:tcW w:w="1732"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6"/>
              <w:jc w:val="right"/>
              <w:rPr>
                <w:rFonts w:ascii="宋体" w:hAnsi="宋体" w:cs="宋体" w:eastAsia="宋体" w:hint="default"/>
                <w:sz w:val="20"/>
                <w:szCs w:val="20"/>
              </w:rPr>
            </w:pPr>
            <w:r>
              <w:rPr>
                <w:rFonts w:ascii="宋体"/>
                <w:spacing w:val="-1"/>
                <w:sz w:val="20"/>
              </w:rPr>
              <w:t>1.46</w:t>
            </w:r>
            <w:r>
              <w:rPr>
                <w:rFonts w:ascii="宋体"/>
                <w:sz w:val="20"/>
              </w:rPr>
            </w:r>
          </w:p>
        </w:tc>
      </w:tr>
      <w:tr>
        <w:trPr>
          <w:trHeight w:val="29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速动比率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0.98</w:t>
            </w:r>
            <w:r>
              <w:rPr>
                <w:rFonts w:ascii="宋体"/>
                <w:sz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spacing w:val="-1"/>
                <w:sz w:val="20"/>
              </w:rPr>
              <w:t>0.79</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0.19</w:t>
            </w:r>
            <w:r>
              <w:rPr>
                <w:rFonts w:ascii="宋体"/>
                <w:sz w:val="20"/>
              </w:rPr>
            </w:r>
          </w:p>
        </w:tc>
        <w:tc>
          <w:tcPr>
            <w:tcW w:w="1732"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6"/>
              <w:jc w:val="right"/>
              <w:rPr>
                <w:rFonts w:ascii="宋体" w:hAnsi="宋体" w:cs="宋体" w:eastAsia="宋体" w:hint="default"/>
                <w:sz w:val="20"/>
                <w:szCs w:val="20"/>
              </w:rPr>
            </w:pPr>
            <w:r>
              <w:rPr>
                <w:rFonts w:ascii="宋体"/>
                <w:spacing w:val="-1"/>
                <w:sz w:val="20"/>
              </w:rPr>
              <w:t>0.84</w:t>
            </w:r>
            <w:r>
              <w:rPr>
                <w:rFonts w:ascii="宋体"/>
                <w:sz w:val="20"/>
              </w:rPr>
            </w:r>
          </w:p>
        </w:tc>
      </w:tr>
      <w:tr>
        <w:trPr>
          <w:trHeight w:val="313" w:hRule="exact"/>
        </w:trPr>
        <w:tc>
          <w:tcPr>
            <w:tcW w:w="1909" w:type="dxa"/>
            <w:tcBorders>
              <w:top w:val="single" w:sz="4" w:space="0" w:color="000000"/>
              <w:left w:val="single" w:sz="17" w:space="0" w:color="000000"/>
              <w:bottom w:val="single" w:sz="17"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732" w:type="dxa"/>
            <w:tcBorders>
              <w:top w:val="single" w:sz="4" w:space="0" w:color="000000"/>
              <w:left w:val="single" w:sz="4" w:space="0" w:color="000000"/>
              <w:bottom w:val="single" w:sz="17"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57.85%</w:t>
            </w:r>
            <w:r>
              <w:rPr>
                <w:rFonts w:ascii="宋体"/>
                <w:sz w:val="20"/>
              </w:rPr>
            </w:r>
          </w:p>
        </w:tc>
        <w:tc>
          <w:tcPr>
            <w:tcW w:w="1733" w:type="dxa"/>
            <w:tcBorders>
              <w:top w:val="single" w:sz="4" w:space="0" w:color="000000"/>
              <w:left w:val="single" w:sz="4" w:space="0" w:color="000000"/>
              <w:bottom w:val="single" w:sz="17"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70.25%</w:t>
            </w:r>
            <w:r>
              <w:rPr>
                <w:rFonts w:ascii="宋体"/>
                <w:sz w:val="20"/>
              </w:rPr>
            </w:r>
          </w:p>
        </w:tc>
        <w:tc>
          <w:tcPr>
            <w:tcW w:w="1732" w:type="dxa"/>
            <w:tcBorders>
              <w:top w:val="single" w:sz="4" w:space="0" w:color="000000"/>
              <w:left w:val="single" w:sz="4" w:space="0" w:color="000000"/>
              <w:bottom w:val="single" w:sz="17"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-12.40%</w:t>
            </w:r>
            <w:r>
              <w:rPr>
                <w:rFonts w:ascii="宋体"/>
                <w:sz w:val="20"/>
              </w:rPr>
            </w:r>
          </w:p>
        </w:tc>
        <w:tc>
          <w:tcPr>
            <w:tcW w:w="1732" w:type="dxa"/>
            <w:tcBorders>
              <w:top w:val="single" w:sz="4" w:space="0" w:color="000000"/>
              <w:left w:val="single" w:sz="4" w:space="0" w:color="000000"/>
              <w:bottom w:val="single" w:sz="17" w:space="0" w:color="000000"/>
              <w:right w:val="single" w:sz="17" w:space="0" w:color="000000"/>
            </w:tcBorders>
          </w:tcPr>
          <w:p>
            <w:pPr>
              <w:pStyle w:val="TableParagraph"/>
              <w:spacing w:line="242" w:lineRule="exact"/>
              <w:ind w:right="87"/>
              <w:jc w:val="right"/>
              <w:rPr>
                <w:rFonts w:ascii="宋体" w:hAnsi="宋体" w:cs="宋体" w:eastAsia="宋体" w:hint="default"/>
                <w:sz w:val="20"/>
                <w:szCs w:val="20"/>
              </w:rPr>
            </w:pPr>
            <w:r>
              <w:rPr>
                <w:rFonts w:ascii="宋体"/>
                <w:spacing w:val="-1"/>
                <w:sz w:val="20"/>
              </w:rPr>
              <w:t>62.70%</w:t>
            </w:r>
            <w:r>
              <w:rPr>
                <w:rFonts w:ascii="宋体"/>
                <w:sz w:val="20"/>
              </w:rPr>
            </w:r>
          </w:p>
        </w:tc>
      </w:tr>
    </w:tbl>
    <w:p>
      <w:pPr>
        <w:pStyle w:val="BodyText"/>
        <w:spacing w:line="293" w:lineRule="exact"/>
        <w:ind w:left="724" w:right="153"/>
        <w:jc w:val="left"/>
      </w:pPr>
      <w:r>
        <w:rPr>
          <w:spacing w:val="-2"/>
        </w:rPr>
        <w:t>公司流动资产中货币资金、存货合计比例在</w:t>
      </w:r>
      <w:r>
        <w:rPr>
          <w:spacing w:val="-31"/>
        </w:rPr>
        <w:t> </w:t>
      </w:r>
      <w:r>
        <w:rPr>
          <w:rFonts w:ascii="Times New Roman" w:hAnsi="Times New Roman" w:cs="Times New Roman" w:eastAsia="Times New Roman" w:hint="default"/>
          <w:spacing w:val="-2"/>
        </w:rPr>
        <w:t>90%</w:t>
      </w:r>
      <w:r>
        <w:rPr>
          <w:spacing w:val="-2"/>
        </w:rPr>
        <w:t>以上，存货中绝大部分为家用</w:t>
      </w:r>
    </w:p>
    <w:p>
      <w:pPr>
        <w:pStyle w:val="BodyText"/>
        <w:spacing w:line="357" w:lineRule="auto" w:before="135"/>
        <w:ind w:left="723" w:right="255" w:hanging="480"/>
        <w:jc w:val="left"/>
      </w:pPr>
      <w:r>
        <w:rPr/>
        <w:t>电器和消费类电子产品，流动资产变现能力较强，公司短期偿债能力较强。 </w:t>
      </w:r>
      <w:r>
        <w:rPr>
          <w:spacing w:val="-1"/>
        </w:rPr>
        <w:t>同时，报告期内公司非公开发行募集资金的到位以及当期利润的实现，带来公</w:t>
      </w:r>
    </w:p>
    <w:p>
      <w:pPr>
        <w:pStyle w:val="BodyText"/>
        <w:spacing w:line="240" w:lineRule="auto" w:before="36"/>
        <w:ind w:left="243" w:right="153"/>
        <w:jc w:val="left"/>
      </w:pPr>
      <w:r>
        <w:rPr/>
        <w:t>司归属于母公司的股东权益增加，资产负债率水平进一步降低。</w:t>
      </w:r>
    </w:p>
    <w:p>
      <w:pPr>
        <w:spacing w:line="240" w:lineRule="auto" w:before="12"/>
        <w:rPr>
          <w:rFonts w:ascii="宋体" w:hAnsi="宋体" w:cs="宋体" w:eastAsia="宋体" w:hint="default"/>
          <w:sz w:val="20"/>
          <w:szCs w:val="20"/>
        </w:rPr>
      </w:pPr>
    </w:p>
    <w:p>
      <w:pPr>
        <w:pStyle w:val="BodyText"/>
        <w:spacing w:line="240" w:lineRule="auto"/>
        <w:ind w:left="723" w:right="153"/>
        <w:jc w:val="left"/>
      </w:pPr>
      <w:r>
        <w:rPr/>
        <w:t>（</w:t>
      </w:r>
      <w:r>
        <w:rPr>
          <w:rFonts w:ascii="Arial" w:hAnsi="Arial" w:cs="Arial" w:eastAsia="Arial" w:hint="default"/>
        </w:rPr>
        <w:t>4</w:t>
      </w:r>
      <w:r>
        <w:rPr/>
        <w:t>）资产运营能力分析</w:t>
      </w:r>
    </w:p>
    <w:p>
      <w:pPr>
        <w:spacing w:line="240" w:lineRule="auto" w:before="6"/>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855"/>
        <w:gridCol w:w="1744"/>
        <w:gridCol w:w="1746"/>
        <w:gridCol w:w="1746"/>
        <w:gridCol w:w="1746"/>
      </w:tblGrid>
      <w:tr>
        <w:trPr>
          <w:trHeight w:val="329" w:hRule="exact"/>
        </w:trPr>
        <w:tc>
          <w:tcPr>
            <w:tcW w:w="1855" w:type="dxa"/>
            <w:tcBorders>
              <w:top w:val="single" w:sz="17" w:space="0" w:color="000000"/>
              <w:left w:val="single" w:sz="17" w:space="0" w:color="000000"/>
              <w:bottom w:val="single" w:sz="4" w:space="0" w:color="000000"/>
              <w:right w:val="single" w:sz="4" w:space="0" w:color="000000"/>
            </w:tcBorders>
          </w:tcPr>
          <w:p>
            <w:pPr>
              <w:pStyle w:val="TableParagraph"/>
              <w:spacing w:line="251" w:lineRule="exact"/>
              <w:ind w:right="15"/>
              <w:jc w:val="center"/>
              <w:rPr>
                <w:rFonts w:ascii="宋体" w:hAnsi="宋体" w:cs="宋体" w:eastAsia="宋体" w:hint="default"/>
                <w:sz w:val="20"/>
                <w:szCs w:val="20"/>
              </w:rPr>
            </w:pPr>
            <w:r>
              <w:rPr>
                <w:rFonts w:ascii="宋体" w:hAnsi="宋体" w:cs="宋体" w:eastAsia="宋体" w:hint="default"/>
                <w:sz w:val="20"/>
                <w:szCs w:val="20"/>
              </w:rPr>
              <w:t>项目</w:t>
            </w:r>
          </w:p>
        </w:tc>
        <w:tc>
          <w:tcPr>
            <w:tcW w:w="1744"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441"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年度</w:t>
            </w:r>
          </w:p>
        </w:tc>
        <w:tc>
          <w:tcPr>
            <w:tcW w:w="1746"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44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p>
        </w:tc>
        <w:tc>
          <w:tcPr>
            <w:tcW w:w="1746"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467"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746" w:type="dxa"/>
            <w:tcBorders>
              <w:top w:val="single" w:sz="17" w:space="0" w:color="000000"/>
              <w:left w:val="single" w:sz="4" w:space="0" w:color="000000"/>
              <w:bottom w:val="single" w:sz="4" w:space="0" w:color="000000"/>
              <w:right w:val="single" w:sz="17" w:space="0" w:color="000000"/>
            </w:tcBorders>
          </w:tcPr>
          <w:p>
            <w:pPr>
              <w:pStyle w:val="TableParagraph"/>
              <w:spacing w:line="251" w:lineRule="exact"/>
              <w:ind w:left="442"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3"/>
                <w:sz w:val="20"/>
                <w:szCs w:val="20"/>
              </w:rPr>
              <w:t> </w:t>
            </w:r>
            <w:r>
              <w:rPr>
                <w:rFonts w:ascii="宋体" w:hAnsi="宋体" w:cs="宋体" w:eastAsia="宋体" w:hint="default"/>
                <w:sz w:val="20"/>
                <w:szCs w:val="20"/>
              </w:rPr>
              <w:t>年度</w:t>
            </w:r>
          </w:p>
        </w:tc>
      </w:tr>
      <w:tr>
        <w:trPr>
          <w:trHeight w:val="294" w:hRule="exact"/>
        </w:trPr>
        <w:tc>
          <w:tcPr>
            <w:tcW w:w="1855"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应收账款周转率</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443.28</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389.95</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53.33</w:t>
            </w:r>
            <w:r>
              <w:rPr>
                <w:rFonts w:ascii="宋体"/>
                <w:sz w:val="20"/>
              </w:rPr>
            </w:r>
          </w:p>
        </w:tc>
        <w:tc>
          <w:tcPr>
            <w:tcW w:w="1746"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5"/>
              <w:jc w:val="right"/>
              <w:rPr>
                <w:rFonts w:ascii="宋体" w:hAnsi="宋体" w:cs="宋体" w:eastAsia="宋体" w:hint="default"/>
                <w:sz w:val="20"/>
                <w:szCs w:val="20"/>
              </w:rPr>
            </w:pPr>
            <w:r>
              <w:rPr>
                <w:rFonts w:ascii="宋体"/>
                <w:spacing w:val="-1"/>
                <w:sz w:val="20"/>
              </w:rPr>
              <w:t>168.24</w:t>
            </w:r>
            <w:r>
              <w:rPr>
                <w:rFonts w:ascii="宋体"/>
                <w:sz w:val="20"/>
              </w:rPr>
            </w:r>
          </w:p>
        </w:tc>
      </w:tr>
      <w:tr>
        <w:trPr>
          <w:trHeight w:val="295" w:hRule="exact"/>
        </w:trPr>
        <w:tc>
          <w:tcPr>
            <w:tcW w:w="1855"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存货周转率</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8.73</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8.62</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0.11</w:t>
            </w:r>
            <w:r>
              <w:rPr>
                <w:rFonts w:ascii="宋体"/>
                <w:sz w:val="20"/>
              </w:rPr>
            </w:r>
          </w:p>
        </w:tc>
        <w:tc>
          <w:tcPr>
            <w:tcW w:w="1746"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7"/>
              <w:jc w:val="right"/>
              <w:rPr>
                <w:rFonts w:ascii="宋体" w:hAnsi="宋体" w:cs="宋体" w:eastAsia="宋体" w:hint="default"/>
                <w:sz w:val="20"/>
                <w:szCs w:val="20"/>
              </w:rPr>
            </w:pPr>
            <w:r>
              <w:rPr>
                <w:rFonts w:ascii="宋体"/>
                <w:spacing w:val="-1"/>
                <w:sz w:val="20"/>
              </w:rPr>
              <w:t>8.21</w:t>
            </w:r>
            <w:r>
              <w:rPr>
                <w:rFonts w:ascii="宋体"/>
                <w:sz w:val="20"/>
              </w:rPr>
            </w:r>
          </w:p>
        </w:tc>
      </w:tr>
      <w:tr>
        <w:trPr>
          <w:trHeight w:val="295" w:hRule="exact"/>
        </w:trPr>
        <w:tc>
          <w:tcPr>
            <w:tcW w:w="1855"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流动资产周转率</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3.14</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3.57</w:t>
            </w:r>
            <w:r>
              <w:rPr>
                <w:rFonts w:ascii="宋体"/>
                <w:sz w:val="20"/>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-0.43</w:t>
            </w:r>
            <w:r>
              <w:rPr>
                <w:rFonts w:ascii="宋体"/>
                <w:sz w:val="20"/>
              </w:rPr>
            </w:r>
          </w:p>
        </w:tc>
        <w:tc>
          <w:tcPr>
            <w:tcW w:w="1746"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5"/>
              <w:jc w:val="right"/>
              <w:rPr>
                <w:rFonts w:ascii="宋体" w:hAnsi="宋体" w:cs="宋体" w:eastAsia="宋体" w:hint="default"/>
                <w:sz w:val="20"/>
                <w:szCs w:val="20"/>
              </w:rPr>
            </w:pPr>
            <w:r>
              <w:rPr>
                <w:rFonts w:ascii="宋体"/>
                <w:spacing w:val="-1"/>
                <w:sz w:val="20"/>
              </w:rPr>
              <w:t>4.18</w:t>
            </w:r>
            <w:r>
              <w:rPr>
                <w:rFonts w:ascii="宋体"/>
                <w:sz w:val="20"/>
              </w:rPr>
            </w:r>
          </w:p>
        </w:tc>
      </w:tr>
      <w:tr>
        <w:trPr>
          <w:trHeight w:val="329" w:hRule="exact"/>
        </w:trPr>
        <w:tc>
          <w:tcPr>
            <w:tcW w:w="1855"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6" w:right="0"/>
              <w:jc w:val="left"/>
              <w:rPr>
                <w:rFonts w:ascii="宋体" w:hAnsi="宋体" w:cs="宋体" w:eastAsia="宋体" w:hint="default"/>
                <w:sz w:val="20"/>
                <w:szCs w:val="20"/>
              </w:rPr>
            </w:pPr>
            <w:r>
              <w:rPr>
                <w:rFonts w:ascii="宋体" w:hAnsi="宋体" w:cs="宋体" w:eastAsia="宋体" w:hint="default"/>
                <w:sz w:val="20"/>
                <w:szCs w:val="20"/>
              </w:rPr>
              <w:t>总资产周转率</w:t>
            </w:r>
          </w:p>
        </w:tc>
        <w:tc>
          <w:tcPr>
            <w:tcW w:w="174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2.55</w:t>
            </w:r>
          </w:p>
        </w:tc>
        <w:tc>
          <w:tcPr>
            <w:tcW w:w="1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3.09</w:t>
            </w:r>
            <w:r>
              <w:rPr>
                <w:rFonts w:ascii="宋体"/>
                <w:sz w:val="20"/>
              </w:rPr>
            </w:r>
          </w:p>
        </w:tc>
        <w:tc>
          <w:tcPr>
            <w:tcW w:w="174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-0.54</w:t>
            </w:r>
            <w:r>
              <w:rPr>
                <w:rFonts w:ascii="宋体"/>
                <w:sz w:val="20"/>
              </w:rPr>
            </w:r>
          </w:p>
        </w:tc>
        <w:tc>
          <w:tcPr>
            <w:tcW w:w="1746"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right="84"/>
              <w:jc w:val="right"/>
              <w:rPr>
                <w:rFonts w:ascii="宋体" w:hAnsi="宋体" w:cs="宋体" w:eastAsia="宋体" w:hint="default"/>
                <w:sz w:val="20"/>
                <w:szCs w:val="20"/>
              </w:rPr>
            </w:pPr>
            <w:r>
              <w:rPr>
                <w:rFonts w:ascii="宋体"/>
                <w:spacing w:val="-1"/>
                <w:sz w:val="20"/>
              </w:rPr>
              <w:t>3.38</w:t>
            </w:r>
            <w:r>
              <w:rPr>
                <w:rFonts w:ascii="宋体"/>
                <w:sz w:val="20"/>
              </w:rPr>
            </w:r>
          </w:p>
        </w:tc>
      </w:tr>
    </w:tbl>
    <w:p>
      <w:pPr>
        <w:pStyle w:val="BodyText"/>
        <w:spacing w:line="292" w:lineRule="exact"/>
        <w:ind w:left="724"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公司作为零售企业，应收账款较少，应收账款周转率较高；</w:t>
      </w:r>
    </w:p>
    <w:p>
      <w:pPr>
        <w:pStyle w:val="BodyText"/>
        <w:spacing w:line="338" w:lineRule="auto" w:before="137"/>
        <w:ind w:left="243" w:right="252"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报告期内，由于公司物流平台的合理规划，以及公司采购及库存管理水平</w:t>
      </w:r>
      <w:r>
        <w:rPr>
          <w:spacing w:val="3"/>
        </w:rPr>
        <w:t> </w:t>
      </w:r>
      <w:r>
        <w:rPr/>
        <w:t>进一步提高，存货周转率较去年同期有所上升；</w:t>
      </w:r>
    </w:p>
    <w:p>
      <w:pPr>
        <w:pStyle w:val="BodyText"/>
        <w:spacing w:line="240" w:lineRule="auto" w:before="55"/>
        <w:ind w:left="723" w:right="153"/>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报告期末货币资金余额的增加，导致流动资产周转率下降；</w:t>
      </w:r>
    </w:p>
    <w:p>
      <w:pPr>
        <w:pStyle w:val="BodyText"/>
        <w:spacing w:line="338" w:lineRule="auto" w:before="137"/>
        <w:ind w:left="243" w:right="252"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公司购置连锁店物业投入的增加，以及自建物流基地的投入使用，导致公</w:t>
      </w:r>
      <w:r>
        <w:rPr>
          <w:spacing w:val="3"/>
        </w:rPr>
        <w:t> </w:t>
      </w:r>
      <w:r>
        <w:rPr/>
        <w:t>司期末固定资产增加较快，总资产周转率有所下降。</w:t>
      </w:r>
    </w:p>
    <w:p>
      <w:pPr>
        <w:spacing w:line="240" w:lineRule="auto" w:before="12"/>
        <w:rPr>
          <w:rFonts w:ascii="宋体" w:hAnsi="宋体" w:cs="宋体" w:eastAsia="宋体" w:hint="default"/>
          <w:sz w:val="35"/>
          <w:szCs w:val="35"/>
        </w:rPr>
      </w:pPr>
    </w:p>
    <w:p>
      <w:pPr>
        <w:tabs>
          <w:tab w:pos="7323" w:val="left" w:leader="none"/>
        </w:tabs>
        <w:spacing w:before="0"/>
        <w:ind w:left="723" w:right="153"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5</w:t>
      </w:r>
      <w:r>
        <w:rPr>
          <w:rFonts w:ascii="宋体" w:hAnsi="宋体" w:cs="宋体" w:eastAsia="宋体" w:hint="default"/>
          <w:sz w:val="24"/>
          <w:szCs w:val="24"/>
        </w:rPr>
        <w:t>、现金流状况分析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3313"/>
        <w:gridCol w:w="1840"/>
        <w:gridCol w:w="1842"/>
        <w:gridCol w:w="1842"/>
      </w:tblGrid>
      <w:tr>
        <w:trPr>
          <w:trHeight w:val="352" w:hRule="exact"/>
        </w:trPr>
        <w:tc>
          <w:tcPr>
            <w:tcW w:w="3313" w:type="dxa"/>
            <w:tcBorders>
              <w:top w:val="single" w:sz="17" w:space="0" w:color="000000"/>
              <w:left w:val="single" w:sz="17" w:space="0" w:color="000000"/>
              <w:bottom w:val="single" w:sz="4" w:space="0" w:color="000000"/>
              <w:right w:val="single" w:sz="4" w:space="0" w:color="000000"/>
            </w:tcBorders>
          </w:tcPr>
          <w:p>
            <w:pPr>
              <w:pStyle w:val="TableParagraph"/>
              <w:tabs>
                <w:tab w:pos="539" w:val="left" w:leader="none"/>
              </w:tabs>
              <w:spacing w:line="240" w:lineRule="auto" w:before="16"/>
              <w:ind w:right="17"/>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left="53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84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left="53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84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6"/>
              <w:ind w:left="3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8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3,819,141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3,496,476</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r>
      <w:tr>
        <w:trPr>
          <w:trHeight w:val="368"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55,574,037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41,445,683</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34.09%</w:t>
            </w:r>
            <w:r>
              <w:rPr>
                <w:rFonts w:ascii="Times New Roman"/>
                <w:sz w:val="18"/>
              </w:rPr>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51,754,896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37,949,207</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36.38%</w:t>
            </w:r>
            <w:r>
              <w:rPr>
                <w:rFonts w:ascii="Times New Roman"/>
                <w:sz w:val="18"/>
              </w:rPr>
            </w:r>
          </w:p>
        </w:tc>
      </w:tr>
      <w:tr>
        <w:trPr>
          <w:trHeight w:val="368"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8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14"/>
              <w:jc w:val="right"/>
              <w:rPr>
                <w:rFonts w:ascii="Times New Roman" w:hAnsi="Times New Roman" w:cs="Times New Roman" w:eastAsia="Times New Roman" w:hint="default"/>
                <w:sz w:val="18"/>
                <w:szCs w:val="18"/>
              </w:rPr>
            </w:pPr>
            <w:r>
              <w:rPr>
                <w:rFonts w:ascii="Times New Roman"/>
                <w:w w:val="95"/>
                <w:sz w:val="18"/>
              </w:rPr>
              <w:t>-2,450,316</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7"/>
              <w:jc w:val="right"/>
              <w:rPr>
                <w:rFonts w:ascii="Times New Roman" w:hAnsi="Times New Roman" w:cs="Times New Roman" w:eastAsia="Times New Roman" w:hint="default"/>
                <w:sz w:val="18"/>
                <w:szCs w:val="18"/>
              </w:rPr>
            </w:pPr>
            <w:r>
              <w:rPr>
                <w:rFonts w:ascii="Times New Roman"/>
                <w:spacing w:val="-1"/>
                <w:sz w:val="18"/>
              </w:rPr>
              <w:t>-1,357,593</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-80.49%</w:t>
            </w:r>
            <w:r>
              <w:rPr>
                <w:rFonts w:ascii="Times New Roman"/>
                <w:sz w:val="18"/>
              </w:rPr>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40"/>
              <w:jc w:val="right"/>
              <w:rPr>
                <w:rFonts w:ascii="Times New Roman" w:hAnsi="Times New Roman" w:cs="Times New Roman" w:eastAsia="Times New Roman" w:hint="default"/>
                <w:sz w:val="18"/>
                <w:szCs w:val="18"/>
              </w:rPr>
            </w:pPr>
            <w:r>
              <w:rPr>
                <w:rFonts w:ascii="Times New Roman"/>
                <w:spacing w:val="-1"/>
                <w:w w:val="95"/>
                <w:sz w:val="18"/>
              </w:rPr>
              <w:t>3,745</w:t>
            </w:r>
            <w:r>
              <w:rPr>
                <w:rFonts w:ascii="Times New Roman"/>
                <w:w w:val="95"/>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1"/>
              <w:jc w:val="right"/>
              <w:rPr>
                <w:rFonts w:ascii="Times New Roman" w:hAnsi="Times New Roman" w:cs="Times New Roman" w:eastAsia="Times New Roman" w:hint="default"/>
                <w:sz w:val="18"/>
                <w:szCs w:val="18"/>
              </w:rPr>
            </w:pPr>
            <w:r>
              <w:rPr>
                <w:rFonts w:ascii="Times New Roman"/>
                <w:sz w:val="18"/>
              </w:rPr>
              <w:t>4,032</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-7.12%</w:t>
            </w:r>
            <w:r>
              <w:rPr>
                <w:rFonts w:ascii="Times New Roman"/>
                <w:sz w:val="18"/>
              </w:rPr>
            </w:r>
          </w:p>
        </w:tc>
      </w:tr>
      <w:tr>
        <w:trPr>
          <w:trHeight w:val="368"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2,454,061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1,361,625</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80.23%</w:t>
            </w:r>
            <w:r>
              <w:rPr>
                <w:rFonts w:ascii="Times New Roman"/>
                <w:sz w:val="18"/>
              </w:rPr>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8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2,023,693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1"/>
              <w:jc w:val="right"/>
              <w:rPr>
                <w:rFonts w:ascii="Times New Roman" w:hAnsi="Times New Roman" w:cs="Times New Roman" w:eastAsia="Times New Roman" w:hint="default"/>
                <w:sz w:val="18"/>
                <w:szCs w:val="18"/>
              </w:rPr>
            </w:pPr>
            <w:r>
              <w:rPr>
                <w:rFonts w:ascii="Times New Roman"/>
                <w:w w:val="95"/>
                <w:sz w:val="18"/>
              </w:rPr>
              <w:t>-141,008</w:t>
            </w:r>
            <w:r>
              <w:rPr>
                <w:rFonts w:ascii="Times New Roman"/>
                <w:sz w:val="18"/>
              </w:rPr>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1535.16%</w:t>
            </w:r>
            <w:r>
              <w:rPr>
                <w:rFonts w:ascii="Times New Roman"/>
                <w:sz w:val="18"/>
              </w:rPr>
            </w:r>
          </w:p>
        </w:tc>
      </w:tr>
      <w:tr>
        <w:trPr>
          <w:trHeight w:val="368"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2,928,362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1"/>
              <w:jc w:val="right"/>
              <w:rPr>
                <w:rFonts w:ascii="Times New Roman" w:hAnsi="Times New Roman" w:cs="Times New Roman" w:eastAsia="Times New Roman" w:hint="default"/>
                <w:sz w:val="18"/>
                <w:szCs w:val="18"/>
              </w:rPr>
            </w:pPr>
            <w:r>
              <w:rPr>
                <w:rFonts w:ascii="Times New Roman"/>
                <w:sz w:val="18"/>
              </w:rPr>
              <w:t>451,050</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549.23%</w:t>
            </w:r>
            <w:r>
              <w:rPr>
                <w:rFonts w:ascii="Times New Roman"/>
                <w:sz w:val="18"/>
              </w:rPr>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40"/>
              <w:jc w:val="right"/>
              <w:rPr>
                <w:rFonts w:ascii="Times New Roman" w:hAnsi="Times New Roman" w:cs="Times New Roman" w:eastAsia="Times New Roman" w:hint="default"/>
                <w:sz w:val="18"/>
                <w:szCs w:val="18"/>
              </w:rPr>
            </w:pPr>
            <w:r>
              <w:rPr>
                <w:rFonts w:ascii="Times New Roman"/>
                <w:spacing w:val="-1"/>
                <w:sz w:val="18"/>
              </w:rPr>
              <w:t>904,669</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1"/>
              <w:jc w:val="right"/>
              <w:rPr>
                <w:rFonts w:ascii="Times New Roman" w:hAnsi="Times New Roman" w:cs="Times New Roman" w:eastAsia="Times New Roman" w:hint="default"/>
                <w:sz w:val="18"/>
                <w:szCs w:val="18"/>
              </w:rPr>
            </w:pPr>
            <w:r>
              <w:rPr>
                <w:rFonts w:ascii="Times New Roman"/>
                <w:sz w:val="18"/>
              </w:rPr>
              <w:t>592,058</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52.80%</w:t>
            </w:r>
            <w:r>
              <w:rPr>
                <w:rFonts w:ascii="Times New Roman"/>
                <w:sz w:val="18"/>
              </w:rPr>
            </w:r>
          </w:p>
        </w:tc>
      </w:tr>
      <w:tr>
        <w:trPr>
          <w:trHeight w:val="368"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86"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3,392,518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1,997,875</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69.81%</w:t>
            </w:r>
            <w:r>
              <w:rPr>
                <w:rFonts w:ascii="Times New Roman"/>
                <w:sz w:val="18"/>
              </w:rPr>
            </w:r>
          </w:p>
        </w:tc>
      </w:tr>
      <w:tr>
        <w:trPr>
          <w:trHeight w:val="370" w:hRule="exact"/>
        </w:trPr>
        <w:tc>
          <w:tcPr>
            <w:tcW w:w="331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4"/>
              <w:jc w:val="right"/>
              <w:rPr>
                <w:rFonts w:ascii="Times New Roman" w:hAnsi="Times New Roman" w:cs="Times New Roman" w:eastAsia="Times New Roman" w:hint="default"/>
                <w:sz w:val="18"/>
                <w:szCs w:val="18"/>
              </w:rPr>
            </w:pPr>
            <w:r>
              <w:rPr>
                <w:rFonts w:ascii="Times New Roman"/>
                <w:sz w:val="18"/>
              </w:rPr>
              <w:t>58,506,144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41,900,765</w:t>
            </w:r>
          </w:p>
        </w:tc>
        <w:tc>
          <w:tcPr>
            <w:tcW w:w="184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39.63%</w:t>
            </w:r>
            <w:r>
              <w:rPr>
                <w:rFonts w:ascii="Times New Roman"/>
                <w:sz w:val="18"/>
              </w:rPr>
            </w:r>
          </w:p>
        </w:tc>
      </w:tr>
      <w:tr>
        <w:trPr>
          <w:trHeight w:val="388" w:hRule="exact"/>
        </w:trPr>
        <w:tc>
          <w:tcPr>
            <w:tcW w:w="3313"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8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293"/>
              <w:jc w:val="right"/>
              <w:rPr>
                <w:rFonts w:ascii="Times New Roman" w:hAnsi="Times New Roman" w:cs="Times New Roman" w:eastAsia="Times New Roman" w:hint="default"/>
                <w:sz w:val="18"/>
                <w:szCs w:val="18"/>
              </w:rPr>
            </w:pPr>
            <w:r>
              <w:rPr>
                <w:rFonts w:ascii="Times New Roman"/>
                <w:spacing w:val="-1"/>
                <w:sz w:val="18"/>
              </w:rPr>
              <w:t>55,113,626</w:t>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pacing w:val="-1"/>
                <w:sz w:val="18"/>
              </w:rPr>
              <w:t>39,902,890</w:t>
            </w:r>
          </w:p>
        </w:tc>
        <w:tc>
          <w:tcPr>
            <w:tcW w:w="184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70"/>
              <w:ind w:right="84"/>
              <w:jc w:val="right"/>
              <w:rPr>
                <w:rFonts w:ascii="Times New Roman" w:hAnsi="Times New Roman" w:cs="Times New Roman" w:eastAsia="Times New Roman" w:hint="default"/>
                <w:sz w:val="18"/>
                <w:szCs w:val="18"/>
              </w:rPr>
            </w:pPr>
            <w:r>
              <w:rPr>
                <w:rFonts w:ascii="Times New Roman"/>
                <w:w w:val="95"/>
                <w:sz w:val="18"/>
              </w:rPr>
              <w:t>38.12%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26" w:footer="900" w:top="1100" w:bottom="1100" w:left="1400" w:right="1380"/>
        </w:sectPr>
      </w:pPr>
    </w:p>
    <w:p>
      <w:pPr>
        <w:pStyle w:val="BodyText"/>
        <w:spacing w:line="338" w:lineRule="auto" w:before="106"/>
        <w:ind w:left="224" w:right="231"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随着公司经营规模的进一步扩大，报告期内经营活动现金流入和流出的相</w:t>
      </w:r>
      <w:r>
        <w:rPr>
          <w:spacing w:val="3"/>
        </w:rPr>
        <w:t> </w:t>
      </w:r>
      <w:r>
        <w:rPr/>
        <w:t>应增加；</w:t>
      </w:r>
    </w:p>
    <w:p>
      <w:pPr>
        <w:pStyle w:val="BodyText"/>
        <w:spacing w:line="338" w:lineRule="auto" w:before="55"/>
        <w:ind w:left="223" w:right="104" w:firstLine="480"/>
        <w:jc w:val="left"/>
      </w:pPr>
      <w:r>
        <w:rPr>
          <w:rFonts w:ascii="Wingdings" w:hAnsi="Wingdings" w:cs="Wingdings" w:eastAsia="Wingdings" w:hint="default"/>
        </w:rPr>
        <w:t></w:t>
      </w:r>
      <w:r>
        <w:rPr>
          <w:rFonts w:ascii="Wingdings" w:hAnsi="Wingdings" w:cs="Wingdings" w:eastAsia="Wingdings" w:hint="default"/>
          <w:spacing w:val="-82"/>
        </w:rPr>
        <w:t></w:t>
      </w:r>
      <w:r>
        <w:rPr>
          <w:rFonts w:ascii="Times New Roman" w:hAnsi="Times New Roman" w:cs="Times New Roman" w:eastAsia="Times New Roman" w:hint="default"/>
          <w:spacing w:val="-82"/>
        </w:rPr>
      </w:r>
      <w:r>
        <w:rPr/>
        <w:t>公司继续推进“租、建、购、并”多样化的开发策略，购置物业投入增加， 由此带来投资活动现金流出量同比增加，投资活动产生的现金流量净额相应下降；</w:t>
      </w:r>
    </w:p>
    <w:p>
      <w:pPr>
        <w:pStyle w:val="BodyText"/>
        <w:spacing w:line="338" w:lineRule="auto" w:before="55"/>
        <w:ind w:left="223" w:right="222" w:firstLine="48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月，公司非公开发行募集资金的到位，带来公司筹资活动产生的 现金流入增加，筹资活动产生的现金流量金额相应增加；</w:t>
      </w:r>
    </w:p>
    <w:p>
      <w:pPr>
        <w:pStyle w:val="BodyText"/>
        <w:spacing w:line="240" w:lineRule="auto" w:before="55"/>
        <w:ind w:left="703"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上述原因，带来报告期内现金及现金等价物净增加额同比增加。</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338" w:lineRule="auto"/>
        <w:ind w:left="223" w:right="0" w:firstLine="480"/>
        <w:jc w:val="left"/>
      </w:pPr>
      <w:r>
        <w:rPr>
          <w:rFonts w:ascii="Times New Roman" w:hAnsi="Times New Roman" w:cs="Times New Roman" w:eastAsia="Times New Roman" w:hint="default"/>
          <w:spacing w:val="2"/>
        </w:rPr>
        <w:t>6</w:t>
      </w:r>
      <w:r>
        <w:rPr>
          <w:spacing w:val="2"/>
        </w:rPr>
        <w:t>、截止报告期末，公司不存在证券投资等交易性金融资产，不存在委托理财</w:t>
      </w:r>
      <w:r>
        <w:rPr>
          <w:spacing w:val="3"/>
        </w:rPr>
        <w:t> </w:t>
      </w:r>
      <w:r>
        <w:rPr/>
        <w:t>等财务性投资或套期保值业务，也不存在对创业企业投资的情形。</w:t>
      </w:r>
    </w:p>
    <w:p>
      <w:pPr>
        <w:spacing w:line="240" w:lineRule="auto" w:before="12"/>
        <w:rPr>
          <w:rFonts w:ascii="宋体" w:hAnsi="宋体" w:cs="宋体" w:eastAsia="宋体" w:hint="default"/>
          <w:sz w:val="35"/>
          <w:szCs w:val="35"/>
        </w:rPr>
      </w:pPr>
    </w:p>
    <w:p>
      <w:pPr>
        <w:pStyle w:val="BodyText"/>
        <w:spacing w:line="240" w:lineRule="auto"/>
        <w:ind w:left="703" w:right="2568"/>
        <w:jc w:val="left"/>
      </w:pPr>
      <w:r>
        <w:rPr/>
        <w:t>（五）主要控股公司及参股公司的经营情况及业绩：</w:t>
      </w:r>
    </w:p>
    <w:p>
      <w:pPr>
        <w:pStyle w:val="BodyText"/>
        <w:spacing w:line="240" w:lineRule="auto" w:before="154"/>
        <w:ind w:left="703" w:right="2568"/>
        <w:jc w:val="left"/>
      </w:pPr>
      <w:r>
        <w:rPr>
          <w:rFonts w:ascii="Times New Roman" w:hAnsi="Times New Roman" w:cs="Times New Roman" w:eastAsia="Times New Roman" w:hint="default"/>
        </w:rPr>
        <w:t>1</w:t>
      </w:r>
      <w:r>
        <w:rPr/>
        <w:t>、净利润前</w:t>
      </w:r>
      <w:r>
        <w:rPr>
          <w:spacing w:val="-60"/>
        </w:rPr>
        <w:t> </w:t>
      </w:r>
      <w:r>
        <w:rPr>
          <w:rFonts w:ascii="Times New Roman" w:hAnsi="Times New Roman" w:cs="Times New Roman" w:eastAsia="Times New Roman" w:hint="default"/>
        </w:rPr>
        <w:t>30 </w:t>
      </w:r>
      <w:r>
        <w:rPr/>
        <w:t>位控股子公司经营情况如下：</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864"/>
        <w:gridCol w:w="1450"/>
        <w:gridCol w:w="1625"/>
        <w:gridCol w:w="1450"/>
        <w:gridCol w:w="1448"/>
      </w:tblGrid>
      <w:tr>
        <w:trPr>
          <w:trHeight w:val="305" w:hRule="exact"/>
        </w:trPr>
        <w:tc>
          <w:tcPr>
            <w:tcW w:w="2864" w:type="dxa"/>
            <w:tcBorders>
              <w:top w:val="single" w:sz="12" w:space="0" w:color="000000"/>
              <w:left w:val="single" w:sz="12" w:space="0" w:color="000000"/>
              <w:bottom w:val="single" w:sz="4" w:space="0" w:color="000000"/>
              <w:right w:val="single" w:sz="4" w:space="0" w:color="000000"/>
            </w:tcBorders>
          </w:tcPr>
          <w:p>
            <w:pPr>
              <w:pStyle w:val="TableParagraph"/>
              <w:spacing w:line="232" w:lineRule="exact"/>
              <w:ind w:left="877" w:right="0"/>
              <w:jc w:val="left"/>
              <w:rPr>
                <w:rFonts w:ascii="宋体" w:hAnsi="宋体" w:cs="宋体" w:eastAsia="宋体" w:hint="default"/>
                <w:sz w:val="18"/>
                <w:szCs w:val="18"/>
              </w:rPr>
            </w:pPr>
            <w:r>
              <w:rPr>
                <w:rFonts w:ascii="宋体" w:hAnsi="宋体" w:cs="宋体" w:eastAsia="宋体" w:hint="default"/>
                <w:sz w:val="18"/>
                <w:szCs w:val="18"/>
              </w:rPr>
              <w:t>控股公司名称</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hAnsi="宋体" w:cs="宋体" w:eastAsia="宋体" w:hint="default"/>
                <w:spacing w:val="-4"/>
                <w:sz w:val="18"/>
                <w:szCs w:val="18"/>
              </w:rPr>
              <w:t>注册资本（元）</w:t>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33"/>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448" w:type="dxa"/>
            <w:tcBorders>
              <w:top w:val="single" w:sz="12" w:space="0" w:color="000000"/>
              <w:left w:val="single" w:sz="4" w:space="0" w:color="000000"/>
              <w:bottom w:val="single" w:sz="4" w:space="0" w:color="000000"/>
              <w:right w:val="single" w:sz="12" w:space="0" w:color="000000"/>
            </w:tcBorders>
          </w:tcPr>
          <w:p>
            <w:pPr>
              <w:pStyle w:val="TableParagraph"/>
              <w:spacing w:line="232" w:lineRule="exact"/>
              <w:ind w:right="122"/>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277,978,500.00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1,388,439,999.01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647,979,032.28</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129,175,916.69</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177,480,000.00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1,075,450,074.74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500,873,597.15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120,150,624.27</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重庆渝宁苏宁电器有限公司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18"/>
                <w:szCs w:val="18"/>
              </w:rPr>
            </w:pPr>
            <w:r>
              <w:rPr>
                <w:rFonts w:ascii="Times New Roman"/>
                <w:sz w:val="18"/>
              </w:rPr>
              <w:t>50,000,000.00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554,752,710.52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104,399,545.74</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50,057,344.69</w:t>
            </w:r>
          </w:p>
        </w:tc>
      </w:tr>
      <w:tr>
        <w:trPr>
          <w:trHeight w:val="294"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深圳市苏宁电器有限公司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77,000,000.00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895,344,435.43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248,383,372.40</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18"/>
                <w:szCs w:val="18"/>
              </w:rPr>
            </w:pPr>
            <w:r>
              <w:rPr>
                <w:rFonts w:ascii="Times New Roman"/>
                <w:spacing w:val="-1"/>
                <w:sz w:val="18"/>
              </w:rPr>
              <w:t>47,364,484.75</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陕西苏宁电器有限责任公司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18"/>
                <w:szCs w:val="18"/>
              </w:rPr>
            </w:pPr>
            <w:r>
              <w:rPr>
                <w:rFonts w:ascii="Times New Roman"/>
                <w:sz w:val="18"/>
              </w:rPr>
              <w:t>39,560,000.00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258,213,402.13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195,497,849.45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36,123,723.80</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浙江苏宁电器有限公司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165,010,000.00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440,413,850.67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346,218,691.88</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34,938,531.33</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四川苏宁电器有限公司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18"/>
                <w:szCs w:val="18"/>
              </w:rPr>
            </w:pPr>
            <w:r>
              <w:rPr>
                <w:rFonts w:ascii="Times New Roman"/>
                <w:sz w:val="18"/>
              </w:rPr>
              <w:t>10,000,000.00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504,541,378.41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42,581,914.96</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109"/>
              <w:jc w:val="right"/>
              <w:rPr>
                <w:rFonts w:ascii="Times New Roman" w:hAnsi="Times New Roman" w:cs="Times New Roman" w:eastAsia="Times New Roman" w:hint="default"/>
                <w:sz w:val="18"/>
                <w:szCs w:val="18"/>
              </w:rPr>
            </w:pPr>
            <w:r>
              <w:rPr>
                <w:rFonts w:ascii="Times New Roman"/>
                <w:spacing w:val="-1"/>
                <w:sz w:val="18"/>
              </w:rPr>
              <w:t>28,328,268.24</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云南苏宁电器有限公司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89,804,084.56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31,678,790.48</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25,898,102.78</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新疆苏宁电器有限公司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18"/>
                <w:szCs w:val="18"/>
              </w:rPr>
            </w:pPr>
            <w:r>
              <w:rPr>
                <w:rFonts w:ascii="Times New Roman"/>
                <w:sz w:val="18"/>
              </w:rPr>
              <w:t>65,500,000.00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2"/>
                <w:sz w:val="18"/>
              </w:rPr>
              <w:t>115,117,708.46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105,345,714.43</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17,899,801.68</w:t>
            </w:r>
          </w:p>
        </w:tc>
      </w:tr>
      <w:tr>
        <w:trPr>
          <w:trHeight w:val="294"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安徽苏宁电器有限公司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12,000,000.00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150,122,306.98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105,739,537.26</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17,593,995.47</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广西苏宁电器有限公司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16,000,000.00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100,547,456.03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65,244,432.87</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17,308,858.12</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pacing w:val="-16"/>
                <w:sz w:val="18"/>
                <w:szCs w:val="18"/>
              </w:rPr>
              <w:t>上海杨浦苏宁电器售后服务有限公司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500,000.00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42,800,913.71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34,904,519.44</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17,114,354.51</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宁波甬宁苏宁电器有限公司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49,199,746.18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21,838,587.18</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15,074,078.29</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558,186,000.00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617,090,859.84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587,965,064.85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14,609,867.48</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南通苏宁电器有限公司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15,300,000.00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74,279,900.02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45,231,157.56</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13,985,737.19</w:t>
            </w:r>
          </w:p>
        </w:tc>
      </w:tr>
      <w:tr>
        <w:trPr>
          <w:trHeight w:val="294"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马鞍山苏宁电器有限公司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46,380,941.21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30,931,460.97</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12,883,870.45</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大连沈大苏宁电器有限公司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22,100,000.00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74,779,832.19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48,470,480.80</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11,450,595.53</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沈阳苏宁电器有限公司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201,933,000.00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339,200,203.45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260,652,135.85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11,253,125.62</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常州苏宁电器有限公司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177,751,136.63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27,047,991.60</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11,221,663.57</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贵阳东方苏宁电器有限公司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15,500,000.00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58,815,683.39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34,266,404.18</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2"/>
                <w:sz w:val="18"/>
              </w:rPr>
              <w:t>11,118,976.98</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武汉苏宁电器有限公司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323,230,000.00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526,305,139.29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347,781,472.57</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11,031,348.24</w:t>
            </w:r>
          </w:p>
        </w:tc>
      </w:tr>
      <w:tr>
        <w:trPr>
          <w:trHeight w:val="294"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苏州苏宁电器有限公司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33,700,000.00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127,562,809.32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52,876,652.77</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10,000,874.26</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西宁苏宁电器有限公司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17,000,000.00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46,353,013.79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37,953,901.45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9,998,315.05</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福建苏宁电器有限公司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122,000,000.00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309,582,845.04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191,028,977.75</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9,891,705.84</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厦门福厦苏宁电器有限公司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60,100,000.00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135,492,984.42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106,381,038.90</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9,866,270.82</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长春苏宁电器有限公司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21,000,000.00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78,327,781.82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54,674,137.04</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9,712,715.54</w:t>
            </w:r>
          </w:p>
        </w:tc>
      </w:tr>
      <w:tr>
        <w:trPr>
          <w:trHeight w:val="306" w:hRule="exact"/>
        </w:trPr>
        <w:tc>
          <w:tcPr>
            <w:tcW w:w="2864"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无锡市苏宁电器有限公司</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18"/>
                <w:szCs w:val="18"/>
              </w:rPr>
            </w:pPr>
            <w:r>
              <w:rPr>
                <w:rFonts w:ascii="Times New Roman"/>
                <w:sz w:val="18"/>
              </w:rPr>
              <w:t>14,700,000.00</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82,512,085.87</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51,218,377.35</w:t>
            </w:r>
          </w:p>
        </w:tc>
        <w:tc>
          <w:tcPr>
            <w:tcW w:w="14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18"/>
                <w:szCs w:val="18"/>
              </w:rPr>
            </w:pPr>
            <w:r>
              <w:rPr>
                <w:rFonts w:ascii="Times New Roman"/>
                <w:spacing w:val="-1"/>
                <w:sz w:val="18"/>
              </w:rPr>
              <w:t>9,621,115.69</w:t>
            </w:r>
          </w:p>
        </w:tc>
      </w:tr>
    </w:tbl>
    <w:p>
      <w:pPr>
        <w:spacing w:after="0" w:line="240" w:lineRule="auto"/>
        <w:jc w:val="right"/>
        <w:rPr>
          <w:rFonts w:ascii="Times New Roman" w:hAnsi="Times New Roman" w:cs="Times New Roman" w:eastAsia="Times New Roman" w:hint="default"/>
          <w:sz w:val="18"/>
          <w:szCs w:val="18"/>
        </w:rPr>
        <w:sectPr>
          <w:pgSz w:w="11910" w:h="16840"/>
          <w:pgMar w:header="826" w:footer="900" w:top="1100" w:bottom="1100" w:left="1420" w:right="1400"/>
        </w:sectPr>
      </w:pP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64"/>
        <w:gridCol w:w="1450"/>
        <w:gridCol w:w="1625"/>
        <w:gridCol w:w="1450"/>
        <w:gridCol w:w="1448"/>
      </w:tblGrid>
      <w:tr>
        <w:trPr>
          <w:trHeight w:val="306" w:hRule="exact"/>
        </w:trPr>
        <w:tc>
          <w:tcPr>
            <w:tcW w:w="2864" w:type="dxa"/>
            <w:tcBorders>
              <w:top w:val="single" w:sz="12"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苏宁中央空调销售</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5,000,000.00</w:t>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844,521.44</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14,620,345.72</w:t>
            </w:r>
          </w:p>
        </w:tc>
        <w:tc>
          <w:tcPr>
            <w:tcW w:w="14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8"/>
                <w:szCs w:val="18"/>
              </w:rPr>
            </w:pPr>
            <w:r>
              <w:rPr>
                <w:rFonts w:ascii="Times New Roman"/>
                <w:spacing w:val="-1"/>
                <w:sz w:val="18"/>
              </w:rPr>
              <w:t>9,620,345.72</w:t>
            </w:r>
          </w:p>
        </w:tc>
      </w:tr>
      <w:tr>
        <w:trPr>
          <w:trHeight w:val="295"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芜湖苏宁电器有限公司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5,100,000.00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34,518,457.57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23,293,892.64</w:t>
            </w:r>
          </w:p>
        </w:tc>
        <w:tc>
          <w:tcPr>
            <w:tcW w:w="14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8,811,864.45</w:t>
            </w:r>
          </w:p>
        </w:tc>
      </w:tr>
      <w:tr>
        <w:trPr>
          <w:trHeight w:val="305" w:hRule="exact"/>
        </w:trPr>
        <w:tc>
          <w:tcPr>
            <w:tcW w:w="2864"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佛山市苏宁电器有限公司</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41,000,000.00</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103,144,081.23</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65,891,145.34</w:t>
            </w:r>
          </w:p>
        </w:tc>
        <w:tc>
          <w:tcPr>
            <w:tcW w:w="14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18"/>
                <w:szCs w:val="18"/>
              </w:rPr>
            </w:pPr>
            <w:r>
              <w:rPr>
                <w:rFonts w:ascii="Times New Roman"/>
                <w:spacing w:val="-1"/>
                <w:sz w:val="18"/>
              </w:rPr>
              <w:t>8,641,124.44</w:t>
            </w:r>
          </w:p>
        </w:tc>
      </w:tr>
    </w:tbl>
    <w:p>
      <w:pPr>
        <w:pStyle w:val="BodyText"/>
        <w:spacing w:line="259" w:lineRule="auto" w:before="7"/>
        <w:ind w:left="223" w:right="126" w:firstLine="480"/>
        <w:jc w:val="left"/>
      </w:pPr>
      <w:r>
        <w:rPr>
          <w:rFonts w:ascii="Times New Roman" w:hAnsi="Times New Roman" w:cs="Times New Roman" w:eastAsia="Times New Roman" w:hint="default"/>
          <w:spacing w:val="-5"/>
        </w:rPr>
        <w:t>2</w:t>
      </w:r>
      <w:r>
        <w:rPr>
          <w:spacing w:val="-5"/>
        </w:rPr>
        <w:t>、报告期内不存在单个参股公司的投资收益对净利润的影响</w:t>
      </w:r>
      <w:r>
        <w:rPr>
          <w:spacing w:val="-82"/>
        </w:rPr>
        <w:t> </w:t>
      </w:r>
      <w:r>
        <w:rPr>
          <w:rFonts w:ascii="Times New Roman" w:hAnsi="Times New Roman" w:cs="Times New Roman" w:eastAsia="Times New Roman" w:hint="default"/>
          <w:spacing w:val="-18"/>
        </w:rPr>
        <w:t>10%</w:t>
      </w:r>
      <w:r>
        <w:rPr>
          <w:spacing w:val="-18"/>
        </w:rPr>
        <w:t>以上（含</w:t>
      </w:r>
      <w:r>
        <w:rPr>
          <w:spacing w:val="-82"/>
        </w:rPr>
        <w:t> </w:t>
      </w:r>
      <w:r>
        <w:rPr>
          <w:rFonts w:ascii="Times New Roman" w:hAnsi="Times New Roman" w:cs="Times New Roman" w:eastAsia="Times New Roman" w:hint="default"/>
        </w:rPr>
        <w:t>10%</w:t>
      </w:r>
      <w:r>
        <w:rPr/>
        <w:t>） 的情况。</w:t>
      </w:r>
    </w:p>
    <w:p>
      <w:pPr>
        <w:spacing w:line="240" w:lineRule="auto" w:before="1"/>
        <w:rPr>
          <w:rFonts w:ascii="宋体" w:hAnsi="宋体" w:cs="宋体" w:eastAsia="宋体" w:hint="default"/>
          <w:sz w:val="30"/>
          <w:szCs w:val="30"/>
        </w:rPr>
      </w:pPr>
    </w:p>
    <w:p>
      <w:pPr>
        <w:pStyle w:val="BodyText"/>
        <w:spacing w:line="240" w:lineRule="auto"/>
        <w:ind w:left="704" w:right="126"/>
        <w:jc w:val="left"/>
      </w:pPr>
      <w:r>
        <w:rPr/>
        <w:t>（六）主要供应商及客户情况</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072"/>
        <w:gridCol w:w="1160"/>
        <w:gridCol w:w="1378"/>
        <w:gridCol w:w="1318"/>
        <w:gridCol w:w="1846"/>
        <w:gridCol w:w="1073"/>
      </w:tblGrid>
      <w:tr>
        <w:trPr>
          <w:trHeight w:val="846" w:hRule="exact"/>
        </w:trPr>
        <w:tc>
          <w:tcPr>
            <w:tcW w:w="207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06"/>
              <w:ind w:left="155"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378"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158" w:right="0"/>
              <w:jc w:val="left"/>
              <w:rPr>
                <w:rFonts w:ascii="宋体" w:hAnsi="宋体" w:cs="宋体" w:eastAsia="宋体" w:hint="default"/>
                <w:sz w:val="21"/>
                <w:szCs w:val="21"/>
              </w:rPr>
            </w:pPr>
            <w:r>
              <w:rPr>
                <w:rFonts w:ascii="宋体" w:hAnsi="宋体" w:cs="宋体" w:eastAsia="宋体" w:hint="default"/>
                <w:sz w:val="21"/>
                <w:szCs w:val="21"/>
              </w:rPr>
              <w:t>占年度采购</w:t>
            </w:r>
          </w:p>
          <w:p>
            <w:pPr>
              <w:pStyle w:val="TableParagraph"/>
              <w:spacing w:line="272" w:lineRule="exact" w:before="27"/>
              <w:ind w:left="280" w:right="157" w:hanging="123"/>
              <w:jc w:val="left"/>
              <w:rPr>
                <w:rFonts w:ascii="宋体" w:hAnsi="宋体" w:cs="宋体" w:eastAsia="宋体" w:hint="default"/>
                <w:sz w:val="21"/>
                <w:szCs w:val="21"/>
              </w:rPr>
            </w:pPr>
            <w:r>
              <w:rPr>
                <w:rFonts w:ascii="宋体" w:hAnsi="宋体" w:cs="宋体" w:eastAsia="宋体" w:hint="default"/>
                <w:sz w:val="21"/>
                <w:szCs w:val="21"/>
              </w:rPr>
              <w:t>总金额的比 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128" w:right="127"/>
              <w:jc w:val="left"/>
              <w:rPr>
                <w:rFonts w:ascii="宋体" w:hAnsi="宋体" w:cs="宋体" w:eastAsia="宋体" w:hint="default"/>
                <w:sz w:val="21"/>
                <w:szCs w:val="21"/>
              </w:rPr>
            </w:pPr>
            <w:r>
              <w:rPr>
                <w:rFonts w:ascii="宋体" w:hAnsi="宋体" w:cs="宋体" w:eastAsia="宋体" w:hint="default"/>
                <w:sz w:val="21"/>
                <w:szCs w:val="21"/>
              </w:rPr>
              <w:t>预付账款余 额（千元）</w:t>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总余额的比例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6"/>
              <w:ind w:left="103" w:right="98"/>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spacing w:val="-98"/>
                <w:sz w:val="21"/>
                <w:szCs w:val="21"/>
              </w:rPr>
              <w:t> </w:t>
            </w:r>
            <w:r>
              <w:rPr>
                <w:rFonts w:ascii="宋体" w:hAnsi="宋体" w:cs="宋体" w:eastAsia="宋体" w:hint="default"/>
                <w:sz w:val="21"/>
                <w:szCs w:val="21"/>
              </w:rPr>
              <w:t>关联关系</w:t>
            </w:r>
          </w:p>
        </w:tc>
      </w:tr>
      <w:tr>
        <w:trPr>
          <w:trHeight w:val="643" w:hRule="exact"/>
        </w:trPr>
        <w:tc>
          <w:tcPr>
            <w:tcW w:w="20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1"/>
              <w:ind w:right="8"/>
              <w:jc w:val="center"/>
              <w:rPr>
                <w:rFonts w:ascii="宋体" w:hAnsi="宋体" w:cs="宋体" w:eastAsia="宋体" w:hint="default"/>
                <w:sz w:val="21"/>
                <w:szCs w:val="21"/>
              </w:rPr>
            </w:pPr>
            <w:r>
              <w:rPr>
                <w:rFonts w:ascii="宋体" w:hAnsi="宋体" w:cs="宋体" w:eastAsia="宋体" w:hint="default"/>
                <w:sz w:val="21"/>
                <w:szCs w:val="21"/>
              </w:rPr>
              <w:t>前五名供应商</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14,483,188</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34.75%</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63,167</w:t>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5.84%</w:t>
            </w:r>
          </w:p>
        </w:tc>
        <w:tc>
          <w:tcPr>
            <w:tcW w:w="10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45" w:hRule="exact"/>
        </w:trPr>
        <w:tc>
          <w:tcPr>
            <w:tcW w:w="207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客户</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06"/>
              <w:ind w:left="156" w:right="0"/>
              <w:jc w:val="left"/>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378"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158" w:right="0"/>
              <w:jc w:val="left"/>
              <w:rPr>
                <w:rFonts w:ascii="宋体" w:hAnsi="宋体" w:cs="宋体" w:eastAsia="宋体" w:hint="default"/>
                <w:sz w:val="21"/>
                <w:szCs w:val="21"/>
              </w:rPr>
            </w:pPr>
            <w:r>
              <w:rPr>
                <w:rFonts w:ascii="宋体" w:hAnsi="宋体" w:cs="宋体" w:eastAsia="宋体" w:hint="default"/>
                <w:sz w:val="21"/>
                <w:szCs w:val="21"/>
              </w:rPr>
              <w:t>占年度销售</w:t>
            </w:r>
          </w:p>
          <w:p>
            <w:pPr>
              <w:pStyle w:val="TableParagraph"/>
              <w:spacing w:line="240" w:lineRule="auto"/>
              <w:ind w:left="280" w:right="157" w:hanging="123"/>
              <w:jc w:val="left"/>
              <w:rPr>
                <w:rFonts w:ascii="宋体" w:hAnsi="宋体" w:cs="宋体" w:eastAsia="宋体" w:hint="default"/>
                <w:sz w:val="21"/>
                <w:szCs w:val="21"/>
              </w:rPr>
            </w:pPr>
            <w:r>
              <w:rPr>
                <w:rFonts w:ascii="宋体" w:hAnsi="宋体" w:cs="宋体" w:eastAsia="宋体" w:hint="default"/>
                <w:sz w:val="21"/>
                <w:szCs w:val="21"/>
              </w:rPr>
              <w:t>总金额的比 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4"/>
              <w:ind w:left="128" w:right="127"/>
              <w:jc w:val="left"/>
              <w:rPr>
                <w:rFonts w:ascii="宋体" w:hAnsi="宋体" w:cs="宋体" w:eastAsia="宋体" w:hint="default"/>
                <w:sz w:val="21"/>
                <w:szCs w:val="21"/>
              </w:rPr>
            </w:pPr>
            <w:r>
              <w:rPr>
                <w:rFonts w:ascii="宋体" w:hAnsi="宋体" w:cs="宋体" w:eastAsia="宋体" w:hint="default"/>
                <w:sz w:val="21"/>
                <w:szCs w:val="21"/>
              </w:rPr>
              <w:t>应收账款余 额（千元）</w:t>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总余额的比例</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3"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134"/>
              <w:ind w:left="106" w:right="104"/>
              <w:jc w:val="left"/>
              <w:rPr>
                <w:rFonts w:ascii="宋体" w:hAnsi="宋体" w:cs="宋体" w:eastAsia="宋体" w:hint="default"/>
                <w:sz w:val="21"/>
                <w:szCs w:val="21"/>
              </w:rPr>
            </w:pPr>
            <w:r>
              <w:rPr>
                <w:rFonts w:ascii="宋体" w:hAnsi="宋体" w:cs="宋体" w:eastAsia="宋体" w:hint="default"/>
                <w:sz w:val="21"/>
                <w:szCs w:val="21"/>
              </w:rPr>
              <w:t>是否存在 关联关系</w:t>
            </w:r>
          </w:p>
        </w:tc>
      </w:tr>
      <w:tr>
        <w:trPr>
          <w:trHeight w:val="646" w:hRule="exact"/>
        </w:trPr>
        <w:tc>
          <w:tcPr>
            <w:tcW w:w="20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前五名销售客户</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66,699</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1" w:right="0"/>
              <w:jc w:val="left"/>
              <w:rPr>
                <w:rFonts w:ascii="Times New Roman" w:hAnsi="Times New Roman" w:cs="Times New Roman" w:eastAsia="Times New Roman" w:hint="default"/>
                <w:sz w:val="21"/>
                <w:szCs w:val="21"/>
              </w:rPr>
            </w:pPr>
            <w:r>
              <w:rPr>
                <w:rFonts w:ascii="Times New Roman"/>
                <w:sz w:val="21"/>
              </w:rPr>
              <w:t>0.14%</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24,012</w:t>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21.80%</w:t>
            </w:r>
          </w:p>
        </w:tc>
        <w:tc>
          <w:tcPr>
            <w:tcW w:w="10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1"/>
              <w:ind w:right="25"/>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57" w:lineRule="exact" w:before="0"/>
        <w:ind w:left="644" w:right="12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、以前年度，公司披露的主要供应商及客户情况为母公司口径统计数据；</w:t>
      </w:r>
    </w:p>
    <w:p>
      <w:pPr>
        <w:spacing w:line="302" w:lineRule="auto" w:before="63"/>
        <w:ind w:left="224" w:right="257" w:firstLine="84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、为便于投资者更好的分析公司与供应商、销售客户的合作关系，本报告期对供应商</w:t>
      </w:r>
      <w:r>
        <w:rPr>
          <w:rFonts w:ascii="宋体" w:hAnsi="宋体" w:cs="宋体" w:eastAsia="宋体" w:hint="default"/>
          <w:sz w:val="21"/>
          <w:szCs w:val="21"/>
        </w:rPr>
        <w:t> 在合并报表范围内，按品牌口径进行统计；对销售客户在合并报表范围内，按集团公司及下属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公司的合计数进行统计；</w:t>
      </w:r>
    </w:p>
    <w:p>
      <w:pPr>
        <w:spacing w:line="292" w:lineRule="auto" w:before="25"/>
        <w:ind w:left="224" w:right="257" w:firstLine="84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、前五名供应商品牌为海尔、三星、索尼、诺基亚、松下；前五名销售客户主要为公</w:t>
      </w:r>
      <w:r>
        <w:rPr>
          <w:rFonts w:ascii="宋体" w:hAnsi="宋体" w:cs="宋体" w:eastAsia="宋体" w:hint="default"/>
          <w:sz w:val="21"/>
          <w:szCs w:val="21"/>
        </w:rPr>
        <w:t> 司对公销售客户；</w:t>
      </w:r>
    </w:p>
    <w:p>
      <w:pPr>
        <w:spacing w:before="34"/>
        <w:ind w:left="1064" w:right="1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、前五名供应商预付账款余额为应付、预付抵消后净额。</w:t>
      </w:r>
    </w:p>
    <w:p>
      <w:pPr>
        <w:spacing w:line="240" w:lineRule="auto" w:before="6"/>
        <w:rPr>
          <w:rFonts w:ascii="宋体" w:hAnsi="宋体" w:cs="宋体" w:eastAsia="宋体" w:hint="default"/>
          <w:sz w:val="28"/>
          <w:szCs w:val="28"/>
        </w:rPr>
      </w:pPr>
    </w:p>
    <w:p>
      <w:pPr>
        <w:pStyle w:val="BodyText"/>
        <w:spacing w:line="357" w:lineRule="auto"/>
        <w:ind w:left="703" w:right="255"/>
        <w:jc w:val="left"/>
      </w:pPr>
      <w:r>
        <w:rPr/>
        <w:t>（七）经营中出现的问题与困难及解决方案： 1、优质店面资源的稀缺以及店面平台的稳定性对公司连锁发展的影响 </w:t>
      </w:r>
      <w:r>
        <w:rPr>
          <w:spacing w:val="-1"/>
        </w:rPr>
        <w:t>随着公司连锁经营的不断发展和开店标准的逐步细化，符合公司连锁发展标准</w:t>
      </w:r>
    </w:p>
    <w:p>
      <w:pPr>
        <w:pStyle w:val="BodyText"/>
        <w:spacing w:line="357" w:lineRule="auto" w:before="36"/>
        <w:ind w:left="223" w:right="257"/>
        <w:jc w:val="both"/>
      </w:pPr>
      <w:r>
        <w:rPr>
          <w:spacing w:val="-1"/>
        </w:rPr>
        <w:t>的优质店面资源相对稀缺，这给公司连锁发展的店面选址工作及后续经营带来了一</w:t>
      </w:r>
      <w:r>
        <w:rPr>
          <w:spacing w:val="-104"/>
        </w:rPr>
        <w:t> </w:t>
      </w:r>
      <w:r>
        <w:rPr>
          <w:spacing w:val="-104"/>
        </w:rPr>
      </w:r>
      <w:r>
        <w:rPr>
          <w:spacing w:val="-1"/>
        </w:rPr>
        <w:t>定的压力。公司店面目前主要以租赁方式进行经营，在后续经营的稳定性以及到期</w:t>
      </w:r>
      <w:r>
        <w:rPr>
          <w:spacing w:val="-104"/>
        </w:rPr>
        <w:t> </w:t>
      </w:r>
      <w:r>
        <w:rPr>
          <w:spacing w:val="-104"/>
        </w:rPr>
      </w:r>
      <w:r>
        <w:rPr/>
        <w:t>续租时租赁成本的上升方面都存在较大不确定性。</w:t>
      </w:r>
    </w:p>
    <w:p>
      <w:pPr>
        <w:pStyle w:val="BodyText"/>
        <w:spacing w:line="240" w:lineRule="auto" w:before="36"/>
        <w:ind w:left="703" w:right="126"/>
        <w:jc w:val="left"/>
      </w:pPr>
      <w:r>
        <w:rPr/>
        <w:t>针对上述问题，公司将采取以下措施：</w:t>
      </w:r>
    </w:p>
    <w:p>
      <w:pPr>
        <w:pStyle w:val="BodyText"/>
        <w:spacing w:line="338" w:lineRule="auto" w:before="154"/>
        <w:ind w:left="223" w:right="252"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继续推进“租、建、购、并”多样化的开发策略，在店面选址阶段，进一</w:t>
      </w:r>
      <w:r>
        <w:rPr>
          <w:spacing w:val="3"/>
        </w:rPr>
        <w:t> </w:t>
      </w:r>
      <w:r>
        <w:rPr/>
        <w:t>步加强对备选商圈的研究和分析，保证选址工作的顺利进行；</w:t>
      </w:r>
    </w:p>
    <w:p>
      <w:pPr>
        <w:pStyle w:val="BodyText"/>
        <w:spacing w:line="338" w:lineRule="auto" w:before="55"/>
        <w:ind w:left="223" w:right="252" w:firstLine="482"/>
        <w:jc w:val="left"/>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spacing w:val="2"/>
        </w:rPr>
        <w:t>加强与全国性开发商的战略合作，共同分析商圈、店面规划，加强定制性</w:t>
      </w:r>
      <w:r>
        <w:rPr>
          <w:spacing w:val="3"/>
        </w:rPr>
        <w:t> </w:t>
      </w:r>
      <w:r>
        <w:rPr/>
        <w:t>开发，建立长期性合作；</w:t>
      </w:r>
    </w:p>
    <w:p>
      <w:pPr>
        <w:pStyle w:val="BodyText"/>
        <w:spacing w:line="338" w:lineRule="auto" w:before="55"/>
        <w:ind w:left="223" w:right="252" w:firstLine="482"/>
        <w:jc w:val="left"/>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spacing w:val="2"/>
        </w:rPr>
        <w:t>在充分论证的基础上，在全国重点城市的核心商圈，合理购置店面，以减</w:t>
      </w:r>
      <w:r>
        <w:rPr>
          <w:spacing w:val="3"/>
        </w:rPr>
        <w:t> </w:t>
      </w:r>
      <w:r>
        <w:rPr>
          <w:spacing w:val="-1"/>
        </w:rPr>
        <w:t>少经营风险，降低租金压力，以旗舰店的良好形象和销售，带动区域整体经营能力</w:t>
      </w:r>
    </w:p>
    <w:p>
      <w:pPr>
        <w:spacing w:after="0" w:line="338" w:lineRule="auto"/>
        <w:jc w:val="left"/>
        <w:sectPr>
          <w:pgSz w:w="11910" w:h="16840"/>
          <w:pgMar w:header="826" w:footer="900" w:top="1100" w:bottom="1100" w:left="1420" w:right="1380"/>
        </w:sectPr>
      </w:pPr>
    </w:p>
    <w:p>
      <w:pPr>
        <w:pStyle w:val="BodyText"/>
        <w:spacing w:line="240" w:lineRule="auto" w:before="106"/>
        <w:ind w:left="144" w:right="108"/>
        <w:jc w:val="left"/>
      </w:pPr>
      <w:r>
        <w:rPr/>
        <w:t>提升；</w:t>
      </w:r>
    </w:p>
    <w:p>
      <w:pPr>
        <w:pStyle w:val="BodyText"/>
        <w:tabs>
          <w:tab w:pos="1043" w:val="left" w:leader="none"/>
        </w:tabs>
        <w:spacing w:line="240" w:lineRule="auto" w:before="154"/>
        <w:ind w:left="624" w:right="108"/>
        <w:jc w:val="left"/>
      </w:pPr>
      <w:r>
        <w:rPr>
          <w:rFonts w:ascii="Wingdings" w:hAnsi="Wingdings" w:cs="Wingdings" w:eastAsia="Wingdings" w:hint="default"/>
        </w:rPr>
        <w:t></w:t>
      </w:r>
      <w:r>
        <w:rPr>
          <w:rFonts w:ascii="Times New Roman" w:hAnsi="Times New Roman" w:cs="Times New Roman" w:eastAsia="Times New Roman" w:hint="default"/>
        </w:rPr>
        <w:tab/>
      </w:r>
      <w:r>
        <w:rPr/>
        <w:t>在条件允许的情况下进行自建店面，降低成本。</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357" w:lineRule="auto"/>
        <w:ind w:left="623" w:right="235"/>
        <w:jc w:val="left"/>
      </w:pPr>
      <w:r>
        <w:rPr/>
        <w:t>2、物流平台建设相对滞后对公司经营、管理能力提升的影响 </w:t>
      </w:r>
      <w:r>
        <w:rPr>
          <w:spacing w:val="-1"/>
        </w:rPr>
        <w:t>随着公司在二、三级市场连锁发展速度的进一步加快，物流平台建设的相对滞</w:t>
      </w:r>
    </w:p>
    <w:p>
      <w:pPr>
        <w:pStyle w:val="BodyText"/>
        <w:spacing w:line="357" w:lineRule="auto" w:before="36"/>
        <w:ind w:left="623" w:right="201" w:hanging="480"/>
        <w:jc w:val="left"/>
      </w:pPr>
      <w:r>
        <w:rPr/>
        <w:t>后对公司在区域范围内的资源整合、采购及配套服务能力的提升带来一定的限制。 针对这一问题，公司将继续加强后台物流平台的建设：</w:t>
      </w:r>
    </w:p>
    <w:p>
      <w:pPr>
        <w:pStyle w:val="BodyText"/>
        <w:spacing w:line="338" w:lineRule="auto" w:before="36"/>
        <w:ind w:right="233" w:firstLine="482"/>
        <w:jc w:val="both"/>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spacing w:val="2"/>
        </w:rPr>
        <w:t>利用已经建成的杭州、北京、江苏物流基地，不断总结经验，进一步完善</w:t>
      </w:r>
      <w:r>
        <w:rPr>
          <w:spacing w:val="3"/>
        </w:rPr>
        <w:t> </w:t>
      </w:r>
      <w:r>
        <w:rPr/>
        <w:t>物流平台操作模式与建设、作业标准；</w:t>
      </w:r>
    </w:p>
    <w:p>
      <w:pPr>
        <w:pStyle w:val="BodyText"/>
        <w:spacing w:line="240" w:lineRule="auto" w:before="55"/>
        <w:ind w:left="626" w:right="0"/>
        <w:jc w:val="left"/>
      </w:pPr>
      <w:r>
        <w:rPr>
          <w:rFonts w:ascii="Wingdings" w:hAnsi="Wingdings" w:cs="Wingdings" w:eastAsia="Wingdings" w:hint="default"/>
        </w:rPr>
        <w:t></w:t>
      </w:r>
      <w:r>
        <w:rPr>
          <w:rFonts w:ascii="Wingdings" w:hAnsi="Wingdings" w:cs="Wingdings" w:eastAsia="Wingdings" w:hint="default"/>
          <w:spacing w:val="-82"/>
        </w:rPr>
        <w:t></w:t>
      </w:r>
      <w:r>
        <w:rPr>
          <w:rFonts w:ascii="Times New Roman" w:hAnsi="Times New Roman" w:cs="Times New Roman" w:eastAsia="Times New Roman" w:hint="default"/>
          <w:spacing w:val="-82"/>
        </w:rPr>
      </w:r>
      <w:r>
        <w:rPr/>
        <w:t>按进度推进沈阳物流中心建设，争取</w:t>
      </w:r>
      <w:r>
        <w:rPr>
          <w:rFonts w:ascii="Times New Roman" w:hAnsi="Times New Roman" w:cs="Times New Roman" w:eastAsia="Times New Roman" w:hint="default"/>
        </w:rPr>
        <w:t>2009</w:t>
      </w:r>
      <w:r>
        <w:rPr/>
        <w:t>年底建设完成，</w:t>
      </w:r>
      <w:r>
        <w:rPr>
          <w:rFonts w:ascii="Times New Roman" w:hAnsi="Times New Roman" w:cs="Times New Roman" w:eastAsia="Times New Roman" w:hint="default"/>
        </w:rPr>
        <w:t>2010</w:t>
      </w:r>
      <w:r>
        <w:rPr/>
        <w:t>年投入使用；</w:t>
      </w:r>
    </w:p>
    <w:p>
      <w:pPr>
        <w:pStyle w:val="BodyText"/>
        <w:spacing w:line="338" w:lineRule="auto" w:before="135"/>
        <w:ind w:left="144" w:right="233" w:firstLine="482"/>
        <w:jc w:val="both"/>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spacing w:val="2"/>
        </w:rPr>
        <w:t>已经取得物流用地的成都、无锡、徐州等地，尽快完成前期规划与设计工</w:t>
      </w:r>
      <w:r>
        <w:rPr>
          <w:spacing w:val="3"/>
        </w:rPr>
        <w:t> </w:t>
      </w:r>
      <w:r>
        <w:rPr/>
        <w:t>作，力争</w:t>
      </w:r>
      <w:r>
        <w:rPr>
          <w:rFonts w:ascii="Times New Roman" w:hAnsi="Times New Roman" w:cs="Times New Roman" w:eastAsia="Times New Roman" w:hint="default"/>
        </w:rPr>
        <w:t>09</w:t>
      </w:r>
      <w:r>
        <w:rPr/>
        <w:t>年进入实际施工阶段。</w:t>
      </w:r>
    </w:p>
    <w:p>
      <w:pPr>
        <w:pStyle w:val="BodyText"/>
        <w:spacing w:line="338" w:lineRule="auto" w:before="27"/>
        <w:ind w:left="144" w:right="233" w:firstLine="482"/>
        <w:jc w:val="both"/>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spacing w:val="2"/>
        </w:rPr>
        <w:t>对于其他区域，公司继续抓紧物流基地的选址工作，在充分论证的基础上</w:t>
      </w:r>
      <w:r>
        <w:rPr>
          <w:spacing w:val="3"/>
        </w:rPr>
        <w:t> </w:t>
      </w:r>
      <w:r>
        <w:rPr/>
        <w:t>适时推进物流基地建设。</w:t>
      </w:r>
    </w:p>
    <w:p>
      <w:pPr>
        <w:spacing w:line="240" w:lineRule="auto" w:before="12"/>
        <w:rPr>
          <w:rFonts w:ascii="宋体" w:hAnsi="宋体" w:cs="宋体" w:eastAsia="宋体" w:hint="default"/>
          <w:sz w:val="35"/>
          <w:szCs w:val="35"/>
        </w:rPr>
      </w:pPr>
    </w:p>
    <w:p>
      <w:pPr>
        <w:pStyle w:val="BodyText"/>
        <w:spacing w:line="338" w:lineRule="auto"/>
        <w:ind w:left="624" w:right="234"/>
        <w:jc w:val="left"/>
      </w:pPr>
      <w:r>
        <w:rPr>
          <w:rFonts w:ascii="Times New Roman" w:hAnsi="Times New Roman" w:cs="Times New Roman" w:eastAsia="Times New Roman" w:hint="default"/>
        </w:rPr>
        <w:t>3</w:t>
      </w:r>
      <w:r>
        <w:rPr/>
        <w:t>、专业人才的缺乏在一定程度上制约公司的发展 </w:t>
      </w:r>
      <w:r>
        <w:rPr>
          <w:spacing w:val="-1"/>
        </w:rPr>
        <w:t>为了满足公司连锁网络的持续高速扩张对人才的长远需求，公司在人力资源上</w:t>
      </w:r>
    </w:p>
    <w:p>
      <w:pPr>
        <w:pStyle w:val="BodyText"/>
        <w:spacing w:line="357" w:lineRule="auto" w:before="55"/>
        <w:ind w:left="144" w:right="236"/>
        <w:jc w:val="both"/>
      </w:pPr>
      <w:r>
        <w:rPr>
          <w:spacing w:val="-1"/>
        </w:rPr>
        <w:t>采取了提前培养、提前储备的战略，但由此也带来了公司人员年轻、遇事经验不足</w:t>
      </w:r>
      <w:r>
        <w:rPr>
          <w:spacing w:val="-102"/>
        </w:rPr>
        <w:t> </w:t>
      </w:r>
      <w:r>
        <w:rPr>
          <w:spacing w:val="-102"/>
        </w:rPr>
      </w:r>
      <w:r>
        <w:rPr>
          <w:spacing w:val="-1"/>
        </w:rPr>
        <w:t>等问题。随着公司连锁经营规模的逐步扩大，人员能力的提升和专业人才的缺乏在</w:t>
      </w:r>
      <w:r>
        <w:rPr>
          <w:spacing w:val="-104"/>
        </w:rPr>
        <w:t> </w:t>
      </w:r>
      <w:r>
        <w:rPr>
          <w:spacing w:val="-104"/>
        </w:rPr>
      </w:r>
      <w:r>
        <w:rPr/>
        <w:t>一定程度上制约了公司的发展。</w:t>
      </w:r>
    </w:p>
    <w:p>
      <w:pPr>
        <w:pStyle w:val="BodyText"/>
        <w:spacing w:line="357" w:lineRule="auto" w:before="36"/>
        <w:ind w:left="144" w:right="218" w:firstLine="480"/>
        <w:jc w:val="both"/>
      </w:pPr>
      <w:r>
        <w:rPr>
          <w:spacing w:val="-1"/>
        </w:rPr>
        <w:t>为了解决该问题，公司将继续从内部培养及外部招聘两方面来缓解人力资源的</w:t>
      </w:r>
      <w:r>
        <w:rPr/>
        <w:t> 需求压力。一方面加大内部人才培养的力度，加大培训体系建设，培育核心团队， </w:t>
      </w:r>
      <w:r>
        <w:rPr>
          <w:spacing w:val="-1"/>
        </w:rPr>
        <w:t>另一方面引进社会优秀人才，丰富人才结构。在此基础上，公司也将进一步完善薪</w:t>
      </w:r>
      <w:r>
        <w:rPr>
          <w:spacing w:val="-102"/>
        </w:rPr>
        <w:t> </w:t>
      </w:r>
      <w:r>
        <w:rPr>
          <w:spacing w:val="-102"/>
        </w:rPr>
      </w:r>
      <w:r>
        <w:rPr/>
        <w:t>酬、福利、股票期权等各项激励措施，更好的推进人力资源战略。</w:t>
      </w:r>
    </w:p>
    <w:p>
      <w:pPr>
        <w:spacing w:line="240" w:lineRule="auto" w:before="5"/>
        <w:rPr>
          <w:rFonts w:ascii="宋体" w:hAnsi="宋体" w:cs="宋体" w:eastAsia="宋体" w:hint="default"/>
          <w:sz w:val="34"/>
          <w:szCs w:val="34"/>
        </w:rPr>
      </w:pPr>
    </w:p>
    <w:p>
      <w:pPr>
        <w:pStyle w:val="BodyText"/>
        <w:spacing w:line="338" w:lineRule="auto"/>
        <w:ind w:left="624" w:right="220"/>
        <w:jc w:val="left"/>
      </w:pPr>
      <w:r>
        <w:rPr>
          <w:rFonts w:ascii="Times New Roman" w:hAnsi="Times New Roman" w:cs="Times New Roman" w:eastAsia="Times New Roman" w:hint="default"/>
        </w:rPr>
        <w:t>4</w:t>
      </w:r>
      <w:r>
        <w:rPr/>
        <w:t>、宏观经济环境变化对公司经营的影响 受全球金融危机向实体经济蔓延的影响，</w:t>
      </w:r>
      <w:r>
        <w:rPr>
          <w:rFonts w:ascii="Times New Roman" w:hAnsi="Times New Roman" w:cs="Times New Roman" w:eastAsia="Times New Roman" w:hint="default"/>
        </w:rPr>
        <w:t>2008</w:t>
      </w:r>
      <w:r>
        <w:rPr>
          <w:rFonts w:ascii="Times New Roman" w:hAnsi="Times New Roman" w:cs="Times New Roman" w:eastAsia="Times New Roman" w:hint="default"/>
          <w:spacing w:val="-38"/>
        </w:rPr>
        <w:t> </w:t>
      </w:r>
      <w:r>
        <w:rPr>
          <w:spacing w:val="-3"/>
        </w:rPr>
        <w:t>年下半年以来，社会消费需求增</w:t>
      </w:r>
    </w:p>
    <w:p>
      <w:pPr>
        <w:pStyle w:val="BodyText"/>
        <w:spacing w:line="357" w:lineRule="auto" w:before="27"/>
        <w:ind w:left="624" w:right="234" w:hanging="480"/>
        <w:jc w:val="left"/>
      </w:pPr>
      <w:r>
        <w:rPr/>
        <w:t>幅减缓，消费意愿降低，在一定程度上抑制了行业和公司销售的增长。 </w:t>
      </w:r>
      <w:r>
        <w:rPr>
          <w:spacing w:val="-1"/>
        </w:rPr>
        <w:t>随着国家内需拉动政策的陆续出台，以及消费需求的逐步回升，公司相信未来</w:t>
      </w:r>
    </w:p>
    <w:p>
      <w:pPr>
        <w:pStyle w:val="BodyText"/>
        <w:spacing w:line="357" w:lineRule="auto" w:before="36"/>
        <w:ind w:left="144" w:right="236"/>
        <w:jc w:val="both"/>
      </w:pPr>
      <w:r>
        <w:rPr>
          <w:spacing w:val="-1"/>
        </w:rPr>
        <w:t>家电市场仍将会保持一定的增长空间。同时，公司的企业品牌与客户服务能力逐步</w:t>
      </w:r>
      <w:r>
        <w:rPr>
          <w:spacing w:val="-104"/>
        </w:rPr>
        <w:t> </w:t>
      </w:r>
      <w:r>
        <w:rPr>
          <w:spacing w:val="-104"/>
        </w:rPr>
      </w:r>
      <w:r>
        <w:rPr>
          <w:spacing w:val="-1"/>
        </w:rPr>
        <w:t>凸显，通过各种策划与推广活动，在这种市场环境下，公司认为可能反而能够提升</w:t>
      </w:r>
    </w:p>
    <w:p>
      <w:pPr>
        <w:spacing w:after="0" w:line="357" w:lineRule="auto"/>
        <w:jc w:val="both"/>
        <w:sectPr>
          <w:footerReference w:type="default" r:id="rId12"/>
          <w:pgSz w:w="11910" w:h="16840"/>
          <w:pgMar w:footer="900" w:header="826" w:top="1100" w:bottom="1100" w:left="1500" w:right="1400"/>
          <w:pgNumType w:start="46"/>
        </w:sectPr>
      </w:pPr>
    </w:p>
    <w:p>
      <w:pPr>
        <w:pStyle w:val="BodyText"/>
        <w:spacing w:line="348" w:lineRule="auto" w:before="106"/>
        <w:ind w:left="144" w:right="237"/>
        <w:jc w:val="both"/>
      </w:pPr>
      <w:r>
        <w:rPr>
          <w:spacing w:val="-1"/>
        </w:rPr>
        <w:t>市场占有率，加快市场整合。此外，公司还将利用管理优势和品牌优势，加快对通</w:t>
      </w:r>
      <w:r>
        <w:rPr>
          <w:spacing w:val="-104"/>
        </w:rPr>
        <w:t> </w:t>
      </w:r>
      <w:r>
        <w:rPr>
          <w:spacing w:val="-104"/>
        </w:rPr>
      </w:r>
      <w:r>
        <w:rPr>
          <w:spacing w:val="-5"/>
        </w:rPr>
        <w:t>讯、数码、</w:t>
      </w:r>
      <w:r>
        <w:rPr>
          <w:rFonts w:ascii="Times New Roman" w:hAnsi="Times New Roman" w:cs="Times New Roman" w:eastAsia="Times New Roman" w:hint="default"/>
          <w:spacing w:val="-5"/>
        </w:rPr>
        <w:t>IT</w:t>
      </w:r>
      <w:r>
        <w:rPr>
          <w:rFonts w:ascii="Times New Roman" w:hAnsi="Times New Roman" w:cs="Times New Roman" w:eastAsia="Times New Roman" w:hint="default"/>
          <w:spacing w:val="-29"/>
        </w:rPr>
        <w:t> </w:t>
      </w:r>
      <w:r>
        <w:rPr/>
        <w:t>等消费类电子产品与彩电、冰洗等需要大量升级换代产品的推广，整 体销售增长应能继续保持稳定、较快的态势。</w:t>
      </w:r>
    </w:p>
    <w:p>
      <w:pPr>
        <w:spacing w:line="240" w:lineRule="auto" w:before="2"/>
        <w:rPr>
          <w:rFonts w:ascii="宋体" w:hAnsi="宋体" w:cs="宋体" w:eastAsia="宋体" w:hint="default"/>
          <w:sz w:val="35"/>
          <w:szCs w:val="35"/>
        </w:rPr>
      </w:pPr>
    </w:p>
    <w:p>
      <w:pPr>
        <w:pStyle w:val="BodyText"/>
        <w:spacing w:line="240" w:lineRule="auto"/>
        <w:ind w:left="624" w:right="108"/>
        <w:jc w:val="left"/>
      </w:pPr>
      <w:r>
        <w:rPr/>
        <w:t>三、</w:t>
      </w:r>
      <w:r>
        <w:rPr>
          <w:rFonts w:ascii="Times New Roman" w:hAnsi="Times New Roman" w:cs="Times New Roman" w:eastAsia="Times New Roman" w:hint="default"/>
        </w:rPr>
        <w:t>2009 </w:t>
      </w:r>
      <w:r>
        <w:rPr/>
        <w:t>年的展望及前景</w:t>
      </w:r>
    </w:p>
    <w:p>
      <w:pPr>
        <w:pStyle w:val="BodyText"/>
        <w:spacing w:line="240" w:lineRule="auto" w:before="135"/>
        <w:ind w:left="624" w:right="108"/>
        <w:jc w:val="left"/>
      </w:pPr>
      <w:r>
        <w:rPr/>
        <w:t>（一）</w:t>
      </w:r>
      <w:r>
        <w:rPr>
          <w:rFonts w:ascii="Times New Roman" w:hAnsi="Times New Roman" w:cs="Times New Roman" w:eastAsia="Times New Roman" w:hint="default"/>
        </w:rPr>
        <w:t>2009 </w:t>
      </w:r>
      <w:r>
        <w:rPr/>
        <w:t>年发展规划</w:t>
      </w:r>
    </w:p>
    <w:p>
      <w:pPr>
        <w:pStyle w:val="BodyText"/>
        <w:spacing w:line="352" w:lineRule="auto" w:before="135"/>
        <w:ind w:left="144" w:right="236"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3"/>
        </w:rPr>
        <w:t>年，全球金融危机对我国宏观经济和行业发展会形成一定的压力。对苏宁</w:t>
      </w:r>
      <w:r>
        <w:rPr/>
        <w:t> </w:t>
      </w:r>
      <w:r>
        <w:rPr>
          <w:spacing w:val="-1"/>
        </w:rPr>
        <w:t>而言，我们仍然坚信这将是机遇大于挑战的一年。一方面，资源、能源成本下降将</w:t>
      </w:r>
      <w:r>
        <w:rPr>
          <w:spacing w:val="-104"/>
        </w:rPr>
        <w:t> </w:t>
      </w:r>
      <w:r>
        <w:rPr>
          <w:spacing w:val="-104"/>
        </w:rPr>
      </w:r>
      <w:r>
        <w:rPr>
          <w:spacing w:val="-1"/>
        </w:rPr>
        <w:t>会降低公司快速发展的投资成本；另一方面，在行业状况变化的情况下，长期稳健</w:t>
      </w:r>
      <w:r>
        <w:rPr>
          <w:spacing w:val="-102"/>
        </w:rPr>
        <w:t> </w:t>
      </w:r>
      <w:r>
        <w:rPr>
          <w:spacing w:val="-102"/>
        </w:rPr>
      </w:r>
      <w:r>
        <w:rPr>
          <w:spacing w:val="5"/>
        </w:rPr>
        <w:t>发展而形成的领先优势将有助于公司的竞争优势进一步凸显，市场份额进一步提</w:t>
      </w:r>
      <w:r>
        <w:rPr>
          <w:spacing w:val="-96"/>
        </w:rPr>
        <w:t> </w:t>
      </w:r>
      <w:r>
        <w:rPr>
          <w:spacing w:val="-96"/>
        </w:rPr>
      </w:r>
      <w:r>
        <w:rPr>
          <w:spacing w:val="-1"/>
        </w:rPr>
        <w:t>高；同时，国家通过降息减税、家电下乡等诸多措施拉动消费，上游厂商通过降低</w:t>
      </w:r>
      <w:r>
        <w:rPr>
          <w:spacing w:val="-104"/>
        </w:rPr>
        <w:t> </w:t>
      </w:r>
      <w:r>
        <w:rPr>
          <w:spacing w:val="-104"/>
        </w:rPr>
      </w:r>
      <w:r>
        <w:rPr/>
        <w:t>成本、加强促销以扩大市场，也为我们的快速发展提供了更广泛的市场空间。</w:t>
      </w:r>
    </w:p>
    <w:p>
      <w:pPr>
        <w:pStyle w:val="BodyText"/>
        <w:spacing w:line="357" w:lineRule="auto" w:before="41"/>
        <w:ind w:left="144" w:right="218" w:firstLine="480"/>
        <w:jc w:val="both"/>
      </w:pPr>
      <w:r>
        <w:rPr/>
        <w:t>公司将在坚定执行既定战略的基础上，进一步加强基础管理，完善人才建设， </w:t>
      </w:r>
      <w:r>
        <w:rPr>
          <w:spacing w:val="-1"/>
        </w:rPr>
        <w:t>强化营销创新，提升品牌形象，在继续保持企业持续稳健发展的基础上实现苏宁电</w:t>
      </w:r>
      <w:r>
        <w:rPr>
          <w:spacing w:val="-104"/>
        </w:rPr>
        <w:t> </w:t>
      </w:r>
      <w:r>
        <w:rPr>
          <w:spacing w:val="-104"/>
        </w:rPr>
      </w:r>
      <w:r>
        <w:rPr/>
        <w:t>器的行业领先。</w:t>
      </w:r>
    </w:p>
    <w:p>
      <w:pPr>
        <w:pStyle w:val="BodyText"/>
        <w:spacing w:line="240" w:lineRule="auto" w:before="36"/>
        <w:ind w:left="624" w:right="108"/>
        <w:jc w:val="left"/>
      </w:pPr>
      <w:r>
        <w:rPr>
          <w:rFonts w:ascii="Times New Roman" w:hAnsi="Times New Roman" w:cs="Times New Roman" w:eastAsia="Times New Roman" w:hint="default"/>
        </w:rPr>
        <w:t>1</w:t>
      </w:r>
      <w:r>
        <w:rPr/>
        <w:t>、连锁发展：</w:t>
      </w:r>
    </w:p>
    <w:p>
      <w:pPr>
        <w:pStyle w:val="BodyText"/>
        <w:spacing w:line="338" w:lineRule="auto" w:before="135"/>
        <w:ind w:left="144" w:right="236"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3"/>
        </w:rPr>
        <w:t>年，公司将继续围绕“核心商业资源、优质店面形象、合理布局结构”展</w:t>
      </w:r>
      <w:r>
        <w:rPr/>
        <w:t> 开连锁拓展。</w:t>
      </w:r>
    </w:p>
    <w:p>
      <w:pPr>
        <w:pStyle w:val="BodyText"/>
        <w:spacing w:line="348" w:lineRule="auto" w:before="55"/>
        <w:ind w:left="144" w:right="236" w:firstLine="480"/>
        <w:jc w:val="both"/>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全年计划新开连锁店</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4"/>
        </w:rPr>
        <w:t>家，完成内地除西藏地区以外所有副省级城市的连</w:t>
      </w:r>
      <w:r>
        <w:rPr/>
        <w:t> </w:t>
      </w:r>
      <w:r>
        <w:rPr>
          <w:spacing w:val="-1"/>
        </w:rPr>
        <w:t>锁网络布局；着手开展香港地区的前期市场调查、连锁店选址工作，择机进入香港</w:t>
      </w:r>
      <w:r>
        <w:rPr>
          <w:spacing w:val="-102"/>
        </w:rPr>
        <w:t> </w:t>
      </w:r>
      <w:r>
        <w:rPr>
          <w:spacing w:val="-102"/>
        </w:rPr>
      </w:r>
      <w:r>
        <w:rPr/>
        <w:t>市场。</w:t>
      </w:r>
    </w:p>
    <w:p>
      <w:pPr>
        <w:pStyle w:val="BodyText"/>
        <w:spacing w:line="348" w:lineRule="auto" w:before="46"/>
        <w:ind w:left="144" w:right="102" w:firstLine="480"/>
        <w:jc w:val="left"/>
      </w:pPr>
      <w:r>
        <w:rPr>
          <w:rFonts w:ascii="Wingdings" w:hAnsi="Wingdings" w:cs="Wingdings" w:eastAsia="Wingdings" w:hint="default"/>
        </w:rPr>
        <w:t></w:t>
      </w:r>
      <w:r>
        <w:rPr>
          <w:rFonts w:ascii="Wingdings" w:hAnsi="Wingdings" w:cs="Wingdings" w:eastAsia="Wingdings" w:hint="default"/>
          <w:spacing w:val="-81"/>
        </w:rPr>
        <w:t></w:t>
      </w:r>
      <w:r>
        <w:rPr>
          <w:rFonts w:ascii="Times New Roman" w:hAnsi="Times New Roman" w:cs="Times New Roman" w:eastAsia="Times New Roman" w:hint="default"/>
          <w:spacing w:val="-81"/>
        </w:rPr>
      </w:r>
      <w:r>
        <w:rPr/>
        <w:t>按照“质量第一”的要求，继续贯彻执行“地区攻略”、“旗舰店攻略”， 运用“租、建、购、并”多种方式，突出旗舰店、中心店建设，在对现有店面进行 调整的同时，多开高质量店面，进一步优化店面质量。</w:t>
      </w:r>
    </w:p>
    <w:p>
      <w:pPr>
        <w:pStyle w:val="BodyText"/>
        <w:spacing w:line="338" w:lineRule="auto" w:before="46"/>
        <w:ind w:left="144"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重视原有二三级市场社区店的升级改造工作，打造各地区旗舰店，强化当</w:t>
      </w:r>
      <w:r>
        <w:rPr>
          <w:spacing w:val="3"/>
        </w:rPr>
        <w:t> </w:t>
      </w:r>
      <w:r>
        <w:rPr/>
        <w:t>地苏宁品牌形象，提升市场份额。</w:t>
      </w:r>
    </w:p>
    <w:p>
      <w:pPr>
        <w:pStyle w:val="BodyText"/>
        <w:spacing w:line="240" w:lineRule="auto" w:before="55"/>
        <w:ind w:left="624" w:right="108"/>
        <w:jc w:val="left"/>
      </w:pPr>
      <w:r>
        <w:rPr>
          <w:rFonts w:ascii="Times New Roman" w:hAnsi="Times New Roman" w:cs="Times New Roman" w:eastAsia="Times New Roman" w:hint="default"/>
        </w:rPr>
        <w:t>2</w:t>
      </w:r>
      <w:r>
        <w:rPr/>
        <w:t>、创新营销：</w:t>
      </w:r>
    </w:p>
    <w:p>
      <w:pPr>
        <w:pStyle w:val="BodyText"/>
        <w:spacing w:line="350" w:lineRule="auto" w:before="135"/>
        <w:ind w:left="144" w:right="165" w:firstLine="480"/>
        <w:jc w:val="both"/>
      </w:pPr>
      <w:r>
        <w:rPr>
          <w:rFonts w:ascii="Wingdings" w:hAnsi="Wingdings" w:cs="Wingdings" w:eastAsia="Wingdings" w:hint="default"/>
        </w:rPr>
        <w:t></w:t>
      </w:r>
      <w:r>
        <w:rPr>
          <w:rFonts w:ascii="Wingdings" w:hAnsi="Wingdings" w:cs="Wingdings" w:eastAsia="Wingdings" w:hint="default"/>
          <w:spacing w:val="-62"/>
        </w:rPr>
        <w:t></w:t>
      </w:r>
      <w:r>
        <w:rPr>
          <w:rFonts w:ascii="Times New Roman" w:hAnsi="Times New Roman" w:cs="Times New Roman" w:eastAsia="Times New Roman" w:hint="default"/>
          <w:spacing w:val="-62"/>
        </w:rPr>
      </w:r>
      <w:r>
        <w:rPr/>
        <w:t>产品采购方面，继续深化采购合作模式，丰富</w:t>
      </w:r>
      <w:r>
        <w:rPr>
          <w:spacing w:val="-61"/>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操作品类，拓展空调、 生活电器等重点品类的自有品牌操作，积极推进独家代理销售的营销模式；通过细 化管理，加强高毛利和定制、包销产品的采购和销售的引导，保持公司综合毛利率 稳中有升；</w:t>
      </w:r>
    </w:p>
    <w:p>
      <w:pPr>
        <w:spacing w:after="0" w:line="350" w:lineRule="auto"/>
        <w:jc w:val="both"/>
        <w:sectPr>
          <w:footerReference w:type="default" r:id="rId13"/>
          <w:pgSz w:w="11910" w:h="16840"/>
          <w:pgMar w:footer="900" w:header="826" w:top="1100" w:bottom="1100" w:left="1500" w:right="1400"/>
          <w:pgNumType w:start="47"/>
        </w:sectPr>
      </w:pPr>
    </w:p>
    <w:p>
      <w:pPr>
        <w:pStyle w:val="BodyText"/>
        <w:spacing w:line="350" w:lineRule="auto" w:before="106"/>
        <w:ind w:left="144" w:right="108" w:firstLine="480"/>
        <w:jc w:val="left"/>
      </w:pPr>
      <w:r>
        <w:rPr>
          <w:rFonts w:ascii="Wingdings" w:hAnsi="Wingdings" w:cs="Wingdings" w:eastAsia="Wingdings" w:hint="default"/>
        </w:rPr>
        <w:t></w:t>
      </w:r>
      <w:r>
        <w:rPr>
          <w:rFonts w:ascii="Wingdings" w:hAnsi="Wingdings" w:cs="Wingdings" w:eastAsia="Wingdings" w:hint="default"/>
          <w:spacing w:val="-43"/>
        </w:rPr>
        <w:t></w:t>
      </w:r>
      <w:r>
        <w:rPr>
          <w:rFonts w:ascii="Times New Roman" w:hAnsi="Times New Roman" w:cs="Times New Roman" w:eastAsia="Times New Roman" w:hint="default"/>
          <w:spacing w:val="-43"/>
        </w:rPr>
      </w:r>
      <w:r>
        <w:rPr>
          <w:spacing w:val="2"/>
        </w:rPr>
        <w:t>店面销售方面，从基础培训、考核激励、系统配套等方面提升终端销售能</w:t>
      </w:r>
      <w:r>
        <w:rPr>
          <w:spacing w:val="3"/>
        </w:rPr>
        <w:t> </w:t>
      </w:r>
      <w:r>
        <w:rPr/>
        <w:t>力，真正有效落实高毛利主推产品的销售工作；同时，做好跨品类综合产品知识能</w:t>
      </w:r>
      <w:r>
        <w:rPr>
          <w:spacing w:val="-1"/>
        </w:rPr>
        <w:t> </w:t>
      </w:r>
      <w:r>
        <w:rPr>
          <w:spacing w:val="-4"/>
        </w:rPr>
        <w:t>力培训，为推进终端自营奠定基础；进一步深入推进服务、美陈等店面标准化建设，</w:t>
      </w:r>
      <w:r>
        <w:rPr>
          <w:spacing w:val="-113"/>
        </w:rPr>
        <w:t> </w:t>
      </w:r>
      <w:r>
        <w:rPr>
          <w:spacing w:val="-113"/>
        </w:rPr>
      </w:r>
      <w:r>
        <w:rPr/>
        <w:t>强化终端管理规范、优化操作流程、提升服务质量；</w:t>
      </w:r>
    </w:p>
    <w:p>
      <w:pPr>
        <w:pStyle w:val="BodyText"/>
        <w:spacing w:line="350" w:lineRule="auto" w:before="43"/>
        <w:ind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多渠道销售方面，通过全方位推进家电下乡工程，利用自身在连锁布局、</w:t>
      </w:r>
      <w:r>
        <w:rPr>
          <w:spacing w:val="3"/>
        </w:rPr>
        <w:t> </w:t>
      </w:r>
      <w:r>
        <w:rPr/>
        <w:t>采销、物流等方面的优势，在全国范围内加强三四级市场的渗透和控制；通过</w:t>
      </w:r>
      <w:r>
        <w:rPr>
          <w:spacing w:val="-20"/>
        </w:rPr>
        <w:t> </w:t>
      </w:r>
      <w:r>
        <w:rPr/>
        <w:t>B2C</w:t>
      </w:r>
      <w:r>
        <w:rPr/>
        <w:t> </w:t>
      </w:r>
      <w:r>
        <w:rPr>
          <w:spacing w:val="-1"/>
        </w:rPr>
        <w:t>网站升级、大客户开发和异业合作等措施，拓展目录销售、邮购、账单销售等多种</w:t>
      </w:r>
      <w:r>
        <w:rPr>
          <w:spacing w:val="-104"/>
        </w:rPr>
        <w:t> </w:t>
      </w:r>
      <w:r>
        <w:rPr>
          <w:spacing w:val="-104"/>
        </w:rPr>
      </w:r>
      <w:r>
        <w:rPr/>
        <w:t>销售模式和手段，提升销售规模。</w:t>
      </w:r>
    </w:p>
    <w:p>
      <w:pPr>
        <w:pStyle w:val="BodyText"/>
        <w:spacing w:line="240" w:lineRule="auto" w:before="43"/>
        <w:ind w:left="623" w:right="108"/>
        <w:jc w:val="left"/>
      </w:pPr>
      <w:r>
        <w:rPr>
          <w:rFonts w:ascii="Times New Roman" w:hAnsi="Times New Roman" w:cs="Times New Roman" w:eastAsia="Times New Roman" w:hint="default"/>
        </w:rPr>
        <w:t>3</w:t>
      </w:r>
      <w:r>
        <w:rPr/>
        <w:t>、品牌建设：</w:t>
      </w:r>
    </w:p>
    <w:p>
      <w:pPr>
        <w:pStyle w:val="BodyText"/>
        <w:spacing w:line="240" w:lineRule="auto" w:before="135"/>
        <w:ind w:left="623" w:right="0"/>
        <w:jc w:val="left"/>
      </w:pPr>
      <w:r>
        <w:rPr>
          <w:rFonts w:ascii="Wingdings" w:hAnsi="Wingdings" w:cs="Wingdings" w:eastAsia="Wingdings" w:hint="default"/>
        </w:rPr>
        <w:t></w:t>
      </w:r>
      <w:r>
        <w:rPr>
          <w:rFonts w:ascii="Wingdings" w:hAnsi="Wingdings" w:cs="Wingdings" w:eastAsia="Wingdings" w:hint="default"/>
          <w:spacing w:val="-80"/>
        </w:rPr>
        <w:t></w:t>
      </w:r>
      <w:r>
        <w:rPr>
          <w:rFonts w:ascii="Times New Roman" w:hAnsi="Times New Roman" w:cs="Times New Roman" w:eastAsia="Times New Roman" w:hint="default"/>
          <w:spacing w:val="-80"/>
        </w:rPr>
      </w:r>
      <w:r>
        <w:rPr/>
        <w:t>在品牌策划的基础上完善品牌管理机制，进一步凸显公司的服务品牌形象；</w:t>
      </w:r>
    </w:p>
    <w:p>
      <w:pPr>
        <w:pStyle w:val="BodyText"/>
        <w:spacing w:line="338" w:lineRule="auto" w:before="137"/>
        <w:ind w:right="232"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优化媒介结构，建立与公司品牌形象相匹配的媒介策略，进一步增强与专</w:t>
      </w:r>
      <w:r>
        <w:rPr>
          <w:spacing w:val="3"/>
        </w:rPr>
        <w:t> </w:t>
      </w:r>
      <w:r>
        <w:rPr/>
        <w:t>业机构、强势高端媒体进行品牌形象的塑造和宣传；</w:t>
      </w:r>
    </w:p>
    <w:p>
      <w:pPr>
        <w:pStyle w:val="BodyText"/>
        <w:spacing w:line="240" w:lineRule="auto" w:before="55"/>
        <w:ind w:left="623" w:right="108"/>
        <w:jc w:val="left"/>
      </w:pPr>
      <w:r>
        <w:rPr>
          <w:rFonts w:ascii="Times New Roman" w:hAnsi="Times New Roman" w:cs="Times New Roman" w:eastAsia="Times New Roman" w:hint="default"/>
        </w:rPr>
        <w:t>4</w:t>
      </w:r>
      <w:r>
        <w:rPr/>
        <w:t>、服务体系：</w:t>
      </w:r>
    </w:p>
    <w:p>
      <w:pPr>
        <w:pStyle w:val="BodyText"/>
        <w:spacing w:line="348" w:lineRule="auto" w:before="135"/>
        <w:ind w:right="2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物流方面，运用标准化继续推进物流配送中心建设工作；利用专业物流软</w:t>
      </w:r>
      <w:r>
        <w:rPr>
          <w:spacing w:val="3"/>
        </w:rPr>
        <w:t> </w:t>
      </w:r>
      <w:r>
        <w:rPr>
          <w:spacing w:val="-1"/>
        </w:rPr>
        <w:t>件，优化配送业务的全流程管理，提高基础作业执行力度；考虑采销模式的变革和</w:t>
      </w:r>
      <w:r>
        <w:rPr>
          <w:spacing w:val="-102"/>
        </w:rPr>
        <w:t> </w:t>
      </w:r>
      <w:r>
        <w:rPr>
          <w:spacing w:val="-102"/>
        </w:rPr>
      </w:r>
      <w:r>
        <w:rPr/>
        <w:t>新业务拓展，不断研究作业模式，提供物流运作的配套支持；</w:t>
      </w:r>
    </w:p>
    <w:p>
      <w:pPr>
        <w:pStyle w:val="BodyText"/>
        <w:spacing w:line="352" w:lineRule="auto" w:before="46"/>
        <w:ind w:right="218" w:firstLine="480"/>
        <w:jc w:val="both"/>
      </w:pPr>
      <w:r>
        <w:rPr>
          <w:rFonts w:ascii="Wingdings" w:hAnsi="Wingdings" w:cs="Wingdings" w:eastAsia="Wingdings" w:hint="default"/>
        </w:rPr>
        <w:t></w:t>
      </w:r>
      <w:r>
        <w:rPr>
          <w:rFonts w:ascii="Times New Roman" w:hAnsi="Times New Roman" w:cs="Times New Roman" w:eastAsia="Times New Roman" w:hint="default"/>
        </w:rPr>
      </w:r>
      <w:r>
        <w:rPr/>
        <w:t>售后服务方面，借助 CRM</w:t>
      </w:r>
      <w:r>
        <w:rPr>
          <w:spacing w:val="-80"/>
        </w:rPr>
        <w:t> </w:t>
      </w:r>
      <w:r>
        <w:rPr/>
        <w:t>系统进行作业流程再造和运作模式的变革，通过</w:t>
      </w:r>
      <w:r>
        <w:rPr/>
        <w:t> 组织体系升级全面推进网点建设工作；进一步提升综合产品安装、维修服务能力， 逐步向服务管理转型，主动拓展市场份额；系统化推进蓝领与梯队工程，提高管理 </w:t>
      </w:r>
      <w:r>
        <w:rPr>
          <w:spacing w:val="-1"/>
        </w:rPr>
        <w:t>队伍人员素质和技术人员作业技能，培养高素质专业技术人才，打造苏宁的第二连</w:t>
      </w:r>
      <w:r>
        <w:rPr>
          <w:spacing w:val="-104"/>
        </w:rPr>
        <w:t> </w:t>
      </w:r>
      <w:r>
        <w:rPr>
          <w:spacing w:val="-104"/>
        </w:rPr>
      </w:r>
      <w:r>
        <w:rPr/>
        <w:t>锁；</w:t>
      </w:r>
    </w:p>
    <w:p>
      <w:pPr>
        <w:pStyle w:val="BodyText"/>
        <w:spacing w:line="352" w:lineRule="auto" w:before="41"/>
        <w:ind w:right="109" w:firstLine="480"/>
        <w:jc w:val="left"/>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spacing w:val="2"/>
        </w:rPr>
        <w:t>客户服务方面，立足于集中式统一受理平台的强大功能，细分客户类别与</w:t>
      </w:r>
      <w:r>
        <w:rPr>
          <w:spacing w:val="3"/>
        </w:rPr>
        <w:t> </w:t>
      </w:r>
      <w:r>
        <w:rPr/>
        <w:t>服务需求，开发增值服务功能，实现会员个性化服务；配合终端服务的变革，优化</w:t>
      </w:r>
      <w:r>
        <w:rPr/>
        <w:t> 现有流程模块，加强各类回访及调研的项目管理能力，为呼叫中心从服务到经营的 </w:t>
      </w:r>
      <w:r>
        <w:rPr>
          <w:spacing w:val="-4"/>
        </w:rPr>
        <w:t>角色转变奠定基础；继续以服务营销、提高客户满意度为主线，加强服务意识培训，</w:t>
      </w:r>
      <w:r>
        <w:rPr>
          <w:spacing w:val="-113"/>
        </w:rPr>
        <w:t> </w:t>
      </w:r>
      <w:r>
        <w:rPr>
          <w:spacing w:val="-113"/>
        </w:rPr>
      </w:r>
      <w:r>
        <w:rPr/>
        <w:t>重点强化投诉处理、服务改善，提升服务质量。</w:t>
      </w:r>
    </w:p>
    <w:p>
      <w:pPr>
        <w:pStyle w:val="BodyText"/>
        <w:spacing w:line="240" w:lineRule="auto" w:before="41"/>
        <w:ind w:left="623" w:right="108"/>
        <w:jc w:val="left"/>
      </w:pPr>
      <w:r>
        <w:rPr>
          <w:rFonts w:ascii="Times New Roman" w:hAnsi="Times New Roman" w:cs="Times New Roman" w:eastAsia="Times New Roman" w:hint="default"/>
        </w:rPr>
        <w:t>5</w:t>
      </w:r>
      <w:r>
        <w:rPr/>
        <w:t>、信息管理体系</w:t>
      </w:r>
    </w:p>
    <w:p>
      <w:pPr>
        <w:pStyle w:val="BodyText"/>
        <w:spacing w:line="338" w:lineRule="auto" w:before="135"/>
        <w:ind w:right="232" w:firstLine="480"/>
        <w:jc w:val="left"/>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定位于公司管理平台，深入业务体系，积极配合业务模式创新，提高自主</w:t>
      </w:r>
      <w:r>
        <w:rPr>
          <w:spacing w:val="3"/>
        </w:rPr>
        <w:t> </w:t>
      </w:r>
      <w:r>
        <w:rPr/>
        <w:t>研发能力，全面系统的开展信息化工作；</w:t>
      </w:r>
    </w:p>
    <w:p>
      <w:pPr>
        <w:pStyle w:val="BodyText"/>
        <w:spacing w:line="240" w:lineRule="auto" w:before="55"/>
        <w:ind w:left="623" w:right="108"/>
        <w:jc w:val="left"/>
      </w:pPr>
      <w:r>
        <w:rPr>
          <w:rFonts w:ascii="Wingdings" w:hAnsi="Wingdings" w:cs="Wingdings" w:eastAsia="Wingdings" w:hint="default"/>
        </w:rPr>
        <w:t></w:t>
      </w:r>
      <w:r>
        <w:rPr>
          <w:rFonts w:ascii="Wingdings" w:hAnsi="Wingdings" w:cs="Wingdings" w:eastAsia="Wingdings" w:hint="default"/>
          <w:spacing w:val="-31"/>
        </w:rPr>
        <w:t></w:t>
      </w:r>
      <w:r>
        <w:rPr>
          <w:rFonts w:ascii="Times New Roman" w:hAnsi="Times New Roman" w:cs="Times New Roman" w:eastAsia="Times New Roman" w:hint="default"/>
          <w:spacing w:val="-31"/>
        </w:rPr>
      </w:r>
      <w:r>
        <w:rPr>
          <w:spacing w:val="2"/>
        </w:rPr>
        <w:t>进一步完善项目管理流程及标准，建立成熟的项目管理体系，保障信息化</w:t>
      </w:r>
      <w:r>
        <w:rPr/>
      </w:r>
    </w:p>
    <w:p>
      <w:pPr>
        <w:spacing w:after="0" w:line="240" w:lineRule="auto"/>
        <w:jc w:val="left"/>
        <w:sectPr>
          <w:pgSz w:w="11910" w:h="16840"/>
          <w:pgMar w:header="826" w:footer="900" w:top="1100" w:bottom="1100" w:left="1500" w:right="1400"/>
        </w:sectPr>
      </w:pPr>
    </w:p>
    <w:p>
      <w:pPr>
        <w:pStyle w:val="BodyText"/>
        <w:spacing w:line="240" w:lineRule="auto" w:before="106"/>
        <w:ind w:left="144" w:right="101"/>
        <w:jc w:val="left"/>
      </w:pPr>
      <w:r>
        <w:rPr/>
        <w:t>建设的效率和质量；</w:t>
      </w:r>
    </w:p>
    <w:p>
      <w:pPr>
        <w:pStyle w:val="BodyText"/>
        <w:spacing w:line="338" w:lineRule="auto" w:before="154"/>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通过数据中心迁移，进一步完善系统的架构和性能，建立完善的系统层应</w:t>
      </w:r>
      <w:r>
        <w:rPr>
          <w:spacing w:val="3"/>
        </w:rPr>
        <w:t> </w:t>
      </w:r>
      <w:r>
        <w:rPr/>
        <w:t>急机制。</w:t>
      </w:r>
    </w:p>
    <w:p>
      <w:pPr>
        <w:pStyle w:val="BodyText"/>
        <w:spacing w:line="240" w:lineRule="auto" w:before="55"/>
        <w:ind w:left="623" w:right="101"/>
        <w:jc w:val="left"/>
      </w:pPr>
      <w:r>
        <w:rPr>
          <w:rFonts w:ascii="Times New Roman" w:hAnsi="Times New Roman" w:cs="Times New Roman" w:eastAsia="Times New Roman" w:hint="default"/>
        </w:rPr>
        <w:t>6</w:t>
      </w:r>
      <w:r>
        <w:rPr/>
        <w:t>、人力资源：</w:t>
      </w:r>
    </w:p>
    <w:p>
      <w:pPr>
        <w:pStyle w:val="BodyText"/>
        <w:spacing w:line="338" w:lineRule="auto" w:before="135"/>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落实人才梯队计划，围绕高层、中高层、中层三个层次梯队，有计划、有</w:t>
      </w:r>
      <w:r>
        <w:rPr>
          <w:spacing w:val="3"/>
        </w:rPr>
        <w:t> </w:t>
      </w:r>
      <w:r>
        <w:rPr/>
        <w:t>标准的考察选拔、任用培养；</w:t>
      </w:r>
    </w:p>
    <w:p>
      <w:pPr>
        <w:pStyle w:val="BodyText"/>
        <w:spacing w:line="338" w:lineRule="auto" w:before="55"/>
        <w:ind w:right="137" w:firstLine="480"/>
        <w:jc w:val="both"/>
      </w:pPr>
      <w:r>
        <w:rPr>
          <w:rFonts w:ascii="Wingdings" w:hAnsi="Wingdings" w:cs="Wingdings" w:eastAsia="Wingdings" w:hint="default"/>
        </w:rPr>
        <w:t></w:t>
      </w:r>
      <w:r>
        <w:rPr>
          <w:rFonts w:ascii="Wingdings" w:hAnsi="Wingdings" w:cs="Wingdings" w:eastAsia="Wingdings" w:hint="default"/>
          <w:spacing w:val="-66"/>
        </w:rPr>
        <w:t></w:t>
      </w:r>
      <w:r>
        <w:rPr>
          <w:rFonts w:ascii="Times New Roman" w:hAnsi="Times New Roman" w:cs="Times New Roman" w:eastAsia="Times New Roman" w:hint="default"/>
          <w:spacing w:val="-66"/>
        </w:rPr>
      </w:r>
      <w:r>
        <w:rPr/>
        <w:t>从建立标准、思想教育、团队活动、仪式与</w:t>
      </w:r>
      <w:r>
        <w:rPr>
          <w:spacing w:val="-62"/>
        </w:rPr>
        <w:t> </w:t>
      </w:r>
      <w:r>
        <w:rPr>
          <w:rFonts w:ascii="Arial" w:hAnsi="Arial" w:cs="Arial" w:eastAsia="Arial" w:hint="default"/>
        </w:rPr>
        <w:t>VI</w:t>
      </w:r>
      <w:r>
        <w:rPr>
          <w:rFonts w:ascii="Arial" w:hAnsi="Arial" w:cs="Arial" w:eastAsia="Arial" w:hint="default"/>
          <w:spacing w:val="-9"/>
        </w:rPr>
        <w:t> </w:t>
      </w:r>
      <w:r>
        <w:rPr/>
        <w:t>推广等四个方面同步推进企 业文化建设，塑造浓郁的文化氛围；</w:t>
      </w:r>
    </w:p>
    <w:p>
      <w:pPr>
        <w:pStyle w:val="BodyText"/>
        <w:spacing w:line="338" w:lineRule="auto" w:before="55"/>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定期组织员工调查，了解员工的动态与需要，及时采取调整措施，做好员</w:t>
      </w:r>
      <w:r>
        <w:rPr>
          <w:spacing w:val="3"/>
        </w:rPr>
        <w:t> </w:t>
      </w:r>
      <w:r>
        <w:rPr/>
        <w:t>工激励与关爱；</w:t>
      </w:r>
    </w:p>
    <w:p>
      <w:pPr>
        <w:pStyle w:val="BodyText"/>
        <w:spacing w:line="338" w:lineRule="auto" w:before="55"/>
        <w:ind w:right="133" w:firstLine="48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spacing w:val="2"/>
        </w:rPr>
        <w:t>围绕企业文化、业务技能、管理技能三大核心，进一步加强员工培训，全</w:t>
      </w:r>
      <w:r>
        <w:rPr>
          <w:spacing w:val="3"/>
        </w:rPr>
        <w:t> </w:t>
      </w:r>
      <w:r>
        <w:rPr/>
        <w:t>面提升员工综合能力；</w:t>
      </w:r>
    </w:p>
    <w:p>
      <w:pPr>
        <w:pStyle w:val="BodyText"/>
        <w:spacing w:line="338" w:lineRule="auto" w:before="55"/>
        <w:ind w:right="137" w:firstLine="480"/>
        <w:jc w:val="both"/>
      </w:pPr>
      <w:r>
        <w:rPr>
          <w:rFonts w:ascii="Wingdings" w:hAnsi="Wingdings" w:cs="Wingdings" w:eastAsia="Wingdings" w:hint="default"/>
        </w:rPr>
        <w:t></w:t>
      </w:r>
      <w:r>
        <w:rPr>
          <w:rFonts w:ascii="Wingdings" w:hAnsi="Wingdings" w:cs="Wingdings" w:eastAsia="Wingdings" w:hint="default"/>
          <w:spacing w:val="-73"/>
        </w:rPr>
        <w:t></w:t>
      </w:r>
      <w:r>
        <w:rPr>
          <w:rFonts w:ascii="Times New Roman" w:hAnsi="Times New Roman" w:cs="Times New Roman" w:eastAsia="Times New Roman" w:hint="default"/>
          <w:spacing w:val="-73"/>
        </w:rPr>
      </w:r>
      <w:r>
        <w:rPr/>
        <w:t>推进人事体系基础流程与标准流程梳理，优化</w:t>
      </w:r>
      <w:r>
        <w:rPr>
          <w:spacing w:val="-65"/>
        </w:rPr>
        <w:t> </w:t>
      </w:r>
      <w:r>
        <w:rPr>
          <w:rFonts w:ascii="Arial" w:hAnsi="Arial" w:cs="Arial" w:eastAsia="Arial" w:hint="default"/>
        </w:rPr>
        <w:t>SAP</w:t>
      </w:r>
      <w:r>
        <w:rPr>
          <w:rFonts w:ascii="Arial" w:hAnsi="Arial" w:cs="Arial" w:eastAsia="Arial" w:hint="default"/>
          <w:spacing w:val="-13"/>
        </w:rPr>
        <w:t> </w:t>
      </w:r>
      <w:r>
        <w:rPr/>
        <w:t>基础模块，重点推动招 聘系统、干部档案查询系统、薪酬激励系统等五大系统的上线。</w:t>
      </w:r>
    </w:p>
    <w:p>
      <w:pPr>
        <w:spacing w:line="240" w:lineRule="auto" w:before="12"/>
        <w:rPr>
          <w:rFonts w:ascii="宋体" w:hAnsi="宋体" w:cs="宋体" w:eastAsia="宋体" w:hint="default"/>
          <w:sz w:val="35"/>
          <w:szCs w:val="35"/>
        </w:rPr>
      </w:pPr>
    </w:p>
    <w:p>
      <w:pPr>
        <w:pStyle w:val="BodyText"/>
        <w:spacing w:line="357" w:lineRule="auto"/>
        <w:ind w:left="623" w:right="101"/>
        <w:jc w:val="left"/>
      </w:pPr>
      <w:r>
        <w:rPr/>
        <w:t>（二）未来资金需求及使用计划 结合发展战略目标，公司将制定切实可行的发展规划和实施计划，合理筹集、</w:t>
      </w:r>
    </w:p>
    <w:p>
      <w:pPr>
        <w:pStyle w:val="BodyText"/>
        <w:spacing w:line="357" w:lineRule="auto" w:before="36"/>
        <w:ind w:right="101"/>
        <w:jc w:val="left"/>
      </w:pPr>
      <w:r>
        <w:rPr>
          <w:spacing w:val="-1"/>
        </w:rPr>
        <w:t>安排、使用资金。公司银行信贷信誉良好，同时作为上市公司，有条件使用多种方</w:t>
      </w:r>
      <w:r>
        <w:rPr>
          <w:spacing w:val="-104"/>
        </w:rPr>
        <w:t> </w:t>
      </w:r>
      <w:r>
        <w:rPr>
          <w:spacing w:val="-104"/>
        </w:rPr>
      </w:r>
      <w:r>
        <w:rPr/>
        <w:t>式筹集资金，未来资金来源应有充足保证。</w:t>
      </w:r>
    </w:p>
    <w:p>
      <w:pPr>
        <w:spacing w:line="240" w:lineRule="auto" w:before="5"/>
        <w:rPr>
          <w:rFonts w:ascii="宋体" w:hAnsi="宋体" w:cs="宋体" w:eastAsia="宋体" w:hint="default"/>
          <w:sz w:val="34"/>
          <w:szCs w:val="34"/>
        </w:rPr>
      </w:pPr>
    </w:p>
    <w:p>
      <w:pPr>
        <w:pStyle w:val="BodyText"/>
        <w:spacing w:line="240" w:lineRule="auto"/>
        <w:ind w:left="623" w:right="101"/>
        <w:jc w:val="left"/>
      </w:pPr>
      <w:r>
        <w:rPr/>
        <w:t>（三）生产经营环境以及宏观政策、法规发生重大变化对公司的影响</w:t>
      </w:r>
    </w:p>
    <w:p>
      <w:pPr>
        <w:pStyle w:val="BodyText"/>
        <w:spacing w:line="240" w:lineRule="auto" w:before="154"/>
        <w:ind w:left="623" w:right="101"/>
        <w:jc w:val="left"/>
      </w:pPr>
      <w:r>
        <w:rPr>
          <w:rFonts w:ascii="Times New Roman" w:hAnsi="Times New Roman" w:cs="Times New Roman" w:eastAsia="Times New Roman" w:hint="default"/>
        </w:rPr>
        <w:t>1</w:t>
      </w:r>
      <w:r>
        <w:rPr/>
        <w:t>、宏观经济对公司经营的影响</w:t>
      </w:r>
    </w:p>
    <w:p>
      <w:pPr>
        <w:pStyle w:val="BodyText"/>
        <w:spacing w:line="338" w:lineRule="auto" w:before="135"/>
        <w:ind w:right="137"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spacing w:val="-3"/>
        </w:rPr>
        <w:t>年第四季度以来，全球金融危机向实体经济蔓延，社会消费需求萎缩，国</w:t>
      </w:r>
      <w:r>
        <w:rPr/>
        <w:t> 民经济增长低于预期，由此对行业、公司的销售带来一定的影响。</w:t>
      </w:r>
    </w:p>
    <w:p>
      <w:pPr>
        <w:pStyle w:val="BodyText"/>
        <w:spacing w:line="357" w:lineRule="auto" w:before="55"/>
        <w:ind w:right="137" w:firstLine="480"/>
        <w:jc w:val="both"/>
      </w:pPr>
      <w:r>
        <w:rPr>
          <w:spacing w:val="-1"/>
        </w:rPr>
        <w:t>随着国家内需拉动政策的出台，以及消费需求的逐步回升，公司相信未来家电</w:t>
      </w:r>
      <w:r>
        <w:rPr/>
        <w:t> </w:t>
      </w:r>
      <w:r>
        <w:rPr>
          <w:spacing w:val="-1"/>
        </w:rPr>
        <w:t>市场容量还将继续保持相对稳定的增长。同时，公司也将进一步加强核心竞争力的</w:t>
      </w:r>
      <w:r>
        <w:rPr>
          <w:spacing w:val="-104"/>
        </w:rPr>
        <w:t> </w:t>
      </w:r>
      <w:r>
        <w:rPr>
          <w:spacing w:val="-104"/>
        </w:rPr>
      </w:r>
      <w:r>
        <w:rPr>
          <w:spacing w:val="-1"/>
        </w:rPr>
        <w:t>建设，通过开设有效店面、提升经营效益、合理控制成本等措施，继续保持持续稳</w:t>
      </w:r>
      <w:r>
        <w:rPr>
          <w:spacing w:val="-104"/>
        </w:rPr>
        <w:t> </w:t>
      </w:r>
      <w:r>
        <w:rPr>
          <w:spacing w:val="-104"/>
        </w:rPr>
      </w:r>
      <w:r>
        <w:rPr/>
        <w:t>健的发展。</w:t>
      </w:r>
    </w:p>
    <w:p>
      <w:pPr>
        <w:pStyle w:val="BodyText"/>
        <w:spacing w:line="338" w:lineRule="auto" w:before="36"/>
        <w:ind w:left="623" w:right="135"/>
        <w:jc w:val="left"/>
      </w:pPr>
      <w:r>
        <w:rPr>
          <w:rFonts w:ascii="Times New Roman" w:hAnsi="Times New Roman" w:cs="Times New Roman" w:eastAsia="Times New Roman" w:hint="default"/>
        </w:rPr>
        <w:t>2</w:t>
      </w:r>
      <w:r>
        <w:rPr/>
        <w:t>、国家内需拉动政策对公司经营的影响 </w:t>
      </w:r>
      <w:r>
        <w:rPr>
          <w:spacing w:val="-1"/>
        </w:rPr>
        <w:t>国家为拉动内需出台的一系列政策，将进一步拉动国内家电市场需求，扩大市</w:t>
      </w:r>
    </w:p>
    <w:p>
      <w:pPr>
        <w:pStyle w:val="BodyText"/>
        <w:spacing w:line="240" w:lineRule="auto" w:before="55"/>
        <w:ind w:right="0"/>
        <w:jc w:val="left"/>
      </w:pPr>
      <w:r>
        <w:rPr/>
        <w:t>场容量，为公司总体市场增长带来更大空间。为激活农村市场消费而启动的“家电</w:t>
      </w:r>
    </w:p>
    <w:p>
      <w:pPr>
        <w:spacing w:after="0" w:line="240" w:lineRule="auto"/>
        <w:jc w:val="left"/>
        <w:sectPr>
          <w:pgSz w:w="11910" w:h="16840"/>
          <w:pgMar w:header="826" w:footer="900" w:top="1100" w:bottom="1100" w:left="1500" w:right="1500"/>
        </w:sectPr>
      </w:pPr>
    </w:p>
    <w:p>
      <w:pPr>
        <w:pStyle w:val="BodyText"/>
        <w:spacing w:line="357" w:lineRule="auto" w:before="106"/>
        <w:ind w:left="944" w:right="808"/>
        <w:jc w:val="left"/>
      </w:pPr>
      <w:r>
        <w:rPr/>
        <w:t>下乡”业务，将进一步激活三、四级市场的家电需求，扩大家电市场容量。公司也 </w:t>
      </w:r>
      <w:r>
        <w:rPr>
          <w:spacing w:val="-4"/>
        </w:rPr>
        <w:t>将利用自身在连锁布局、采销、物流等方面的优势及其他相关合作企业提供的便利，</w:t>
      </w:r>
      <w:r>
        <w:rPr>
          <w:spacing w:val="-112"/>
        </w:rPr>
        <w:t> </w:t>
      </w:r>
      <w:r>
        <w:rPr>
          <w:spacing w:val="-112"/>
        </w:rPr>
      </w:r>
      <w:r>
        <w:rPr/>
        <w:t>进一步加强对三四级市场的渗透和控制，实现销售规模的增长。</w:t>
      </w:r>
    </w:p>
    <w:p>
      <w:pPr>
        <w:pStyle w:val="BodyText"/>
        <w:spacing w:line="240" w:lineRule="auto" w:before="156"/>
        <w:ind w:left="1424" w:right="808"/>
        <w:jc w:val="left"/>
      </w:pPr>
      <w:r>
        <w:rPr/>
        <w:t>四、报告期公司投资情况：</w:t>
      </w:r>
    </w:p>
    <w:p>
      <w:pPr>
        <w:pStyle w:val="BodyText"/>
        <w:spacing w:line="240" w:lineRule="auto" w:before="154"/>
        <w:ind w:left="1424" w:right="808"/>
        <w:jc w:val="left"/>
      </w:pPr>
      <w:r>
        <w:rPr/>
        <w:t>（一）公司募集资金使用情况：</w:t>
      </w:r>
    </w:p>
    <w:p>
      <w:pPr>
        <w:pStyle w:val="BodyText"/>
        <w:tabs>
          <w:tab w:pos="7663" w:val="left" w:leader="none"/>
        </w:tabs>
        <w:spacing w:line="240" w:lineRule="auto" w:before="154"/>
        <w:ind w:left="1424" w:right="808"/>
        <w:jc w:val="left"/>
      </w:pPr>
      <w:r>
        <w:rPr>
          <w:rFonts w:ascii="Times New Roman" w:hAnsi="Times New Roman" w:cs="Times New Roman" w:eastAsia="Times New Roman" w:hint="default"/>
        </w:rPr>
        <w:t>1</w:t>
      </w:r>
      <w:r>
        <w:rPr/>
        <w:t>、募集资金承诺项目使用情况</w:t>
        <w:tab/>
        <w:t>（单位：千元）</w:t>
      </w:r>
    </w:p>
    <w:p>
      <w:pPr>
        <w:pStyle w:val="BodyText"/>
        <w:tabs>
          <w:tab w:pos="1843" w:val="left" w:leader="none"/>
        </w:tabs>
        <w:spacing w:line="240" w:lineRule="auto" w:before="135"/>
        <w:ind w:left="1424" w:right="808"/>
        <w:jc w:val="left"/>
      </w:pPr>
      <w:r>
        <w:rPr>
          <w:rFonts w:ascii="Wingdings" w:hAnsi="Wingdings" w:cs="Wingdings" w:eastAsia="Wingdings" w:hint="default"/>
        </w:rPr>
        <w:t></w:t>
      </w:r>
      <w:r>
        <w:rPr>
          <w:rFonts w:ascii="Times New Roman" w:hAnsi="Times New Roman" w:cs="Times New Roman" w:eastAsia="Times New Roman" w:hint="default"/>
        </w:rPr>
        <w:tab/>
      </w:r>
      <w:r>
        <w:rPr/>
        <w:t>首次公开发行募集资金项目的资金使用情况</w:t>
      </w:r>
    </w:p>
    <w:p>
      <w:pPr>
        <w:spacing w:line="240" w:lineRule="auto" w:before="6"/>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440"/>
        <w:gridCol w:w="540"/>
        <w:gridCol w:w="900"/>
        <w:gridCol w:w="900"/>
        <w:gridCol w:w="900"/>
        <w:gridCol w:w="360"/>
        <w:gridCol w:w="900"/>
        <w:gridCol w:w="720"/>
        <w:gridCol w:w="720"/>
        <w:gridCol w:w="720"/>
        <w:gridCol w:w="900"/>
        <w:gridCol w:w="720"/>
        <w:gridCol w:w="540"/>
      </w:tblGrid>
      <w:tr>
        <w:trPr>
          <w:trHeight w:val="300" w:hRule="exact"/>
        </w:trPr>
        <w:tc>
          <w:tcPr>
            <w:tcW w:w="3780"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5"/>
                <w:szCs w:val="15"/>
              </w:rPr>
            </w:pPr>
            <w:r>
              <w:rPr>
                <w:rFonts w:ascii="宋体" w:hAnsi="宋体" w:cs="宋体" w:eastAsia="宋体" w:hint="default"/>
                <w:sz w:val="15"/>
                <w:szCs w:val="15"/>
              </w:rPr>
              <w:t>募集资金总额</w:t>
            </w:r>
          </w:p>
        </w:tc>
        <w:tc>
          <w:tcPr>
            <w:tcW w:w="126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478" w:right="0"/>
              <w:jc w:val="left"/>
              <w:rPr>
                <w:rFonts w:ascii="Arial" w:hAnsi="Arial" w:cs="Arial" w:eastAsia="Arial" w:hint="default"/>
                <w:sz w:val="15"/>
                <w:szCs w:val="15"/>
              </w:rPr>
            </w:pPr>
            <w:r>
              <w:rPr>
                <w:rFonts w:ascii="Arial"/>
                <w:sz w:val="15"/>
              </w:rPr>
              <w:t>394,602.1</w:t>
            </w:r>
          </w:p>
        </w:tc>
        <w:tc>
          <w:tcPr>
            <w:tcW w:w="396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60"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55"/>
              <w:ind w:right="96"/>
              <w:jc w:val="right"/>
              <w:rPr>
                <w:rFonts w:ascii="Arial" w:hAnsi="Arial" w:cs="Arial" w:eastAsia="Arial" w:hint="default"/>
                <w:sz w:val="15"/>
                <w:szCs w:val="15"/>
              </w:rPr>
            </w:pPr>
            <w:r>
              <w:rPr>
                <w:rFonts w:ascii="Arial"/>
                <w:w w:val="95"/>
                <w:sz w:val="15"/>
              </w:rPr>
              <w:t>0.0</w:t>
            </w:r>
            <w:r>
              <w:rPr>
                <w:rFonts w:ascii="Arial"/>
                <w:sz w:val="15"/>
              </w:rPr>
            </w:r>
          </w:p>
        </w:tc>
      </w:tr>
      <w:tr>
        <w:trPr>
          <w:trHeight w:val="295" w:hRule="exact"/>
        </w:trPr>
        <w:tc>
          <w:tcPr>
            <w:tcW w:w="3780"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8"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62" w:right="0"/>
              <w:jc w:val="left"/>
              <w:rPr>
                <w:rFonts w:ascii="Arial" w:hAnsi="Arial" w:cs="Arial" w:eastAsia="Arial" w:hint="default"/>
                <w:sz w:val="15"/>
                <w:szCs w:val="15"/>
              </w:rPr>
            </w:pPr>
            <w:r>
              <w:rPr>
                <w:rFonts w:ascii="Arial"/>
                <w:sz w:val="15"/>
              </w:rPr>
              <w:t>99,632.0</w:t>
            </w:r>
          </w:p>
        </w:tc>
        <w:tc>
          <w:tcPr>
            <w:tcW w:w="3960" w:type="dxa"/>
            <w:gridSpan w:val="5"/>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60" w:type="dxa"/>
            <w:gridSpan w:val="2"/>
            <w:vMerge w:val="restart"/>
            <w:tcBorders>
              <w:top w:val="single" w:sz="4" w:space="0" w:color="000000"/>
              <w:left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8" w:right="0"/>
              <w:jc w:val="left"/>
              <w:rPr>
                <w:rFonts w:ascii="Arial" w:hAnsi="Arial" w:cs="Arial" w:eastAsia="Arial" w:hint="default"/>
                <w:sz w:val="15"/>
                <w:szCs w:val="15"/>
              </w:rPr>
            </w:pPr>
            <w:r>
              <w:rPr>
                <w:rFonts w:ascii="Arial"/>
                <w:sz w:val="15"/>
              </w:rPr>
              <w:t>294,894.4</w:t>
            </w:r>
          </w:p>
        </w:tc>
      </w:tr>
      <w:tr>
        <w:trPr>
          <w:trHeight w:val="295" w:hRule="exact"/>
        </w:trPr>
        <w:tc>
          <w:tcPr>
            <w:tcW w:w="3780"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8"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15"/>
                <w:szCs w:val="15"/>
              </w:rPr>
            </w:pPr>
            <w:r>
              <w:rPr>
                <w:rFonts w:ascii="Arial"/>
                <w:w w:val="95"/>
                <w:sz w:val="15"/>
              </w:rPr>
              <w:t>25%</w:t>
            </w:r>
            <w:r>
              <w:rPr>
                <w:rFonts w:ascii="Arial"/>
                <w:sz w:val="15"/>
              </w:rPr>
            </w:r>
          </w:p>
        </w:tc>
        <w:tc>
          <w:tcPr>
            <w:tcW w:w="3960" w:type="dxa"/>
            <w:gridSpan w:val="5"/>
            <w:vMerge/>
            <w:tcBorders>
              <w:left w:val="single" w:sz="4" w:space="0" w:color="000000"/>
              <w:bottom w:val="single" w:sz="4" w:space="0" w:color="000000"/>
              <w:right w:val="single" w:sz="4" w:space="0" w:color="000000"/>
            </w:tcBorders>
          </w:tcPr>
          <w:p>
            <w:pPr/>
          </w:p>
        </w:tc>
        <w:tc>
          <w:tcPr>
            <w:tcW w:w="1260" w:type="dxa"/>
            <w:gridSpan w:val="2"/>
            <w:vMerge/>
            <w:tcBorders>
              <w:left w:val="single" w:sz="4" w:space="0" w:color="000000"/>
              <w:bottom w:val="single" w:sz="4" w:space="0" w:color="000000"/>
              <w:right w:val="single" w:sz="8" w:space="0" w:color="000000"/>
            </w:tcBorders>
          </w:tcPr>
          <w:p>
            <w:pPr/>
          </w:p>
        </w:tc>
      </w:tr>
      <w:tr>
        <w:trPr>
          <w:trHeight w:val="187" w:hRule="exact"/>
        </w:trPr>
        <w:tc>
          <w:tcPr>
            <w:tcW w:w="1440" w:type="dxa"/>
            <w:tcBorders>
              <w:top w:val="single" w:sz="4" w:space="0" w:color="000000"/>
              <w:left w:val="single" w:sz="8"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本 年 度 投 入 金 额</w:t>
            </w: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right="128"/>
              <w:jc w:val="right"/>
              <w:rPr>
                <w:rFonts w:ascii="宋体" w:hAnsi="宋体" w:cs="宋体" w:eastAsia="宋体" w:hint="default"/>
                <w:sz w:val="15"/>
                <w:szCs w:val="15"/>
              </w:rPr>
            </w:pPr>
            <w:r>
              <w:rPr>
                <w:rFonts w:ascii="宋体" w:hAnsi="宋体" w:cs="宋体" w:eastAsia="宋体" w:hint="default"/>
                <w:sz w:val="15"/>
                <w:szCs w:val="15"/>
              </w:rPr>
              <w:t>截至期</w:t>
            </w: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8" w:space="0" w:color="000000"/>
            </w:tcBorders>
          </w:tcPr>
          <w:p>
            <w:pPr/>
          </w:p>
        </w:tc>
      </w:tr>
      <w:tr>
        <w:trPr>
          <w:trHeight w:val="1362"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承诺投资项目</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5" w:firstLine="43"/>
              <w:jc w:val="both"/>
              <w:rPr>
                <w:rFonts w:ascii="宋体" w:hAnsi="宋体" w:cs="宋体" w:eastAsia="宋体" w:hint="default"/>
                <w:sz w:val="15"/>
                <w:szCs w:val="15"/>
              </w:rPr>
            </w:pPr>
            <w:r>
              <w:rPr>
                <w:rFonts w:ascii="宋体" w:hAnsi="宋体" w:cs="宋体" w:eastAsia="宋体" w:hint="default"/>
                <w:sz w:val="15"/>
                <w:szCs w:val="15"/>
              </w:rPr>
              <w:t>是否已 变更项 </w:t>
            </w:r>
            <w:r>
              <w:rPr>
                <w:rFonts w:ascii="宋体" w:hAnsi="宋体" w:cs="宋体" w:eastAsia="宋体" w:hint="default"/>
                <w:spacing w:val="-16"/>
                <w:sz w:val="15"/>
                <w:szCs w:val="15"/>
              </w:rPr>
              <w:t>目（含部</w:t>
            </w:r>
            <w:r>
              <w:rPr>
                <w:rFonts w:ascii="宋体" w:hAnsi="宋体" w:cs="宋体" w:eastAsia="宋体" w:hint="default"/>
                <w:sz w:val="15"/>
                <w:szCs w:val="15"/>
              </w:rPr>
              <w:t> 分变更</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5" w:right="143"/>
              <w:jc w:val="left"/>
              <w:rPr>
                <w:rFonts w:ascii="宋体" w:hAnsi="宋体" w:cs="宋体" w:eastAsia="宋体" w:hint="default"/>
                <w:sz w:val="15"/>
                <w:szCs w:val="15"/>
              </w:rPr>
            </w:pPr>
            <w:r>
              <w:rPr>
                <w:rFonts w:ascii="宋体" w:hAnsi="宋体" w:cs="宋体" w:eastAsia="宋体" w:hint="default"/>
                <w:sz w:val="15"/>
                <w:szCs w:val="15"/>
              </w:rPr>
              <w:t>募集资金 承诺投资</w:t>
            </w:r>
          </w:p>
          <w:p>
            <w:pPr>
              <w:pStyle w:val="TableParagraph"/>
              <w:tabs>
                <w:tab w:pos="295" w:val="left" w:leader="none"/>
              </w:tabs>
              <w:spacing w:line="296" w:lineRule="exact"/>
              <w:ind w:left="-93" w:right="0"/>
              <w:jc w:val="left"/>
              <w:rPr>
                <w:rFonts w:ascii="宋体" w:hAnsi="宋体" w:cs="宋体" w:eastAsia="宋体" w:hint="default"/>
                <w:sz w:val="15"/>
                <w:szCs w:val="15"/>
              </w:rPr>
            </w:pPr>
            <w:r>
              <w:rPr>
                <w:rFonts w:ascii="宋体" w:hAnsi="宋体" w:cs="宋体" w:eastAsia="宋体" w:hint="default"/>
                <w:position w:val="-9"/>
                <w:sz w:val="15"/>
                <w:szCs w:val="15"/>
              </w:rPr>
              <w:t>）</w:t>
              <w:tab/>
            </w:r>
            <w:r>
              <w:rPr>
                <w:rFonts w:ascii="宋体" w:hAnsi="宋体" w:cs="宋体" w:eastAsia="宋体" w:hint="default"/>
                <w:sz w:val="15"/>
                <w:szCs w:val="15"/>
              </w:rPr>
              <w:t>总额</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9" w:right="143" w:hanging="75"/>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5" w:right="143"/>
              <w:jc w:val="both"/>
              <w:rPr>
                <w:rFonts w:ascii="Arial" w:hAnsi="Arial" w:cs="Arial" w:eastAsia="Arial" w:hint="default"/>
                <w:sz w:val="15"/>
                <w:szCs w:val="15"/>
              </w:rPr>
            </w:pPr>
            <w:r>
              <w:rPr>
                <w:rFonts w:ascii="宋体" w:hAnsi="宋体" w:cs="宋体" w:eastAsia="宋体" w:hint="default"/>
                <w:sz w:val="15"/>
                <w:szCs w:val="15"/>
              </w:rPr>
              <w:t>截至期末 承诺投入 金额</w:t>
            </w:r>
            <w:r>
              <w:rPr>
                <w:rFonts w:ascii="Arial" w:hAnsi="Arial" w:cs="Arial" w:eastAsia="Arial" w:hint="default"/>
                <w:sz w:val="15"/>
                <w:szCs w:val="15"/>
              </w:rPr>
              <w:t>(1)</w:t>
            </w:r>
          </w:p>
        </w:tc>
        <w:tc>
          <w:tcPr>
            <w:tcW w:w="36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5" w:right="143"/>
              <w:jc w:val="both"/>
              <w:rPr>
                <w:rFonts w:ascii="Arial" w:hAnsi="Arial" w:cs="Arial" w:eastAsia="Arial" w:hint="default"/>
                <w:sz w:val="15"/>
                <w:szCs w:val="15"/>
              </w:rPr>
            </w:pPr>
            <w:r>
              <w:rPr>
                <w:rFonts w:ascii="宋体" w:hAnsi="宋体" w:cs="宋体" w:eastAsia="宋体" w:hint="default"/>
                <w:sz w:val="15"/>
                <w:szCs w:val="15"/>
              </w:rPr>
              <w:t>截至期末 累计投入 金额</w:t>
            </w:r>
            <w:r>
              <w:rPr>
                <w:rFonts w:ascii="Arial" w:hAnsi="Arial" w:cs="Arial" w:eastAsia="Arial" w:hint="default"/>
                <w:sz w:val="15"/>
                <w:szCs w:val="15"/>
              </w:rPr>
              <w:t>(2)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末累计</w:t>
            </w:r>
          </w:p>
          <w:p>
            <w:pPr>
              <w:pStyle w:val="TableParagraph"/>
              <w:spacing w:line="244" w:lineRule="auto"/>
              <w:ind w:left="128" w:right="125" w:hanging="2"/>
              <w:jc w:val="center"/>
              <w:rPr>
                <w:rFonts w:ascii="Arial" w:hAnsi="Arial" w:cs="Arial" w:eastAsia="Arial" w:hint="default"/>
                <w:sz w:val="15"/>
                <w:szCs w:val="15"/>
              </w:rPr>
            </w:pPr>
            <w:r>
              <w:rPr>
                <w:rFonts w:ascii="宋体" w:hAnsi="宋体" w:cs="宋体" w:eastAsia="宋体" w:hint="default"/>
                <w:sz w:val="15"/>
                <w:szCs w:val="15"/>
              </w:rPr>
              <w:t>投入金 额与承 诺投入 金额的 差额 </w:t>
            </w:r>
            <w:r>
              <w:rPr>
                <w:rFonts w:ascii="Arial" w:hAnsi="Arial" w:cs="Arial" w:eastAsia="Arial" w:hint="default"/>
                <w:sz w:val="15"/>
                <w:szCs w:val="15"/>
              </w:rPr>
              <w:t>(3)=(2)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29" w:right="128"/>
              <w:jc w:val="both"/>
              <w:rPr>
                <w:rFonts w:ascii="宋体" w:hAnsi="宋体" w:cs="宋体" w:eastAsia="宋体" w:hint="default"/>
                <w:sz w:val="15"/>
                <w:szCs w:val="15"/>
              </w:rPr>
            </w:pPr>
            <w:r>
              <w:rPr>
                <w:rFonts w:ascii="宋体" w:hAnsi="宋体" w:cs="宋体" w:eastAsia="宋体" w:hint="default"/>
                <w:sz w:val="15"/>
                <w:szCs w:val="15"/>
              </w:rPr>
              <w:t>截至期 末投入 进度</w:t>
            </w:r>
          </w:p>
          <w:p>
            <w:pPr>
              <w:pStyle w:val="TableParagraph"/>
              <w:spacing w:line="247" w:lineRule="auto"/>
              <w:ind w:left="106" w:right="104" w:hanging="2"/>
              <w:jc w:val="center"/>
              <w:rPr>
                <w:rFonts w:ascii="Arial" w:hAnsi="Arial" w:cs="Arial" w:eastAsia="Arial" w:hint="default"/>
                <w:sz w:val="15"/>
                <w:szCs w:val="15"/>
              </w:rPr>
            </w:pPr>
            <w:r>
              <w:rPr>
                <w:rFonts w:ascii="宋体" w:hAnsi="宋体" w:cs="宋体" w:eastAsia="宋体" w:hint="default"/>
                <w:sz w:val="15"/>
                <w:szCs w:val="15"/>
              </w:rPr>
              <w:t>（</w:t>
            </w:r>
            <w:r>
              <w:rPr>
                <w:rFonts w:ascii="Arial" w:hAnsi="Arial" w:cs="Arial" w:eastAsia="Arial" w:hint="default"/>
                <w:sz w:val="15"/>
                <w:szCs w:val="15"/>
              </w:rPr>
              <w:t>%</w:t>
            </w:r>
            <w:r>
              <w:rPr>
                <w:rFonts w:ascii="宋体" w:hAnsi="宋体" w:cs="宋体" w:eastAsia="宋体" w:hint="default"/>
                <w:sz w:val="15"/>
                <w:szCs w:val="15"/>
              </w:rPr>
              <w:t>） </w:t>
            </w:r>
            <w:r>
              <w:rPr>
                <w:rFonts w:ascii="Arial" w:hAnsi="Arial" w:cs="Arial" w:eastAsia="Arial" w:hint="default"/>
                <w:sz w:val="15"/>
                <w:szCs w:val="15"/>
              </w:rPr>
              <w:t>(4)=(2)/</w:t>
            </w:r>
            <w:r>
              <w:rPr>
                <w:rFonts w:ascii="Arial" w:hAnsi="Arial" w:cs="Arial" w:eastAsia="Arial" w:hint="default"/>
                <w:w w:val="100"/>
                <w:sz w:val="15"/>
                <w:szCs w:val="15"/>
              </w:rPr>
              <w:t> </w:t>
            </w:r>
            <w:r>
              <w:rPr>
                <w:rFonts w:ascii="Arial" w:hAnsi="Arial" w:cs="Arial" w:eastAsia="Arial" w:hint="default"/>
                <w:sz w:val="15"/>
                <w:szCs w:val="15"/>
              </w:rPr>
              <w:t>(1)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9" w:right="59"/>
              <w:jc w:val="center"/>
              <w:rPr>
                <w:rFonts w:ascii="宋体" w:hAnsi="宋体" w:cs="宋体" w:eastAsia="宋体" w:hint="default"/>
                <w:sz w:val="15"/>
                <w:szCs w:val="15"/>
              </w:rPr>
            </w:pPr>
            <w:r>
              <w:rPr>
                <w:rFonts w:ascii="宋体" w:hAnsi="宋体" w:cs="宋体" w:eastAsia="宋体" w:hint="default"/>
                <w:sz w:val="15"/>
                <w:szCs w:val="15"/>
              </w:rPr>
              <w:t>项目达到 预定可使 用状态日 期</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1" w:right="-2" w:hanging="300"/>
              <w:jc w:val="left"/>
              <w:rPr>
                <w:rFonts w:ascii="宋体" w:hAnsi="宋体" w:cs="宋体" w:eastAsia="宋体" w:hint="default"/>
                <w:sz w:val="15"/>
                <w:szCs w:val="15"/>
              </w:rPr>
            </w:pPr>
            <w:r>
              <w:rPr>
                <w:rFonts w:ascii="宋体" w:hAnsi="宋体" w:cs="宋体" w:eastAsia="宋体" w:hint="default"/>
                <w:sz w:val="15"/>
                <w:szCs w:val="15"/>
              </w:rPr>
              <w:t>本年度实现的 效益</w:t>
            </w:r>
          </w:p>
          <w:p>
            <w:pPr>
              <w:pStyle w:val="TableParagraph"/>
              <w:spacing w:line="196" w:lineRule="exact"/>
              <w:ind w:left="-9" w:right="-2"/>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128"/>
              <w:jc w:val="both"/>
              <w:rPr>
                <w:rFonts w:ascii="宋体" w:hAnsi="宋体" w:cs="宋体" w:eastAsia="宋体" w:hint="default"/>
                <w:sz w:val="15"/>
                <w:szCs w:val="15"/>
              </w:rPr>
            </w:pPr>
            <w:r>
              <w:rPr>
                <w:rFonts w:ascii="宋体" w:hAnsi="宋体" w:cs="宋体" w:eastAsia="宋体" w:hint="default"/>
                <w:sz w:val="15"/>
                <w:szCs w:val="15"/>
              </w:rPr>
              <w:t>是否达 到预计 效益</w:t>
            </w:r>
          </w:p>
        </w:tc>
        <w:tc>
          <w:tcPr>
            <w:tcW w:w="540" w:type="dxa"/>
            <w:tcBorders>
              <w:top w:val="nil" w:sz="6" w:space="0" w:color="auto"/>
              <w:left w:val="single" w:sz="4" w:space="0" w:color="000000"/>
              <w:bottom w:val="nil" w:sz="6" w:space="0" w:color="auto"/>
              <w:right w:val="single" w:sz="8" w:space="0" w:color="000000"/>
            </w:tcBorders>
          </w:tcPr>
          <w:p>
            <w:pPr>
              <w:pStyle w:val="TableParagraph"/>
              <w:spacing w:line="160" w:lineRule="exact"/>
              <w:ind w:left="116"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6" w:right="107"/>
              <w:jc w:val="both"/>
              <w:rPr>
                <w:rFonts w:ascii="宋体" w:hAnsi="宋体" w:cs="宋体" w:eastAsia="宋体" w:hint="default"/>
                <w:sz w:val="15"/>
                <w:szCs w:val="15"/>
              </w:rPr>
            </w:pPr>
            <w:r>
              <w:rPr>
                <w:rFonts w:ascii="宋体" w:hAnsi="宋体" w:cs="宋体" w:eastAsia="宋体" w:hint="default"/>
                <w:sz w:val="15"/>
                <w:szCs w:val="15"/>
              </w:rPr>
              <w:t>可行 性是 否发 生重 大变 化</w:t>
            </w:r>
          </w:p>
        </w:tc>
      </w:tr>
      <w:tr>
        <w:trPr>
          <w:trHeight w:val="171" w:hRule="exact"/>
        </w:trPr>
        <w:tc>
          <w:tcPr>
            <w:tcW w:w="1440" w:type="dxa"/>
            <w:tcBorders>
              <w:top w:val="nil" w:sz="6" w:space="0" w:color="auto"/>
              <w:left w:val="single" w:sz="8"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65" w:lineRule="exact"/>
              <w:ind w:right="1"/>
              <w:jc w:val="center"/>
              <w:rPr>
                <w:rFonts w:ascii="Arial" w:hAnsi="Arial" w:cs="Arial" w:eastAsia="Arial" w:hint="default"/>
                <w:sz w:val="15"/>
                <w:szCs w:val="15"/>
              </w:rPr>
            </w:pPr>
            <w:r>
              <w:rPr>
                <w:rFonts w:ascii="Arial"/>
                <w:sz w:val="15"/>
              </w:rPr>
              <w:t>-(1)</w:t>
            </w: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8" w:space="0" w:color="000000"/>
            </w:tcBorders>
          </w:tcPr>
          <w:p>
            <w:pPr/>
          </w:p>
        </w:tc>
      </w:tr>
      <w:tr>
        <w:trPr>
          <w:trHeight w:val="401"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南京新街口店扩建</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99,632.0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30" w:right="0"/>
              <w:jc w:val="left"/>
              <w:rPr>
                <w:rFonts w:ascii="Arial" w:hAnsi="Arial" w:cs="Arial" w:eastAsia="Arial" w:hint="default"/>
                <w:sz w:val="15"/>
                <w:szCs w:val="15"/>
              </w:rPr>
            </w:pPr>
            <w:r>
              <w:rPr>
                <w:rFonts w:ascii="Arial"/>
                <w:w w:val="99"/>
                <w:sz w:val="15"/>
              </w:rPr>
              <w:t>-</w:t>
            </w:r>
            <w:r>
              <w:rPr>
                <w:rFonts w:ascii="Arial"/>
                <w:sz w:val="15"/>
              </w:rPr>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是</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增资北京苏宁电器</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37,500.0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17,991.9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增资浙江苏宁电器</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40,000.0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0"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38,203.1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1"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增资上海苏宁电器</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37,500.0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37,500.0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9"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35,170.7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物流配送体系一期</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扩建项目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40" w:right="0"/>
              <w:jc w:val="lef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Arial" w:hAnsi="Arial" w:cs="Arial" w:eastAsia="Arial" w:hint="default"/>
                <w:sz w:val="15"/>
                <w:szCs w:val="15"/>
              </w:rPr>
            </w:pPr>
            <w:r>
              <w:rPr>
                <w:rFonts w:ascii="Arial"/>
                <w:spacing w:val="-1"/>
                <w:sz w:val="15"/>
              </w:rPr>
              <w:t>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80,000.0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80,000.0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9"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6" w:lineRule="exact"/>
              <w:ind w:left="169" w:right="0"/>
              <w:jc w:val="lef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Arial" w:hAnsi="Arial" w:cs="Arial" w:eastAsia="Arial" w:hint="default"/>
                <w:sz w:val="15"/>
                <w:szCs w:val="15"/>
              </w:rPr>
              <w:t>1)</w:t>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新建杭州配送中心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25,000.8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vMerge/>
            <w:tcBorders>
              <w:left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295"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8" w:right="0"/>
              <w:jc w:val="left"/>
              <w:rPr>
                <w:rFonts w:ascii="宋体" w:hAnsi="宋体" w:cs="宋体" w:eastAsia="宋体" w:hint="default"/>
                <w:sz w:val="15"/>
                <w:szCs w:val="15"/>
              </w:rPr>
            </w:pPr>
            <w:r>
              <w:rPr>
                <w:rFonts w:ascii="宋体" w:hAnsi="宋体" w:cs="宋体" w:eastAsia="宋体" w:hint="default"/>
                <w:sz w:val="15"/>
                <w:szCs w:val="15"/>
              </w:rPr>
              <w:t>扩建南京配送中心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22,527.5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2005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vMerge/>
            <w:tcBorders>
              <w:left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295"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8" w:right="0"/>
              <w:jc w:val="left"/>
              <w:rPr>
                <w:rFonts w:ascii="宋体" w:hAnsi="宋体" w:cs="宋体" w:eastAsia="宋体" w:hint="default"/>
                <w:sz w:val="15"/>
                <w:szCs w:val="15"/>
              </w:rPr>
            </w:pPr>
            <w:r>
              <w:rPr>
                <w:rFonts w:ascii="宋体" w:hAnsi="宋体" w:cs="宋体" w:eastAsia="宋体" w:hint="default"/>
                <w:sz w:val="15"/>
                <w:szCs w:val="15"/>
              </w:rPr>
              <w:t>新建北京配送中心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32,471.7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商业信息化系统建</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设项目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99,894.4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99,894.4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99,894.4</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99,894.4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9"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2006</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9" w:right="0" w:hanging="4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6" w:lineRule="exact"/>
              <w:ind w:left="169" w:right="0"/>
              <w:jc w:val="lef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Arial" w:hAnsi="Arial" w:cs="Arial" w:eastAsia="Arial" w:hint="default"/>
                <w:sz w:val="15"/>
                <w:szCs w:val="15"/>
              </w:rPr>
              <w:t>2)</w:t>
            </w:r>
          </w:p>
        </w:tc>
        <w:tc>
          <w:tcPr>
            <w:tcW w:w="5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295"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394,526.4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294,894.4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294,894.4</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spacing w:val="-1"/>
                <w:sz w:val="15"/>
              </w:rPr>
              <w:t>294,894.4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0" w:right="0"/>
              <w:jc w:val="center"/>
              <w:rPr>
                <w:rFonts w:ascii="Arial" w:hAnsi="Arial" w:cs="Arial" w:eastAsia="Arial" w:hint="default"/>
                <w:sz w:val="15"/>
                <w:szCs w:val="15"/>
              </w:rPr>
            </w:pPr>
            <w:r>
              <w:rPr>
                <w:rFonts w:ascii="Arial"/>
                <w:sz w:val="15"/>
              </w:rPr>
              <w:t>100%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Arial" w:hAnsi="Arial" w:cs="Arial" w:eastAsia="Arial" w:hint="default"/>
                <w:sz w:val="15"/>
                <w:szCs w:val="15"/>
              </w:rPr>
            </w:pPr>
            <w:r>
              <w:rPr>
                <w:rFonts w:ascii="Arial"/>
                <w:spacing w:val="-1"/>
                <w:sz w:val="15"/>
              </w:rPr>
              <w:t>91,365.7</w:t>
            </w: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8" w:space="0" w:color="000000"/>
            </w:tcBorders>
          </w:tcPr>
          <w:p>
            <w:pPr/>
          </w:p>
        </w:tc>
      </w:tr>
      <w:tr>
        <w:trPr>
          <w:trHeight w:val="40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未达到计划进度原</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因</w:t>
            </w:r>
          </w:p>
        </w:tc>
        <w:tc>
          <w:tcPr>
            <w:tcW w:w="88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198" w:hRule="exact"/>
        </w:trPr>
        <w:tc>
          <w:tcPr>
            <w:tcW w:w="1440" w:type="dxa"/>
            <w:tcBorders>
              <w:top w:val="single" w:sz="4" w:space="0" w:color="000000"/>
              <w:left w:val="single" w:sz="8" w:space="0" w:color="000000"/>
              <w:bottom w:val="nil" w:sz="6" w:space="0" w:color="auto"/>
              <w:right w:val="single" w:sz="4" w:space="0" w:color="000000"/>
            </w:tcBorders>
          </w:tcPr>
          <w:p>
            <w:pPr/>
          </w:p>
        </w:tc>
        <w:tc>
          <w:tcPr>
            <w:tcW w:w="8820" w:type="dxa"/>
            <w:gridSpan w:val="12"/>
            <w:tcBorders>
              <w:top w:val="single" w:sz="4" w:space="0" w:color="000000"/>
              <w:left w:val="single" w:sz="4" w:space="0" w:color="000000"/>
              <w:bottom w:val="nil" w:sz="6" w:space="0" w:color="auto"/>
              <w:right w:val="single" w:sz="8"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因南京新街口店扩建项目用地挂牌出让时，其实际的出让面积、出让政策、规划用地性质等与原募集资金项目规划发生了一定的变</w:t>
            </w:r>
          </w:p>
        </w:tc>
      </w:tr>
      <w:tr>
        <w:trPr>
          <w:trHeight w:val="196"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项目可行性发生重</w:t>
            </w:r>
            <w:r>
              <w:rPr>
                <w:rFonts w:ascii="宋体" w:hAnsi="宋体" w:cs="宋体" w:eastAsia="宋体" w:hint="default"/>
                <w:sz w:val="15"/>
                <w:szCs w:val="15"/>
              </w:rPr>
            </w:r>
          </w:p>
        </w:tc>
        <w:tc>
          <w:tcPr>
            <w:tcW w:w="8820" w:type="dxa"/>
            <w:gridSpan w:val="12"/>
            <w:tcBorders>
              <w:top w:val="nil" w:sz="6" w:space="0" w:color="auto"/>
              <w:left w:val="single" w:sz="4" w:space="0" w:color="000000"/>
              <w:bottom w:val="nil" w:sz="6" w:space="0" w:color="auto"/>
              <w:right w:val="single" w:sz="8"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动，公司原计划拟与江苏苏宁电器集团有限公司联合进行该扩建项目的建设。但在实际操作过程中，考虑到联合实施项目建设会对</w:t>
            </w:r>
          </w:p>
        </w:tc>
      </w:tr>
      <w:tr>
        <w:trPr>
          <w:trHeight w:val="195"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大变化的情况说明</w:t>
            </w:r>
          </w:p>
        </w:tc>
        <w:tc>
          <w:tcPr>
            <w:tcW w:w="8820" w:type="dxa"/>
            <w:gridSpan w:val="12"/>
            <w:tcBorders>
              <w:top w:val="nil" w:sz="6" w:space="0" w:color="auto"/>
              <w:left w:val="single" w:sz="4" w:space="0" w:color="000000"/>
              <w:bottom w:val="nil" w:sz="6" w:space="0" w:color="auto"/>
              <w:right w:val="single" w:sz="8"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公司运作的独立性造成一定的影响，同时对公司而言，项目建成周期长且项目管理、控制难度较大。鉴于上述情况，本着为投资者</w:t>
            </w:r>
          </w:p>
        </w:tc>
      </w:tr>
      <w:tr>
        <w:trPr>
          <w:trHeight w:val="202" w:hRule="exact"/>
        </w:trPr>
        <w:tc>
          <w:tcPr>
            <w:tcW w:w="1440" w:type="dxa"/>
            <w:tcBorders>
              <w:top w:val="nil" w:sz="6" w:space="0" w:color="auto"/>
              <w:left w:val="single" w:sz="8" w:space="0" w:color="000000"/>
              <w:bottom w:val="single" w:sz="4" w:space="0" w:color="000000"/>
              <w:right w:val="single" w:sz="4" w:space="0" w:color="000000"/>
            </w:tcBorders>
          </w:tcPr>
          <w:p>
            <w:pPr/>
          </w:p>
        </w:tc>
        <w:tc>
          <w:tcPr>
            <w:tcW w:w="8820" w:type="dxa"/>
            <w:gridSpan w:val="12"/>
            <w:tcBorders>
              <w:top w:val="nil" w:sz="6" w:space="0" w:color="auto"/>
              <w:left w:val="single" w:sz="4" w:space="0" w:color="000000"/>
              <w:bottom w:val="single" w:sz="4" w:space="0" w:color="000000"/>
              <w:right w:val="single" w:sz="8"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负责的态度，经公司第二届董事会第十七次会议、2005</w:t>
            </w:r>
            <w:r>
              <w:rPr>
                <w:rFonts w:ascii="宋体" w:hAnsi="宋体" w:cs="宋体" w:eastAsia="宋体" w:hint="default"/>
                <w:spacing w:val="-38"/>
                <w:sz w:val="15"/>
                <w:szCs w:val="15"/>
              </w:rPr>
              <w:t> </w:t>
            </w:r>
            <w:r>
              <w:rPr>
                <w:rFonts w:ascii="宋体" w:hAnsi="宋体" w:cs="宋体" w:eastAsia="宋体" w:hint="default"/>
                <w:sz w:val="15"/>
                <w:szCs w:val="15"/>
              </w:rPr>
              <w:t>年第二次临时股东大会审议通过，同意终止南京新街口店扩建项目</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募集资金投资项目</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实施地点变更情况</w:t>
            </w:r>
          </w:p>
        </w:tc>
        <w:tc>
          <w:tcPr>
            <w:tcW w:w="8820" w:type="dxa"/>
            <w:gridSpan w:val="12"/>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募集资金投资项目</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实施方式调整情况</w:t>
            </w:r>
          </w:p>
        </w:tc>
        <w:tc>
          <w:tcPr>
            <w:tcW w:w="8820" w:type="dxa"/>
            <w:gridSpan w:val="12"/>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198" w:hRule="exact"/>
        </w:trPr>
        <w:tc>
          <w:tcPr>
            <w:tcW w:w="1440" w:type="dxa"/>
            <w:tcBorders>
              <w:top w:val="single" w:sz="4" w:space="0" w:color="000000"/>
              <w:left w:val="single" w:sz="8" w:space="0" w:color="000000"/>
              <w:bottom w:val="nil" w:sz="6" w:space="0" w:color="auto"/>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募集资金投资项目</w:t>
            </w:r>
            <w:r>
              <w:rPr>
                <w:rFonts w:ascii="宋体" w:hAnsi="宋体" w:cs="宋体" w:eastAsia="宋体" w:hint="default"/>
                <w:sz w:val="15"/>
                <w:szCs w:val="15"/>
              </w:rPr>
            </w:r>
          </w:p>
        </w:tc>
        <w:tc>
          <w:tcPr>
            <w:tcW w:w="8820" w:type="dxa"/>
            <w:gridSpan w:val="12"/>
            <w:tcBorders>
              <w:top w:val="single" w:sz="4" w:space="0" w:color="000000"/>
              <w:left w:val="single" w:sz="4" w:space="0" w:color="000000"/>
              <w:bottom w:val="nil" w:sz="6" w:space="0" w:color="auto"/>
              <w:right w:val="single" w:sz="8" w:space="0" w:color="000000"/>
            </w:tcBorders>
          </w:tcPr>
          <w:p>
            <w:pPr/>
          </w:p>
        </w:tc>
      </w:tr>
      <w:tr>
        <w:trPr>
          <w:trHeight w:val="196"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173"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先期投入及置换情</w:t>
            </w:r>
            <w:r>
              <w:rPr>
                <w:rFonts w:ascii="宋体" w:hAnsi="宋体" w:cs="宋体" w:eastAsia="宋体" w:hint="default"/>
                <w:sz w:val="15"/>
                <w:szCs w:val="15"/>
              </w:rPr>
            </w:r>
          </w:p>
        </w:tc>
        <w:tc>
          <w:tcPr>
            <w:tcW w:w="8820" w:type="dxa"/>
            <w:gridSpan w:val="12"/>
            <w:tcBorders>
              <w:top w:val="nil" w:sz="6" w:space="0" w:color="auto"/>
              <w:left w:val="single" w:sz="4" w:space="0" w:color="000000"/>
              <w:bottom w:val="nil" w:sz="6" w:space="0" w:color="auto"/>
              <w:right w:val="single" w:sz="8"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202" w:hRule="exact"/>
        </w:trPr>
        <w:tc>
          <w:tcPr>
            <w:tcW w:w="1440" w:type="dxa"/>
            <w:tcBorders>
              <w:top w:val="nil" w:sz="6" w:space="0" w:color="auto"/>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况</w:t>
            </w:r>
          </w:p>
        </w:tc>
        <w:tc>
          <w:tcPr>
            <w:tcW w:w="8820" w:type="dxa"/>
            <w:gridSpan w:val="12"/>
            <w:tcBorders>
              <w:top w:val="nil" w:sz="6" w:space="0" w:color="auto"/>
              <w:left w:val="single" w:sz="4" w:space="0" w:color="000000"/>
              <w:bottom w:val="single" w:sz="4" w:space="0" w:color="000000"/>
              <w:right w:val="single" w:sz="8" w:space="0" w:color="000000"/>
            </w:tcBorders>
          </w:tcPr>
          <w:p>
            <w:pPr/>
          </w:p>
        </w:tc>
      </w:tr>
      <w:tr>
        <w:trPr>
          <w:trHeight w:val="198" w:hRule="exact"/>
        </w:trPr>
        <w:tc>
          <w:tcPr>
            <w:tcW w:w="1440" w:type="dxa"/>
            <w:tcBorders>
              <w:top w:val="single" w:sz="4" w:space="0" w:color="000000"/>
              <w:left w:val="single" w:sz="8" w:space="0" w:color="000000"/>
              <w:bottom w:val="nil" w:sz="6" w:space="0" w:color="auto"/>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用闲置募集资金暂</w:t>
            </w:r>
            <w:r>
              <w:rPr>
                <w:rFonts w:ascii="宋体" w:hAnsi="宋体" w:cs="宋体" w:eastAsia="宋体" w:hint="default"/>
                <w:sz w:val="15"/>
                <w:szCs w:val="15"/>
              </w:rPr>
            </w:r>
          </w:p>
        </w:tc>
        <w:tc>
          <w:tcPr>
            <w:tcW w:w="8820" w:type="dxa"/>
            <w:gridSpan w:val="12"/>
            <w:tcBorders>
              <w:top w:val="single" w:sz="4" w:space="0" w:color="000000"/>
              <w:left w:val="single" w:sz="4" w:space="0" w:color="000000"/>
              <w:bottom w:val="nil" w:sz="6" w:space="0" w:color="auto"/>
              <w:right w:val="single" w:sz="8" w:space="0" w:color="000000"/>
            </w:tcBorders>
          </w:tcPr>
          <w:p>
            <w:pPr/>
          </w:p>
        </w:tc>
      </w:tr>
      <w:tr>
        <w:trPr>
          <w:trHeight w:val="196"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173"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时补充流动资金情</w:t>
            </w:r>
            <w:r>
              <w:rPr>
                <w:rFonts w:ascii="宋体" w:hAnsi="宋体" w:cs="宋体" w:eastAsia="宋体" w:hint="default"/>
                <w:sz w:val="15"/>
                <w:szCs w:val="15"/>
              </w:rPr>
            </w:r>
          </w:p>
        </w:tc>
        <w:tc>
          <w:tcPr>
            <w:tcW w:w="8820" w:type="dxa"/>
            <w:gridSpan w:val="12"/>
            <w:tcBorders>
              <w:top w:val="nil" w:sz="6" w:space="0" w:color="auto"/>
              <w:left w:val="single" w:sz="4" w:space="0" w:color="000000"/>
              <w:bottom w:val="nil" w:sz="6" w:space="0" w:color="auto"/>
              <w:right w:val="single" w:sz="8"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202" w:hRule="exact"/>
        </w:trPr>
        <w:tc>
          <w:tcPr>
            <w:tcW w:w="1440" w:type="dxa"/>
            <w:tcBorders>
              <w:top w:val="nil" w:sz="6" w:space="0" w:color="auto"/>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况</w:t>
            </w:r>
          </w:p>
        </w:tc>
        <w:tc>
          <w:tcPr>
            <w:tcW w:w="8820" w:type="dxa"/>
            <w:gridSpan w:val="12"/>
            <w:tcBorders>
              <w:top w:val="nil" w:sz="6" w:space="0" w:color="auto"/>
              <w:left w:val="single" w:sz="4" w:space="0" w:color="000000"/>
              <w:bottom w:val="single" w:sz="4" w:space="0" w:color="000000"/>
              <w:right w:val="single" w:sz="8" w:space="0" w:color="000000"/>
            </w:tcBorders>
          </w:tcPr>
          <w:p>
            <w:pPr/>
          </w:p>
        </w:tc>
      </w:tr>
      <w:tr>
        <w:trPr>
          <w:trHeight w:val="198" w:hRule="exact"/>
        </w:trPr>
        <w:tc>
          <w:tcPr>
            <w:tcW w:w="1440" w:type="dxa"/>
            <w:tcBorders>
              <w:top w:val="single" w:sz="4" w:space="0" w:color="000000"/>
              <w:left w:val="single" w:sz="8" w:space="0" w:color="000000"/>
              <w:bottom w:val="nil" w:sz="6" w:space="0" w:color="auto"/>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项目实施出现募集</w:t>
            </w:r>
            <w:r>
              <w:rPr>
                <w:rFonts w:ascii="宋体" w:hAnsi="宋体" w:cs="宋体" w:eastAsia="宋体" w:hint="default"/>
                <w:sz w:val="15"/>
                <w:szCs w:val="15"/>
              </w:rPr>
            </w:r>
          </w:p>
        </w:tc>
        <w:tc>
          <w:tcPr>
            <w:tcW w:w="8820" w:type="dxa"/>
            <w:gridSpan w:val="12"/>
            <w:tcBorders>
              <w:top w:val="single" w:sz="4" w:space="0" w:color="000000"/>
              <w:left w:val="single" w:sz="4" w:space="0" w:color="000000"/>
              <w:bottom w:val="nil" w:sz="6" w:space="0" w:color="auto"/>
              <w:right w:val="single" w:sz="8" w:space="0" w:color="000000"/>
            </w:tcBorders>
          </w:tcPr>
          <w:p>
            <w:pPr/>
          </w:p>
        </w:tc>
      </w:tr>
      <w:tr>
        <w:trPr>
          <w:trHeight w:val="196" w:hRule="exact"/>
        </w:trPr>
        <w:tc>
          <w:tcPr>
            <w:tcW w:w="1440" w:type="dxa"/>
            <w:tcBorders>
              <w:top w:val="nil" w:sz="6" w:space="0" w:color="auto"/>
              <w:left w:val="single" w:sz="8" w:space="0" w:color="000000"/>
              <w:bottom w:val="nil" w:sz="6" w:space="0" w:color="auto"/>
              <w:right w:val="single" w:sz="4" w:space="0" w:color="000000"/>
            </w:tcBorders>
          </w:tcPr>
          <w:p>
            <w:pPr>
              <w:pStyle w:val="TableParagraph"/>
              <w:spacing w:line="173"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资金结余的金额及</w:t>
            </w:r>
            <w:r>
              <w:rPr>
                <w:rFonts w:ascii="宋体" w:hAnsi="宋体" w:cs="宋体" w:eastAsia="宋体" w:hint="default"/>
                <w:sz w:val="15"/>
                <w:szCs w:val="15"/>
              </w:rPr>
            </w:r>
          </w:p>
        </w:tc>
        <w:tc>
          <w:tcPr>
            <w:tcW w:w="8820" w:type="dxa"/>
            <w:gridSpan w:val="12"/>
            <w:tcBorders>
              <w:top w:val="nil" w:sz="6" w:space="0" w:color="auto"/>
              <w:left w:val="single" w:sz="4" w:space="0" w:color="000000"/>
              <w:bottom w:val="nil" w:sz="6" w:space="0" w:color="auto"/>
              <w:right w:val="single" w:sz="8"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202" w:hRule="exact"/>
        </w:trPr>
        <w:tc>
          <w:tcPr>
            <w:tcW w:w="1440" w:type="dxa"/>
            <w:tcBorders>
              <w:top w:val="nil" w:sz="6" w:space="0" w:color="auto"/>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原因</w:t>
            </w:r>
          </w:p>
        </w:tc>
        <w:tc>
          <w:tcPr>
            <w:tcW w:w="8820" w:type="dxa"/>
            <w:gridSpan w:val="12"/>
            <w:tcBorders>
              <w:top w:val="nil" w:sz="6" w:space="0" w:color="auto"/>
              <w:left w:val="single" w:sz="4" w:space="0" w:color="000000"/>
              <w:bottom w:val="single" w:sz="4" w:space="0" w:color="000000"/>
              <w:right w:val="single" w:sz="8" w:space="0" w:color="000000"/>
            </w:tcBorders>
          </w:tcPr>
          <w:p>
            <w:pPr/>
          </w:p>
        </w:tc>
      </w:tr>
      <w:tr>
        <w:trPr>
          <w:trHeight w:val="400"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募集资金其他使用</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情况</w:t>
            </w:r>
          </w:p>
        </w:tc>
        <w:tc>
          <w:tcPr>
            <w:tcW w:w="8820" w:type="dxa"/>
            <w:gridSpan w:val="12"/>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1440" w:type="dxa"/>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3"/>
                <w:sz w:val="15"/>
                <w:szCs w:val="15"/>
              </w:rPr>
              <w:t>尚未使用的募集资</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金用途及去向</w:t>
            </w:r>
          </w:p>
        </w:tc>
        <w:tc>
          <w:tcPr>
            <w:tcW w:w="8820" w:type="dxa"/>
            <w:gridSpan w:val="12"/>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after="0" w:line="240" w:lineRule="auto"/>
        <w:jc w:val="left"/>
        <w:rPr>
          <w:rFonts w:ascii="宋体" w:hAnsi="宋体" w:cs="宋体" w:eastAsia="宋体" w:hint="default"/>
          <w:sz w:val="15"/>
          <w:szCs w:val="15"/>
        </w:rPr>
        <w:sectPr>
          <w:pgSz w:w="11910" w:h="16840"/>
          <w:pgMar w:header="826" w:footer="900" w:top="1100" w:bottom="1100" w:left="700" w:right="700"/>
        </w:sectPr>
      </w:pPr>
    </w:p>
    <w:p>
      <w:pPr>
        <w:spacing w:line="348" w:lineRule="auto" w:before="111"/>
        <w:ind w:left="144" w:right="178"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：物流配送体系一期扩建项目不直接产生经济收入，故无法单独核算效益；物流配送 体系一期扩建项目效益主要体现在：其主要服务于公司采购、销售和服务体系，有利于整合区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域内物流平台，一定程度上促进了区域内销售收入的增长；</w:t>
      </w:r>
    </w:p>
    <w:p>
      <w:pPr>
        <w:spacing w:line="338" w:lineRule="auto" w:before="40"/>
        <w:ind w:left="144" w:right="17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：商业信息化系统建设项目不直接产生经济收入，故无法单独核算效益；商业信息化 系统建设项目的效益主要体现在：促进企业管理水平的提高，营业费用率水平的降低。</w:t>
      </w:r>
    </w:p>
    <w:p>
      <w:pPr>
        <w:spacing w:line="240" w:lineRule="auto" w:before="4"/>
        <w:rPr>
          <w:rFonts w:ascii="宋体" w:hAnsi="宋体" w:cs="宋体" w:eastAsia="宋体" w:hint="default"/>
          <w:sz w:val="28"/>
          <w:szCs w:val="28"/>
        </w:rPr>
      </w:pPr>
    </w:p>
    <w:p>
      <w:pPr>
        <w:pStyle w:val="BodyText"/>
        <w:spacing w:line="240" w:lineRule="auto"/>
        <w:ind w:left="384" w:right="0"/>
        <w:jc w:val="left"/>
      </w:pPr>
      <w:r>
        <w:rPr/>
        <w:t>变更募集资金项目的资金使用情况：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03" w:firstLine="0"/>
        <w:jc w:val="right"/>
        <w:rPr>
          <w:rFonts w:ascii="宋体" w:hAnsi="宋体" w:cs="宋体" w:eastAsia="宋体" w:hint="default"/>
          <w:sz w:val="15"/>
          <w:szCs w:val="15"/>
        </w:rPr>
      </w:pPr>
      <w:r>
        <w:rPr/>
        <w:pict>
          <v:shape style="position:absolute;margin-left:80.580002pt;margin-top:-263.279999pt;width:434.6pt;height:407.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3"/>
                    <w:gridCol w:w="632"/>
                    <w:gridCol w:w="656"/>
                    <w:gridCol w:w="656"/>
                    <w:gridCol w:w="643"/>
                    <w:gridCol w:w="656"/>
                    <w:gridCol w:w="881"/>
                    <w:gridCol w:w="650"/>
                    <w:gridCol w:w="656"/>
                    <w:gridCol w:w="649"/>
                    <w:gridCol w:w="653"/>
                  </w:tblGrid>
                  <w:tr>
                    <w:trPr>
                      <w:trHeight w:val="118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515" w:right="0"/>
                          <w:jc w:val="left"/>
                          <w:rPr>
                            <w:rFonts w:ascii="宋体" w:hAnsi="宋体" w:cs="宋体" w:eastAsia="宋体" w:hint="default"/>
                            <w:sz w:val="15"/>
                            <w:szCs w:val="15"/>
                          </w:rPr>
                        </w:pPr>
                        <w:r>
                          <w:rPr>
                            <w:rFonts w:ascii="宋体" w:hAnsi="宋体" w:cs="宋体" w:eastAsia="宋体" w:hint="default"/>
                            <w:sz w:val="15"/>
                            <w:szCs w:val="15"/>
                          </w:rPr>
                          <w:t>变更后的项目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6" w:right="84"/>
                          <w:jc w:val="both"/>
                          <w:rPr>
                            <w:rFonts w:ascii="宋体" w:hAnsi="宋体" w:cs="宋体" w:eastAsia="宋体" w:hint="default"/>
                            <w:sz w:val="15"/>
                            <w:szCs w:val="15"/>
                          </w:rPr>
                        </w:pPr>
                        <w:r>
                          <w:rPr>
                            <w:rFonts w:ascii="宋体" w:hAnsi="宋体" w:cs="宋体" w:eastAsia="宋体" w:hint="default"/>
                            <w:sz w:val="15"/>
                            <w:szCs w:val="15"/>
                          </w:rPr>
                          <w:t>对应的 原承诺 项目</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20"/>
                          <w:jc w:val="center"/>
                          <w:rPr>
                            <w:rFonts w:ascii="宋体" w:hAnsi="宋体" w:cs="宋体" w:eastAsia="宋体" w:hint="default"/>
                            <w:sz w:val="15"/>
                            <w:szCs w:val="15"/>
                          </w:rPr>
                        </w:pPr>
                        <w:r>
                          <w:rPr>
                            <w:rFonts w:ascii="宋体" w:hAnsi="宋体" w:cs="宋体" w:eastAsia="宋体" w:hint="default"/>
                            <w:sz w:val="15"/>
                            <w:szCs w:val="15"/>
                          </w:rPr>
                          <w:t>变更后项 目拟投入 募集资金 总额</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23"/>
                          <w:jc w:val="center"/>
                          <w:rPr>
                            <w:rFonts w:ascii="宋体" w:hAnsi="宋体" w:cs="宋体" w:eastAsia="宋体" w:hint="default"/>
                            <w:sz w:val="15"/>
                            <w:szCs w:val="15"/>
                          </w:rPr>
                        </w:pPr>
                        <w:r>
                          <w:rPr>
                            <w:rFonts w:ascii="宋体" w:hAnsi="宋体" w:cs="宋体" w:eastAsia="宋体" w:hint="default"/>
                            <w:sz w:val="15"/>
                            <w:szCs w:val="15"/>
                          </w:rPr>
                          <w:t>截至期末 计划累计 投资金额 (1)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1" w:right="90"/>
                          <w:jc w:val="both"/>
                          <w:rPr>
                            <w:rFonts w:ascii="宋体" w:hAnsi="宋体" w:cs="宋体" w:eastAsia="宋体" w:hint="default"/>
                            <w:sz w:val="15"/>
                            <w:szCs w:val="15"/>
                          </w:rPr>
                        </w:pPr>
                        <w:r>
                          <w:rPr>
                            <w:rFonts w:ascii="宋体" w:hAnsi="宋体" w:cs="宋体" w:eastAsia="宋体" w:hint="default"/>
                            <w:sz w:val="15"/>
                            <w:szCs w:val="15"/>
                          </w:rPr>
                          <w:t>本年度 实际投 入金额</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20"/>
                          <w:jc w:val="center"/>
                          <w:rPr>
                            <w:rFonts w:ascii="宋体" w:hAnsi="宋体" w:cs="宋体" w:eastAsia="宋体" w:hint="default"/>
                            <w:sz w:val="15"/>
                            <w:szCs w:val="15"/>
                          </w:rPr>
                        </w:pPr>
                        <w:r>
                          <w:rPr>
                            <w:rFonts w:ascii="宋体" w:hAnsi="宋体" w:cs="宋体" w:eastAsia="宋体" w:hint="default"/>
                            <w:sz w:val="15"/>
                            <w:szCs w:val="15"/>
                          </w:rPr>
                          <w:t>截至期末 实际累计 投入金额 (2)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21"/>
                          <w:jc w:val="left"/>
                          <w:rPr>
                            <w:rFonts w:ascii="宋体" w:hAnsi="宋体" w:cs="宋体" w:eastAsia="宋体" w:hint="default"/>
                            <w:sz w:val="15"/>
                            <w:szCs w:val="15"/>
                          </w:rPr>
                        </w:pPr>
                        <w:r>
                          <w:rPr>
                            <w:rFonts w:ascii="宋体" w:hAnsi="宋体" w:cs="宋体" w:eastAsia="宋体" w:hint="default"/>
                            <w:spacing w:val="-13"/>
                            <w:sz w:val="15"/>
                            <w:szCs w:val="15"/>
                          </w:rPr>
                          <w:t>投资进度（%</w:t>
                        </w:r>
                        <w:r>
                          <w:rPr>
                            <w:rFonts w:ascii="宋体" w:hAnsi="宋体" w:cs="宋体" w:eastAsia="宋体" w:hint="default"/>
                            <w:spacing w:val="-1"/>
                            <w:sz w:val="15"/>
                            <w:szCs w:val="15"/>
                          </w:rPr>
                          <w:t> </w:t>
                        </w:r>
                        <w:r>
                          <w:rPr>
                            <w:rFonts w:ascii="宋体" w:hAnsi="宋体" w:cs="宋体" w:eastAsia="宋体" w:hint="default"/>
                            <w:sz w:val="15"/>
                            <w:szCs w:val="15"/>
                          </w:rPr>
                          <w:t>(3)=(2)/(1)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95" w:right="0"/>
                          <w:jc w:val="left"/>
                          <w:rPr>
                            <w:rFonts w:ascii="宋体" w:hAnsi="宋体" w:cs="宋体" w:eastAsia="宋体" w:hint="default"/>
                            <w:sz w:val="15"/>
                            <w:szCs w:val="15"/>
                          </w:rPr>
                        </w:pPr>
                        <w:r>
                          <w:rPr>
                            <w:rFonts w:ascii="宋体" w:hAnsi="宋体" w:cs="宋体" w:eastAsia="宋体" w:hint="default"/>
                            <w:sz w:val="15"/>
                            <w:szCs w:val="15"/>
                          </w:rPr>
                          <w:t>项目达</w:t>
                        </w:r>
                      </w:p>
                      <w:p>
                        <w:pPr>
                          <w:pStyle w:val="TableParagraph"/>
                          <w:spacing w:line="245" w:lineRule="exact"/>
                          <w:ind w:left="-108" w:right="0"/>
                          <w:jc w:val="left"/>
                          <w:rPr>
                            <w:rFonts w:ascii="宋体" w:hAnsi="宋体" w:cs="宋体" w:eastAsia="宋体" w:hint="default"/>
                            <w:sz w:val="15"/>
                            <w:szCs w:val="15"/>
                          </w:rPr>
                        </w:pPr>
                        <w:r>
                          <w:rPr>
                            <w:rFonts w:ascii="宋体" w:hAnsi="宋体" w:cs="宋体" w:eastAsia="宋体" w:hint="default"/>
                            <w:position w:val="-9"/>
                            <w:sz w:val="15"/>
                            <w:szCs w:val="15"/>
                          </w:rPr>
                          <w:t>）</w:t>
                        </w:r>
                        <w:r>
                          <w:rPr>
                            <w:rFonts w:ascii="宋体" w:hAnsi="宋体" w:cs="宋体" w:eastAsia="宋体" w:hint="default"/>
                            <w:spacing w:val="-22"/>
                            <w:position w:val="-9"/>
                            <w:sz w:val="15"/>
                            <w:szCs w:val="15"/>
                          </w:rPr>
                          <w:t> </w:t>
                        </w:r>
                        <w:r>
                          <w:rPr>
                            <w:rFonts w:ascii="宋体" w:hAnsi="宋体" w:cs="宋体" w:eastAsia="宋体" w:hint="default"/>
                            <w:sz w:val="15"/>
                            <w:szCs w:val="15"/>
                          </w:rPr>
                          <w:t>到预定</w:t>
                        </w:r>
                      </w:p>
                      <w:p>
                        <w:pPr>
                          <w:pStyle w:val="TableParagraph"/>
                          <w:spacing w:line="145" w:lineRule="exact"/>
                          <w:ind w:left="95" w:right="0"/>
                          <w:jc w:val="left"/>
                          <w:rPr>
                            <w:rFonts w:ascii="宋体" w:hAnsi="宋体" w:cs="宋体" w:eastAsia="宋体" w:hint="default"/>
                            <w:sz w:val="15"/>
                            <w:szCs w:val="15"/>
                          </w:rPr>
                        </w:pPr>
                        <w:r>
                          <w:rPr>
                            <w:rFonts w:ascii="宋体" w:hAnsi="宋体" w:cs="宋体" w:eastAsia="宋体" w:hint="default"/>
                            <w:sz w:val="15"/>
                            <w:szCs w:val="15"/>
                          </w:rPr>
                          <w:t>可使用</w:t>
                        </w:r>
                      </w:p>
                      <w:p>
                        <w:pPr>
                          <w:pStyle w:val="TableParagraph"/>
                          <w:spacing w:line="240" w:lineRule="auto"/>
                          <w:ind w:left="245" w:right="92" w:hanging="150"/>
                          <w:jc w:val="left"/>
                          <w:rPr>
                            <w:rFonts w:ascii="宋体" w:hAnsi="宋体" w:cs="宋体" w:eastAsia="宋体" w:hint="default"/>
                            <w:sz w:val="15"/>
                            <w:szCs w:val="15"/>
                          </w:rPr>
                        </w:pPr>
                        <w:r>
                          <w:rPr>
                            <w:rFonts w:ascii="宋体" w:hAnsi="宋体" w:cs="宋体" w:eastAsia="宋体" w:hint="default"/>
                            <w:sz w:val="15"/>
                            <w:szCs w:val="15"/>
                          </w:rPr>
                          <w:t>状态日 期</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23"/>
                          <w:jc w:val="left"/>
                          <w:rPr>
                            <w:rFonts w:ascii="宋体" w:hAnsi="宋体" w:cs="宋体" w:eastAsia="宋体" w:hint="default"/>
                            <w:sz w:val="15"/>
                            <w:szCs w:val="15"/>
                          </w:rPr>
                        </w:pPr>
                        <w:r>
                          <w:rPr>
                            <w:rFonts w:ascii="宋体" w:hAnsi="宋体" w:cs="宋体" w:eastAsia="宋体" w:hint="default"/>
                            <w:sz w:val="15"/>
                            <w:szCs w:val="15"/>
                          </w:rPr>
                          <w:t>本年度实 现的效益</w:t>
                        </w:r>
                      </w:p>
                      <w:p>
                        <w:pPr>
                          <w:pStyle w:val="TableParagraph"/>
                          <w:spacing w:line="240" w:lineRule="auto"/>
                          <w:ind w:left="22" w:right="23"/>
                          <w:jc w:val="left"/>
                          <w:rPr>
                            <w:rFonts w:ascii="宋体" w:hAnsi="宋体" w:cs="宋体" w:eastAsia="宋体" w:hint="default"/>
                            <w:sz w:val="15"/>
                            <w:szCs w:val="15"/>
                          </w:rPr>
                        </w:pPr>
                        <w:r>
                          <w:rPr>
                            <w:rFonts w:ascii="宋体" w:hAnsi="宋体" w:cs="宋体" w:eastAsia="宋体" w:hint="default"/>
                            <w:sz w:val="15"/>
                            <w:szCs w:val="15"/>
                          </w:rPr>
                          <w:t>（利润总 额计算）</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4" w:right="92"/>
                          <w:jc w:val="both"/>
                          <w:rPr>
                            <w:rFonts w:ascii="宋体" w:hAnsi="宋体" w:cs="宋体" w:eastAsia="宋体" w:hint="default"/>
                            <w:sz w:val="15"/>
                            <w:szCs w:val="15"/>
                          </w:rPr>
                        </w:pPr>
                        <w:r>
                          <w:rPr>
                            <w:rFonts w:ascii="宋体" w:hAnsi="宋体" w:cs="宋体" w:eastAsia="宋体" w:hint="default"/>
                            <w:sz w:val="15"/>
                            <w:szCs w:val="15"/>
                          </w:rPr>
                          <w:t>是否达 到预计 效益</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97" w:right="0"/>
                          <w:jc w:val="both"/>
                          <w:rPr>
                            <w:rFonts w:ascii="宋体" w:hAnsi="宋体" w:cs="宋体" w:eastAsia="宋体" w:hint="default"/>
                            <w:sz w:val="15"/>
                            <w:szCs w:val="15"/>
                          </w:rPr>
                        </w:pPr>
                        <w:r>
                          <w:rPr>
                            <w:rFonts w:ascii="宋体" w:hAnsi="宋体" w:cs="宋体" w:eastAsia="宋体" w:hint="default"/>
                            <w:sz w:val="15"/>
                            <w:szCs w:val="15"/>
                          </w:rPr>
                          <w:t>变更后</w:t>
                        </w:r>
                      </w:p>
                      <w:p>
                        <w:pPr>
                          <w:pStyle w:val="TableParagraph"/>
                          <w:spacing w:line="240" w:lineRule="auto"/>
                          <w:ind w:left="97" w:right="95"/>
                          <w:jc w:val="both"/>
                          <w:rPr>
                            <w:rFonts w:ascii="宋体" w:hAnsi="宋体" w:cs="宋体" w:eastAsia="宋体" w:hint="default"/>
                            <w:sz w:val="15"/>
                            <w:szCs w:val="15"/>
                          </w:rPr>
                        </w:pPr>
                        <w:r>
                          <w:rPr>
                            <w:rFonts w:ascii="宋体" w:hAnsi="宋体" w:cs="宋体" w:eastAsia="宋体" w:hint="default"/>
                            <w:sz w:val="15"/>
                            <w:szCs w:val="15"/>
                          </w:rPr>
                          <w:t>的项目 可行性 是否发 生重大 变化</w:t>
                        </w:r>
                      </w:p>
                    </w:tc>
                  </w:tr>
                  <w:tr>
                    <w:trPr>
                      <w:trHeight w:val="46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六地区连锁店项目</w:t>
                        </w:r>
                      </w:p>
                    </w:tc>
                    <w:tc>
                      <w:tcPr>
                        <w:tcW w:w="6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84"/>
                          <w:jc w:val="center"/>
                          <w:rPr>
                            <w:rFonts w:ascii="宋体" w:hAnsi="宋体" w:cs="宋体" w:eastAsia="宋体" w:hint="default"/>
                            <w:sz w:val="15"/>
                            <w:szCs w:val="15"/>
                          </w:rPr>
                        </w:pPr>
                        <w:r>
                          <w:rPr>
                            <w:rFonts w:ascii="宋体" w:hAnsi="宋体" w:cs="宋体" w:eastAsia="宋体" w:hint="default"/>
                            <w:sz w:val="15"/>
                            <w:szCs w:val="15"/>
                          </w:rPr>
                          <w:t>南京新 街口店 扩建项 目</w:t>
                        </w:r>
                      </w:p>
                    </w:tc>
                    <w:tc>
                      <w:tcPr>
                        <w:tcW w:w="656"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5" w:right="0"/>
                          <w:jc w:val="left"/>
                          <w:rPr>
                            <w:rFonts w:ascii="宋体" w:hAnsi="宋体" w:cs="宋体" w:eastAsia="宋体" w:hint="default"/>
                            <w:sz w:val="15"/>
                            <w:szCs w:val="15"/>
                          </w:rPr>
                        </w:pPr>
                        <w:r>
                          <w:rPr>
                            <w:rFonts w:ascii="宋体" w:hAnsi="宋体" w:cs="宋体" w:eastAsia="宋体" w:hint="default"/>
                            <w:sz w:val="15"/>
                            <w:szCs w:val="15"/>
                          </w:rPr>
                          <w:t>增资北京苏宁电器有限公司</w:t>
                        </w:r>
                      </w:p>
                    </w:tc>
                    <w:tc>
                      <w:tcPr>
                        <w:tcW w:w="632" w:type="dxa"/>
                        <w:vMerge/>
                        <w:tcBorders>
                          <w:left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11,000.0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11,000.0</w:t>
                        </w:r>
                        <w:r>
                          <w:rPr>
                            <w:rFonts w:ascii="宋体"/>
                            <w:sz w:val="15"/>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2005</w:t>
                        </w:r>
                        <w:r>
                          <w:rPr>
                            <w:rFonts w:ascii="宋体"/>
                            <w:sz w:val="15"/>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sz w:val="15"/>
                          </w:rPr>
                          <w:t>(73.7)</w:t>
                        </w:r>
                        <w:r>
                          <w:rPr>
                            <w:rFonts w:ascii="宋体"/>
                            <w:sz w:val="15"/>
                          </w:rPr>
                        </w:r>
                      </w:p>
                    </w:tc>
                    <w:tc>
                      <w:tcPr>
                        <w:tcW w:w="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196" w:lineRule="exact"/>
                          <w:ind w:left="9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196" w:lineRule="exact"/>
                          <w:ind w:left="38"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5" w:right="0"/>
                          <w:jc w:val="left"/>
                          <w:rPr>
                            <w:rFonts w:ascii="宋体" w:hAnsi="宋体" w:cs="宋体" w:eastAsia="宋体" w:hint="default"/>
                            <w:sz w:val="15"/>
                            <w:szCs w:val="15"/>
                          </w:rPr>
                        </w:pPr>
                        <w:r>
                          <w:rPr>
                            <w:rFonts w:ascii="宋体" w:hAnsi="宋体" w:cs="宋体" w:eastAsia="宋体" w:hint="default"/>
                            <w:sz w:val="15"/>
                            <w:szCs w:val="15"/>
                          </w:rPr>
                          <w:t>增资上海苏宁电器有限公司</w:t>
                        </w:r>
                      </w:p>
                    </w:tc>
                    <w:tc>
                      <w:tcPr>
                        <w:tcW w:w="632" w:type="dxa"/>
                        <w:vMerge/>
                        <w:tcBorders>
                          <w:left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19,800.0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19,800.0</w:t>
                        </w:r>
                        <w:r>
                          <w:rPr>
                            <w:rFonts w:ascii="宋体"/>
                            <w:sz w:val="15"/>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19,800.0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2006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5"/>
                            <w:szCs w:val="15"/>
                          </w:rPr>
                        </w:pPr>
                        <w:r>
                          <w:rPr>
                            <w:rFonts w:ascii="宋体"/>
                            <w:spacing w:val="-1"/>
                            <w:sz w:val="15"/>
                          </w:rPr>
                          <w:t>3,228.2</w:t>
                        </w:r>
                      </w:p>
                    </w:tc>
                    <w:tc>
                      <w:tcPr>
                        <w:tcW w:w="649" w:type="dxa"/>
                        <w:vMerge/>
                        <w:tcBorders>
                          <w:left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5" w:right="0"/>
                          <w:jc w:val="left"/>
                          <w:rPr>
                            <w:rFonts w:ascii="宋体" w:hAnsi="宋体" w:cs="宋体" w:eastAsia="宋体" w:hint="default"/>
                            <w:sz w:val="15"/>
                            <w:szCs w:val="15"/>
                          </w:rPr>
                        </w:pPr>
                        <w:r>
                          <w:rPr>
                            <w:rFonts w:ascii="宋体" w:hAnsi="宋体" w:cs="宋体" w:eastAsia="宋体" w:hint="default"/>
                            <w:sz w:val="15"/>
                            <w:szCs w:val="15"/>
                          </w:rPr>
                          <w:t>增资武汉苏宁电器有限公司</w:t>
                        </w:r>
                      </w:p>
                    </w:tc>
                    <w:tc>
                      <w:tcPr>
                        <w:tcW w:w="632" w:type="dxa"/>
                        <w:vMerge/>
                        <w:tcBorders>
                          <w:left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19,800.0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19,800.0</w:t>
                        </w:r>
                        <w:r>
                          <w:rPr>
                            <w:rFonts w:ascii="宋体"/>
                            <w:sz w:val="15"/>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19,800.0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2007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5"/>
                            <w:szCs w:val="15"/>
                          </w:rPr>
                        </w:pPr>
                        <w:r>
                          <w:rPr>
                            <w:rFonts w:ascii="宋体"/>
                            <w:spacing w:val="-1"/>
                            <w:sz w:val="15"/>
                          </w:rPr>
                          <w:t>3,922.8</w:t>
                        </w:r>
                      </w:p>
                    </w:tc>
                    <w:tc>
                      <w:tcPr>
                        <w:tcW w:w="649" w:type="dxa"/>
                        <w:vMerge/>
                        <w:tcBorders>
                          <w:left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5" w:right="0"/>
                          <w:jc w:val="left"/>
                          <w:rPr>
                            <w:rFonts w:ascii="宋体" w:hAnsi="宋体" w:cs="宋体" w:eastAsia="宋体" w:hint="default"/>
                            <w:sz w:val="15"/>
                            <w:szCs w:val="15"/>
                          </w:rPr>
                        </w:pPr>
                        <w:r>
                          <w:rPr>
                            <w:rFonts w:ascii="宋体" w:hAnsi="宋体" w:cs="宋体" w:eastAsia="宋体" w:hint="default"/>
                            <w:sz w:val="15"/>
                            <w:szCs w:val="15"/>
                          </w:rPr>
                          <w:t>增资福建苏宁电器有限公司</w:t>
                        </w:r>
                      </w:p>
                    </w:tc>
                    <w:tc>
                      <w:tcPr>
                        <w:tcW w:w="632" w:type="dxa"/>
                        <w:vMerge/>
                        <w:tcBorders>
                          <w:left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24,300.0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24,300.0</w:t>
                        </w:r>
                        <w:r>
                          <w:rPr>
                            <w:rFonts w:ascii="宋体"/>
                            <w:sz w:val="15"/>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21,600.0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89%</w:t>
                        </w:r>
                        <w:r>
                          <w:rPr>
                            <w:rFonts w:ascii="宋体"/>
                            <w:sz w:val="15"/>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w w:val="95"/>
                            <w:sz w:val="15"/>
                          </w:rPr>
                          <w:t>2009</w:t>
                        </w:r>
                        <w:r>
                          <w:rPr>
                            <w:rFonts w:ascii="宋体"/>
                            <w:w w:val="95"/>
                            <w:sz w:val="15"/>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sz w:val="15"/>
                          </w:rPr>
                          <w:t>5,003.9</w:t>
                        </w:r>
                        <w:r>
                          <w:rPr>
                            <w:rFonts w:ascii="宋体"/>
                            <w:sz w:val="15"/>
                          </w:rPr>
                        </w:r>
                      </w:p>
                    </w:tc>
                    <w:tc>
                      <w:tcPr>
                        <w:tcW w:w="649" w:type="dxa"/>
                        <w:vMerge/>
                        <w:tcBorders>
                          <w:left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1" w:right="65" w:hanging="826"/>
                          <w:jc w:val="left"/>
                          <w:rPr>
                            <w:rFonts w:ascii="宋体" w:hAnsi="宋体" w:cs="宋体" w:eastAsia="宋体" w:hint="default"/>
                            <w:sz w:val="15"/>
                            <w:szCs w:val="15"/>
                          </w:rPr>
                        </w:pPr>
                        <w:r>
                          <w:rPr>
                            <w:rFonts w:ascii="宋体" w:hAnsi="宋体" w:cs="宋体" w:eastAsia="宋体" w:hint="default"/>
                            <w:sz w:val="15"/>
                            <w:szCs w:val="15"/>
                          </w:rPr>
                          <w:t>增资深圳市苏宁电器有限公 司</w:t>
                        </w:r>
                      </w:p>
                    </w:tc>
                    <w:tc>
                      <w:tcPr>
                        <w:tcW w:w="632" w:type="dxa"/>
                        <w:vMerge/>
                        <w:tcBorders>
                          <w:left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5" w:right="0"/>
                          <w:jc w:val="center"/>
                          <w:rPr>
                            <w:rFonts w:ascii="宋体" w:hAnsi="宋体" w:cs="宋体" w:eastAsia="宋体" w:hint="default"/>
                            <w:sz w:val="15"/>
                            <w:szCs w:val="15"/>
                          </w:rPr>
                        </w:pPr>
                        <w:r>
                          <w:rPr>
                            <w:rFonts w:ascii="宋体"/>
                            <w:sz w:val="15"/>
                          </w:rPr>
                          <w:t>4,300.0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sz w:val="15"/>
                          </w:rPr>
                          <w:t>4,300.0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7" w:right="0"/>
                          <w:jc w:val="center"/>
                          <w:rPr>
                            <w:rFonts w:ascii="宋体" w:hAnsi="宋体" w:cs="宋体" w:eastAsia="宋体" w:hint="default"/>
                            <w:sz w:val="15"/>
                            <w:szCs w:val="15"/>
                          </w:rPr>
                        </w:pPr>
                        <w:r>
                          <w:rPr>
                            <w:rFonts w:ascii="宋体"/>
                            <w:sz w:val="15"/>
                          </w:rPr>
                          <w:t>4,300.0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15"/>
                            <w:szCs w:val="15"/>
                          </w:rPr>
                        </w:pPr>
                        <w:r>
                          <w:rPr>
                            <w:rFonts w:ascii="宋体"/>
                            <w:spacing w:val="-1"/>
                            <w:sz w:val="15"/>
                          </w:rPr>
                          <w:t>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15"/>
                            <w:szCs w:val="15"/>
                          </w:rPr>
                        </w:pPr>
                        <w:r>
                          <w:rPr>
                            <w:rFonts w:ascii="宋体"/>
                            <w:spacing w:val="-1"/>
                            <w:sz w:val="15"/>
                          </w:rPr>
                          <w:t>2006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15"/>
                            <w:szCs w:val="15"/>
                          </w:rPr>
                        </w:pPr>
                        <w:r>
                          <w:rPr>
                            <w:rFonts w:ascii="宋体"/>
                            <w:spacing w:val="-1"/>
                            <w:sz w:val="15"/>
                          </w:rPr>
                          <w:t>10,225.9</w:t>
                        </w:r>
                      </w:p>
                    </w:tc>
                    <w:tc>
                      <w:tcPr>
                        <w:tcW w:w="649" w:type="dxa"/>
                        <w:vMerge/>
                        <w:tcBorders>
                          <w:left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4"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5" w:right="0"/>
                          <w:jc w:val="left"/>
                          <w:rPr>
                            <w:rFonts w:ascii="宋体" w:hAnsi="宋体" w:cs="宋体" w:eastAsia="宋体" w:hint="default"/>
                            <w:sz w:val="15"/>
                            <w:szCs w:val="15"/>
                          </w:rPr>
                        </w:pPr>
                        <w:r>
                          <w:rPr>
                            <w:rFonts w:ascii="宋体" w:hAnsi="宋体" w:cs="宋体" w:eastAsia="宋体" w:hint="default"/>
                            <w:sz w:val="15"/>
                            <w:szCs w:val="15"/>
                          </w:rPr>
                          <w:t>增资沈阳苏宁电器有限公司</w:t>
                        </w:r>
                      </w:p>
                    </w:tc>
                    <w:tc>
                      <w:tcPr>
                        <w:tcW w:w="632" w:type="dxa"/>
                        <w:vMerge/>
                        <w:tcBorders>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5"/>
                            <w:szCs w:val="15"/>
                          </w:rPr>
                        </w:pPr>
                        <w:r>
                          <w:rPr>
                            <w:rFonts w:ascii="宋体"/>
                            <w:sz w:val="15"/>
                          </w:rPr>
                          <w:t>19,800.0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19,800.0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5"/>
                            <w:szCs w:val="15"/>
                          </w:rPr>
                        </w:pPr>
                        <w:r>
                          <w:rPr>
                            <w:rFonts w:ascii="宋体"/>
                            <w:sz w:val="15"/>
                          </w:rPr>
                          <w:t>19,800.0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2006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sz w:val="15"/>
                          </w:rPr>
                          <w:t>353.7</w:t>
                        </w:r>
                      </w:p>
                    </w:tc>
                    <w:tc>
                      <w:tcPr>
                        <w:tcW w:w="649" w:type="dxa"/>
                        <w:vMerge/>
                        <w:tcBorders>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46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632"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99,000.0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pacing w:val="-1"/>
                            <w:sz w:val="15"/>
                          </w:rPr>
                          <w:t>99,000.0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宋体" w:hAnsi="宋体" w:cs="宋体" w:eastAsia="宋体" w:hint="default"/>
                            <w:sz w:val="15"/>
                            <w:szCs w:val="15"/>
                          </w:rPr>
                        </w:pPr>
                        <w:r>
                          <w:rPr>
                            <w:rFonts w:ascii="宋体"/>
                            <w:sz w:val="15"/>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sz w:val="15"/>
                          </w:rPr>
                          <w:t>96,300.0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宋体" w:hAnsi="宋体" w:cs="宋体" w:eastAsia="宋体" w:hint="default"/>
                            <w:sz w:val="15"/>
                            <w:szCs w:val="15"/>
                          </w:rPr>
                        </w:pPr>
                        <w:r>
                          <w:rPr>
                            <w:rFonts w:ascii="宋体"/>
                            <w:spacing w:val="-1"/>
                            <w:sz w:val="15"/>
                          </w:rPr>
                          <w:t>97%</w:t>
                        </w:r>
                      </w:p>
                    </w:tc>
                    <w:tc>
                      <w:tcPr>
                        <w:tcW w:w="6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5"/>
                            <w:szCs w:val="15"/>
                          </w:rPr>
                        </w:pPr>
                        <w:r>
                          <w:rPr>
                            <w:rFonts w:ascii="宋体"/>
                            <w:spacing w:val="-1"/>
                            <w:sz w:val="15"/>
                          </w:rPr>
                          <w:t>22,660.8</w:t>
                        </w:r>
                      </w:p>
                    </w:tc>
                    <w:tc>
                      <w:tcPr>
                        <w:tcW w:w="64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5" w:right="23" w:hanging="44"/>
                          <w:jc w:val="left"/>
                          <w:rPr>
                            <w:rFonts w:ascii="宋体" w:hAnsi="宋体" w:cs="宋体" w:eastAsia="宋体" w:hint="default"/>
                            <w:sz w:val="15"/>
                            <w:szCs w:val="15"/>
                          </w:rPr>
                        </w:pPr>
                        <w:r>
                          <w:rPr>
                            <w:rFonts w:ascii="宋体" w:hAnsi="宋体" w:cs="宋体" w:eastAsia="宋体" w:hint="default"/>
                            <w:spacing w:val="-5"/>
                            <w:sz w:val="15"/>
                            <w:szCs w:val="15"/>
                          </w:rPr>
                          <w:t>变更原因、决策程序及信息披</w:t>
                        </w:r>
                        <w:r>
                          <w:rPr>
                            <w:rFonts w:ascii="宋体" w:hAnsi="宋体" w:cs="宋体" w:eastAsia="宋体" w:hint="default"/>
                            <w:sz w:val="15"/>
                            <w:szCs w:val="15"/>
                          </w:rPr>
                          <w:t> 露情况说明（分具体项目）</w:t>
                        </w:r>
                      </w:p>
                    </w:tc>
                    <w:tc>
                      <w:tcPr>
                        <w:tcW w:w="67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pacing w:val="-2"/>
                            <w:sz w:val="15"/>
                            <w:szCs w:val="15"/>
                          </w:rPr>
                          <w:t>因南京新街口店扩建项目用地挂牌出让时其实际的出让面积、出让政策、规划用地性质等与原募集资金</w:t>
                        </w:r>
                      </w:p>
                      <w:p>
                        <w:pPr>
                          <w:pStyle w:val="TableParagraph"/>
                          <w:spacing w:line="240" w:lineRule="auto"/>
                          <w:ind w:left="22" w:right="20"/>
                          <w:jc w:val="left"/>
                          <w:rPr>
                            <w:rFonts w:ascii="宋体" w:hAnsi="宋体" w:cs="宋体" w:eastAsia="宋体" w:hint="default"/>
                            <w:sz w:val="15"/>
                            <w:szCs w:val="15"/>
                          </w:rPr>
                        </w:pPr>
                        <w:r>
                          <w:rPr>
                            <w:rFonts w:ascii="宋体" w:hAnsi="宋体" w:cs="宋体" w:eastAsia="宋体" w:hint="default"/>
                            <w:spacing w:val="-2"/>
                            <w:sz w:val="15"/>
                            <w:szCs w:val="15"/>
                          </w:rPr>
                          <w:t>项目规划相比发生了一定的变动，公司原计划拟与江苏苏宁电器集团有限公司联合进行南京新街口店扩</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4"/>
                            <w:sz w:val="15"/>
                            <w:szCs w:val="15"/>
                          </w:rPr>
                          <w:t>建项目的建设。但在实际操作过程中，考虑到联合实施项目建设会对公司运作的独立性造成一定的影响</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2"/>
                            <w:sz w:val="15"/>
                            <w:szCs w:val="15"/>
                          </w:rPr>
                          <w:t>同时对公司而言，项目建成周期长且项目管理、控制难度较大。鉴于上述情况，本着为投资者负责的态</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度，经公司第二届董事会第十七次会议、2005 年第二次临时股东大会审议通过，同意终止南京新街口</w:t>
                        </w:r>
                        <w:r>
                          <w:rPr>
                            <w:rFonts w:ascii="宋体" w:hAnsi="宋体" w:cs="宋体" w:eastAsia="宋体" w:hint="default"/>
                            <w:sz w:val="15"/>
                            <w:szCs w:val="15"/>
                          </w:rPr>
                          <w:t> </w:t>
                        </w:r>
                        <w:r>
                          <w:rPr>
                            <w:rFonts w:ascii="宋体" w:hAnsi="宋体" w:cs="宋体" w:eastAsia="宋体" w:hint="default"/>
                            <w:spacing w:val="-2"/>
                            <w:sz w:val="15"/>
                            <w:szCs w:val="15"/>
                          </w:rPr>
                          <w:t>店扩建项目。公司分别于</w:t>
                        </w:r>
                        <w:r>
                          <w:rPr>
                            <w:rFonts w:ascii="宋体" w:hAnsi="宋体" w:cs="宋体" w:eastAsia="宋体" w:hint="default"/>
                            <w:spacing w:val="-37"/>
                            <w:sz w:val="15"/>
                            <w:szCs w:val="15"/>
                          </w:rPr>
                          <w:t> </w:t>
                        </w:r>
                        <w:r>
                          <w:rPr>
                            <w:rFonts w:ascii="宋体" w:hAnsi="宋体" w:cs="宋体" w:eastAsia="宋体" w:hint="default"/>
                            <w:sz w:val="15"/>
                            <w:szCs w:val="15"/>
                          </w:rPr>
                          <w:t>2005</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宋体" w:hAnsi="宋体" w:cs="宋体" w:eastAsia="宋体" w:hint="default"/>
                            <w:sz w:val="15"/>
                            <w:szCs w:val="15"/>
                          </w:rPr>
                          <w:t>8</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30</w:t>
                        </w:r>
                        <w:r>
                          <w:rPr>
                            <w:rFonts w:ascii="宋体" w:hAnsi="宋体" w:cs="宋体" w:eastAsia="宋体" w:hint="default"/>
                            <w:spacing w:val="-37"/>
                            <w:sz w:val="15"/>
                            <w:szCs w:val="15"/>
                          </w:rPr>
                          <w:t> </w:t>
                        </w:r>
                        <w:r>
                          <w:rPr>
                            <w:rFonts w:ascii="宋体" w:hAnsi="宋体" w:cs="宋体" w:eastAsia="宋体" w:hint="default"/>
                            <w:spacing w:val="-3"/>
                            <w:sz w:val="15"/>
                            <w:szCs w:val="15"/>
                          </w:rPr>
                          <w:t>日，2005</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宋体" w:hAnsi="宋体" w:cs="宋体" w:eastAsia="宋体" w:hint="default"/>
                            <w:sz w:val="15"/>
                            <w:szCs w:val="15"/>
                          </w:rPr>
                          <w:t>9</w:t>
                        </w:r>
                        <w:r>
                          <w:rPr>
                            <w:rFonts w:ascii="宋体" w:hAnsi="宋体" w:cs="宋体" w:eastAsia="宋体" w:hint="default"/>
                            <w:spacing w:val="-37"/>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pacing w:val="-12"/>
                            <w:sz w:val="15"/>
                            <w:szCs w:val="15"/>
                          </w:rPr>
                          <w:t>日在巨潮资讯网，《证券时报》、《中国证券</w:t>
                        </w:r>
                        <w:r>
                          <w:rPr>
                            <w:rFonts w:ascii="宋体" w:hAnsi="宋体" w:cs="宋体" w:eastAsia="宋体" w:hint="default"/>
                            <w:sz w:val="15"/>
                            <w:szCs w:val="15"/>
                          </w:rPr>
                          <w:t> </w:t>
                        </w:r>
                        <w:r>
                          <w:rPr>
                            <w:rFonts w:ascii="宋体" w:hAnsi="宋体" w:cs="宋体" w:eastAsia="宋体" w:hint="default"/>
                            <w:spacing w:val="-8"/>
                            <w:sz w:val="15"/>
                            <w:szCs w:val="15"/>
                          </w:rPr>
                          <w:t>报》、《上海证券报》及《证券日报》刊登了《关于变更部分募集资金用途的公告》、《关于变更部分募集</w:t>
                        </w:r>
                        <w:r>
                          <w:rPr>
                            <w:rFonts w:ascii="宋体" w:hAnsi="宋体" w:cs="宋体" w:eastAsia="宋体" w:hint="default"/>
                            <w:sz w:val="15"/>
                            <w:szCs w:val="15"/>
                          </w:rPr>
                          <w:t> 资金用途的补充公告》</w:t>
                        </w:r>
                      </w:p>
                    </w:tc>
                  </w:tr>
                  <w:tr>
                    <w:trPr>
                      <w:trHeight w:val="106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65" w:firstLine="43"/>
                          <w:jc w:val="left"/>
                          <w:rPr>
                            <w:rFonts w:ascii="宋体" w:hAnsi="宋体" w:cs="宋体" w:eastAsia="宋体" w:hint="default"/>
                            <w:sz w:val="15"/>
                            <w:szCs w:val="15"/>
                          </w:rPr>
                        </w:pPr>
                        <w:r>
                          <w:rPr>
                            <w:rFonts w:ascii="宋体" w:hAnsi="宋体" w:cs="宋体" w:eastAsia="宋体" w:hint="default"/>
                            <w:sz w:val="15"/>
                            <w:szCs w:val="15"/>
                          </w:rPr>
                          <w:t>未达到计划进度或预计收益 的情况和原因（分具体项目</w:t>
                        </w:r>
                      </w:p>
                    </w:tc>
                    <w:tc>
                      <w:tcPr>
                        <w:tcW w:w="67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24"/>
                          <w:jc w:val="left"/>
                          <w:rPr>
                            <w:rFonts w:ascii="宋体" w:hAnsi="宋体" w:cs="宋体" w:eastAsia="宋体" w:hint="default"/>
                            <w:sz w:val="16"/>
                            <w:szCs w:val="16"/>
                          </w:rPr>
                        </w:pPr>
                        <w:r>
                          <w:rPr>
                            <w:rFonts w:ascii="宋体" w:hAnsi="宋体" w:cs="宋体" w:eastAsia="宋体" w:hint="default"/>
                            <w:spacing w:val="-1"/>
                            <w:sz w:val="16"/>
                            <w:szCs w:val="16"/>
                          </w:rPr>
                          <w:t>符合本公司连锁发展标准的优质店面资源相对稀缺，且商业地产价格上升较快，给本公司连锁店</w:t>
                        </w:r>
                        <w:r>
                          <w:rPr>
                            <w:rFonts w:ascii="宋体" w:hAnsi="宋体" w:cs="宋体" w:eastAsia="宋体" w:hint="default"/>
                            <w:w w:val="99"/>
                            <w:sz w:val="16"/>
                            <w:szCs w:val="16"/>
                          </w:rPr>
                          <w:t> </w:t>
                        </w:r>
                        <w:r>
                          <w:rPr>
                            <w:rFonts w:ascii="宋体" w:hAnsi="宋体" w:cs="宋体" w:eastAsia="宋体" w:hint="default"/>
                            <w:sz w:val="16"/>
                            <w:szCs w:val="16"/>
                          </w:rPr>
                          <w:t>发展的店面选址工作带来了一定的压力。本公司计划在</w:t>
                        </w:r>
                        <w:r>
                          <w:rPr>
                            <w:rFonts w:ascii="宋体" w:hAnsi="宋体" w:cs="宋体" w:eastAsia="宋体" w:hint="default"/>
                            <w:spacing w:val="-43"/>
                            <w:sz w:val="16"/>
                            <w:szCs w:val="16"/>
                          </w:rPr>
                          <w:t> </w:t>
                        </w: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年加大店面选址工作力度，尽快实</w:t>
                        </w:r>
                      </w:p>
                      <w:p>
                        <w:pPr>
                          <w:pStyle w:val="TableParagraph"/>
                          <w:spacing w:line="33" w:lineRule="exact"/>
                          <w:ind w:left="-120"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163" w:lineRule="exact"/>
                          <w:ind w:left="22" w:right="0"/>
                          <w:jc w:val="left"/>
                          <w:rPr>
                            <w:rFonts w:ascii="宋体" w:hAnsi="宋体" w:cs="宋体" w:eastAsia="宋体" w:hint="default"/>
                            <w:sz w:val="16"/>
                            <w:szCs w:val="16"/>
                          </w:rPr>
                        </w:pPr>
                        <w:r>
                          <w:rPr>
                            <w:rFonts w:ascii="宋体" w:hAnsi="宋体" w:cs="宋体" w:eastAsia="宋体" w:hint="default"/>
                            <w:sz w:val="16"/>
                            <w:szCs w:val="16"/>
                          </w:rPr>
                          <w:t>施完成六地区连锁店建设项目。</w:t>
                        </w:r>
                      </w:p>
                    </w:tc>
                  </w:tr>
                  <w:tr>
                    <w:trPr>
                      <w:trHeight w:val="620"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5" w:right="65" w:hanging="300"/>
                          <w:jc w:val="left"/>
                          <w:rPr>
                            <w:rFonts w:ascii="宋体" w:hAnsi="宋体" w:cs="宋体" w:eastAsia="宋体" w:hint="default"/>
                            <w:sz w:val="15"/>
                            <w:szCs w:val="15"/>
                          </w:rPr>
                        </w:pPr>
                        <w:r>
                          <w:rPr>
                            <w:rFonts w:ascii="宋体" w:hAnsi="宋体" w:cs="宋体" w:eastAsia="宋体" w:hint="default"/>
                            <w:sz w:val="15"/>
                            <w:szCs w:val="15"/>
                          </w:rPr>
                          <w:t>变更后的项目可行性发生重 大变化的情况说明</w:t>
                        </w:r>
                      </w:p>
                    </w:tc>
                    <w:tc>
                      <w:tcPr>
                        <w:tcW w:w="67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p>
              </w:txbxContent>
            </v:textbox>
            <w10:wrap type="none"/>
          </v:shape>
        </w:pict>
      </w: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343" w:lineRule="auto" w:before="35"/>
        <w:ind w:left="144" w:right="177"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：六地区连锁店建设项目尚未实施完毕，且只有一家连锁店经营年限达到了变更募集 </w:t>
      </w:r>
      <w:r>
        <w:rPr>
          <w:rFonts w:ascii="宋体" w:hAnsi="宋体" w:cs="宋体" w:eastAsia="宋体" w:hint="default"/>
          <w:spacing w:val="-4"/>
          <w:sz w:val="21"/>
          <w:szCs w:val="21"/>
        </w:rPr>
        <w:t>资金用途的补充公告的判定年限—正常年（开业后第三年），其余店面均在</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8"/>
          <w:sz w:val="21"/>
          <w:szCs w:val="21"/>
        </w:rPr>
        <w:t> </w:t>
      </w:r>
      <w:r>
        <w:rPr>
          <w:rFonts w:ascii="宋体" w:hAnsi="宋体" w:cs="宋体" w:eastAsia="宋体" w:hint="default"/>
          <w:spacing w:val="-1"/>
          <w:sz w:val="21"/>
          <w:szCs w:val="21"/>
        </w:rPr>
        <w:t>年之后开设，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经营未满三年。随着项目实施的推进，已开设连锁店进入成熟稳定期，经营效益逐步提高，该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项目效益情况将会进一步体现。</w:t>
      </w:r>
    </w:p>
    <w:p>
      <w:pPr>
        <w:spacing w:after="0" w:line="343" w:lineRule="auto"/>
        <w:jc w:val="both"/>
        <w:rPr>
          <w:rFonts w:ascii="宋体" w:hAnsi="宋体" w:cs="宋体" w:eastAsia="宋体" w:hint="default"/>
          <w:sz w:val="21"/>
          <w:szCs w:val="21"/>
        </w:rPr>
        <w:sectPr>
          <w:pgSz w:w="11910" w:h="16840"/>
          <w:pgMar w:header="826" w:footer="900" w:top="1100" w:bottom="1100" w:left="1500" w:right="1460"/>
        </w:sectPr>
      </w:pPr>
    </w:p>
    <w:p>
      <w:pPr>
        <w:pStyle w:val="BodyText"/>
        <w:tabs>
          <w:tab w:pos="1743" w:val="left" w:leader="none"/>
        </w:tabs>
        <w:spacing w:line="240" w:lineRule="auto" w:before="106"/>
        <w:ind w:left="1324" w:right="741"/>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2006 </w:t>
      </w:r>
      <w:r>
        <w:rPr/>
        <w:t>年非公开发行股票募集资金使用情况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39"/>
        <w:gridCol w:w="540"/>
        <w:gridCol w:w="900"/>
        <w:gridCol w:w="900"/>
        <w:gridCol w:w="900"/>
        <w:gridCol w:w="900"/>
        <w:gridCol w:w="900"/>
        <w:gridCol w:w="1080"/>
        <w:gridCol w:w="720"/>
        <w:gridCol w:w="551"/>
        <w:gridCol w:w="900"/>
        <w:gridCol w:w="709"/>
        <w:gridCol w:w="541"/>
      </w:tblGrid>
      <w:tr>
        <w:trPr>
          <w:trHeight w:val="300" w:hRule="exact"/>
        </w:trPr>
        <w:tc>
          <w:tcPr>
            <w:tcW w:w="2879"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0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11"/>
              <w:ind w:left="893" w:right="0"/>
              <w:jc w:val="left"/>
              <w:rPr>
                <w:rFonts w:ascii="Arial" w:hAnsi="Arial" w:cs="Arial" w:eastAsia="Arial" w:hint="default"/>
                <w:sz w:val="15"/>
                <w:szCs w:val="15"/>
              </w:rPr>
            </w:pPr>
            <w:r>
              <w:rPr>
                <w:rFonts w:ascii="Arial"/>
                <w:sz w:val="15"/>
              </w:rPr>
              <w:t>1,195,020.0</w:t>
            </w:r>
          </w:p>
        </w:tc>
        <w:tc>
          <w:tcPr>
            <w:tcW w:w="4151"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245"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50"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55"/>
              <w:ind w:left="469" w:right="0"/>
              <w:jc w:val="left"/>
              <w:rPr>
                <w:rFonts w:ascii="Arial" w:hAnsi="Arial" w:cs="Arial" w:eastAsia="Arial" w:hint="default"/>
                <w:sz w:val="15"/>
                <w:szCs w:val="15"/>
              </w:rPr>
            </w:pPr>
            <w:r>
              <w:rPr>
                <w:rFonts w:ascii="Arial"/>
                <w:sz w:val="15"/>
              </w:rPr>
              <w:t>135,350.3</w:t>
            </w:r>
          </w:p>
        </w:tc>
      </w:tr>
      <w:tr>
        <w:trPr>
          <w:trHeight w:val="295" w:hRule="exact"/>
        </w:trPr>
        <w:tc>
          <w:tcPr>
            <w:tcW w:w="2879"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60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w w:val="95"/>
                <w:sz w:val="15"/>
              </w:rPr>
              <w:t>0.0</w:t>
            </w:r>
            <w:r>
              <w:rPr>
                <w:rFonts w:ascii="Arial"/>
                <w:sz w:val="15"/>
              </w:rPr>
            </w:r>
          </w:p>
        </w:tc>
        <w:tc>
          <w:tcPr>
            <w:tcW w:w="4151" w:type="dxa"/>
            <w:gridSpan w:val="5"/>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45"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50" w:type="dxa"/>
            <w:gridSpan w:val="2"/>
            <w:vMerge w:val="restart"/>
            <w:tcBorders>
              <w:top w:val="single" w:sz="4" w:space="0" w:color="000000"/>
              <w:left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44" w:right="0"/>
              <w:jc w:val="left"/>
              <w:rPr>
                <w:rFonts w:ascii="Arial" w:hAnsi="Arial" w:cs="Arial" w:eastAsia="Arial" w:hint="default"/>
                <w:sz w:val="15"/>
                <w:szCs w:val="15"/>
              </w:rPr>
            </w:pPr>
            <w:r>
              <w:rPr>
                <w:rFonts w:ascii="Arial"/>
                <w:sz w:val="15"/>
              </w:rPr>
              <w:t>1,107,304.0</w:t>
            </w:r>
          </w:p>
        </w:tc>
      </w:tr>
      <w:tr>
        <w:trPr>
          <w:trHeight w:val="295" w:hRule="exact"/>
        </w:trPr>
        <w:tc>
          <w:tcPr>
            <w:tcW w:w="2879"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45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w:hAnsi="Arial" w:cs="Arial" w:eastAsia="Arial" w:hint="default"/>
                <w:sz w:val="15"/>
                <w:szCs w:val="15"/>
              </w:rPr>
            </w:pPr>
            <w:r>
              <w:rPr>
                <w:rFonts w:ascii="Arial"/>
                <w:w w:val="95"/>
                <w:sz w:val="15"/>
              </w:rPr>
              <w:t>0%</w:t>
            </w:r>
            <w:r>
              <w:rPr>
                <w:rFonts w:ascii="Arial"/>
                <w:sz w:val="15"/>
              </w:rPr>
            </w:r>
          </w:p>
        </w:tc>
        <w:tc>
          <w:tcPr>
            <w:tcW w:w="4151" w:type="dxa"/>
            <w:gridSpan w:val="5"/>
            <w:vMerge/>
            <w:tcBorders>
              <w:left w:val="single" w:sz="4" w:space="0" w:color="000000"/>
              <w:bottom w:val="single" w:sz="4" w:space="0" w:color="000000"/>
              <w:right w:val="single" w:sz="4" w:space="0" w:color="000000"/>
            </w:tcBorders>
          </w:tcPr>
          <w:p>
            <w:pPr/>
          </w:p>
        </w:tc>
        <w:tc>
          <w:tcPr>
            <w:tcW w:w="1250" w:type="dxa"/>
            <w:gridSpan w:val="2"/>
            <w:vMerge/>
            <w:tcBorders>
              <w:left w:val="single" w:sz="4" w:space="0" w:color="000000"/>
              <w:bottom w:val="single" w:sz="4" w:space="0" w:color="000000"/>
              <w:right w:val="single" w:sz="8" w:space="0" w:color="000000"/>
            </w:tcBorders>
          </w:tcPr>
          <w:p>
            <w:pPr/>
          </w:p>
        </w:tc>
      </w:tr>
      <w:tr>
        <w:trPr>
          <w:trHeight w:val="1375"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9" w:right="113"/>
              <w:jc w:val="both"/>
              <w:rPr>
                <w:rFonts w:ascii="宋体" w:hAnsi="宋体" w:cs="宋体" w:eastAsia="宋体" w:hint="default"/>
                <w:sz w:val="15"/>
                <w:szCs w:val="15"/>
              </w:rPr>
            </w:pPr>
            <w:r>
              <w:rPr>
                <w:rFonts w:ascii="宋体" w:hAnsi="宋体" w:cs="宋体" w:eastAsia="宋体" w:hint="default"/>
                <w:sz w:val="15"/>
                <w:szCs w:val="15"/>
              </w:rPr>
              <w:t>承诺 投资 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 w:right="-5" w:firstLine="43"/>
              <w:jc w:val="both"/>
              <w:rPr>
                <w:rFonts w:ascii="宋体" w:hAnsi="宋体" w:cs="宋体" w:eastAsia="宋体" w:hint="default"/>
                <w:sz w:val="15"/>
                <w:szCs w:val="15"/>
              </w:rPr>
            </w:pPr>
            <w:r>
              <w:rPr>
                <w:rFonts w:ascii="宋体" w:hAnsi="宋体" w:cs="宋体" w:eastAsia="宋体" w:hint="default"/>
                <w:sz w:val="15"/>
                <w:szCs w:val="15"/>
              </w:rPr>
              <w:t>是否已 变更项 </w:t>
            </w:r>
            <w:r>
              <w:rPr>
                <w:rFonts w:ascii="宋体" w:hAnsi="宋体" w:cs="宋体" w:eastAsia="宋体" w:hint="default"/>
                <w:spacing w:val="-16"/>
                <w:sz w:val="15"/>
                <w:szCs w:val="15"/>
              </w:rPr>
              <w:t>目（含部</w:t>
            </w:r>
            <w:r>
              <w:rPr>
                <w:rFonts w:ascii="宋体" w:hAnsi="宋体" w:cs="宋体" w:eastAsia="宋体" w:hint="default"/>
                <w:sz w:val="15"/>
                <w:szCs w:val="15"/>
              </w:rPr>
              <w:t> 分变更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5" w:right="143"/>
              <w:jc w:val="left"/>
              <w:rPr>
                <w:rFonts w:ascii="宋体" w:hAnsi="宋体" w:cs="宋体" w:eastAsia="宋体" w:hint="default"/>
                <w:sz w:val="15"/>
                <w:szCs w:val="15"/>
              </w:rPr>
            </w:pPr>
            <w:r>
              <w:rPr>
                <w:rFonts w:ascii="宋体" w:hAnsi="宋体" w:cs="宋体" w:eastAsia="宋体" w:hint="default"/>
                <w:sz w:val="15"/>
                <w:szCs w:val="15"/>
              </w:rPr>
              <w:t>募集资金 承诺投资</w:t>
            </w:r>
          </w:p>
          <w:p>
            <w:pPr>
              <w:pStyle w:val="TableParagraph"/>
              <w:tabs>
                <w:tab w:pos="295" w:val="left" w:leader="none"/>
              </w:tabs>
              <w:spacing w:line="296" w:lineRule="exact"/>
              <w:ind w:left="-93" w:right="0"/>
              <w:jc w:val="left"/>
              <w:rPr>
                <w:rFonts w:ascii="宋体" w:hAnsi="宋体" w:cs="宋体" w:eastAsia="宋体" w:hint="default"/>
                <w:sz w:val="15"/>
                <w:szCs w:val="15"/>
              </w:rPr>
            </w:pPr>
            <w:r>
              <w:rPr>
                <w:rFonts w:ascii="宋体" w:hAnsi="宋体" w:cs="宋体" w:eastAsia="宋体" w:hint="default"/>
                <w:position w:val="-9"/>
                <w:sz w:val="15"/>
                <w:szCs w:val="15"/>
              </w:rPr>
              <w:t>）</w:t>
              <w:tab/>
            </w:r>
            <w:r>
              <w:rPr>
                <w:rFonts w:ascii="宋体" w:hAnsi="宋体" w:cs="宋体" w:eastAsia="宋体" w:hint="default"/>
                <w:sz w:val="15"/>
                <w:szCs w:val="15"/>
              </w:rPr>
              <w:t>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9" w:right="143" w:hanging="75"/>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5" w:right="143"/>
              <w:jc w:val="both"/>
              <w:rPr>
                <w:rFonts w:ascii="Arial" w:hAnsi="Arial" w:cs="Arial" w:eastAsia="Arial" w:hint="default"/>
                <w:sz w:val="15"/>
                <w:szCs w:val="15"/>
              </w:rPr>
            </w:pPr>
            <w:r>
              <w:rPr>
                <w:rFonts w:ascii="宋体" w:hAnsi="宋体" w:cs="宋体" w:eastAsia="宋体" w:hint="default"/>
                <w:sz w:val="15"/>
                <w:szCs w:val="15"/>
              </w:rPr>
              <w:t>截至期末 承诺投入 金额</w:t>
            </w:r>
            <w:r>
              <w:rPr>
                <w:rFonts w:ascii="Arial" w:hAnsi="Arial" w:cs="Arial" w:eastAsia="Arial"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9" w:right="143" w:hanging="75"/>
              <w:jc w:val="left"/>
              <w:rPr>
                <w:rFonts w:ascii="宋体" w:hAnsi="宋体" w:cs="宋体" w:eastAsia="宋体" w:hint="default"/>
                <w:sz w:val="15"/>
                <w:szCs w:val="15"/>
              </w:rPr>
            </w:pPr>
            <w:r>
              <w:rPr>
                <w:rFonts w:ascii="宋体" w:hAnsi="宋体" w:cs="宋体" w:eastAsia="宋体" w:hint="default"/>
                <w:sz w:val="15"/>
                <w:szCs w:val="15"/>
              </w:rPr>
              <w:t>本年度投 入金额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5" w:right="143"/>
              <w:jc w:val="both"/>
              <w:rPr>
                <w:rFonts w:ascii="Arial" w:hAnsi="Arial" w:cs="Arial" w:eastAsia="Arial" w:hint="default"/>
                <w:sz w:val="15"/>
                <w:szCs w:val="15"/>
              </w:rPr>
            </w:pPr>
            <w:r>
              <w:rPr>
                <w:rFonts w:ascii="宋体" w:hAnsi="宋体" w:cs="宋体" w:eastAsia="宋体" w:hint="default"/>
                <w:sz w:val="15"/>
                <w:szCs w:val="15"/>
              </w:rPr>
              <w:t>截至期末 累计投入 金额</w:t>
            </w:r>
            <w:r>
              <w:rPr>
                <w:rFonts w:ascii="Arial" w:hAnsi="Arial" w:cs="Arial" w:eastAsia="Arial" w:hint="default"/>
                <w:sz w:val="15"/>
                <w:szCs w:val="15"/>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4" w:lineRule="auto"/>
              <w:ind w:left="159" w:right="158"/>
              <w:jc w:val="both"/>
              <w:rPr>
                <w:rFonts w:ascii="Arial" w:hAnsi="Arial" w:cs="Arial" w:eastAsia="Arial" w:hint="default"/>
                <w:sz w:val="15"/>
                <w:szCs w:val="15"/>
              </w:rPr>
            </w:pPr>
            <w:r>
              <w:rPr>
                <w:rFonts w:ascii="宋体" w:hAnsi="宋体" w:cs="宋体" w:eastAsia="宋体" w:hint="default"/>
                <w:sz w:val="15"/>
                <w:szCs w:val="15"/>
              </w:rPr>
              <w:t>截至期末累 计投入金额 与承诺投入 金额的差额 </w:t>
            </w:r>
            <w:r>
              <w:rPr>
                <w:rFonts w:ascii="Arial" w:hAnsi="Arial" w:cs="Arial" w:eastAsia="Arial" w:hint="default"/>
                <w:sz w:val="15"/>
                <w:szCs w:val="15"/>
              </w:rPr>
              <w:t>(3)=(2)-(1)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128"/>
              <w:jc w:val="both"/>
              <w:rPr>
                <w:rFonts w:ascii="宋体" w:hAnsi="宋体" w:cs="宋体" w:eastAsia="宋体" w:hint="default"/>
                <w:sz w:val="15"/>
                <w:szCs w:val="15"/>
              </w:rPr>
            </w:pPr>
            <w:r>
              <w:rPr>
                <w:rFonts w:ascii="宋体" w:hAnsi="宋体" w:cs="宋体" w:eastAsia="宋体" w:hint="default"/>
                <w:sz w:val="15"/>
                <w:szCs w:val="15"/>
              </w:rPr>
              <w:t>截至期 末投入 进度</w:t>
            </w:r>
          </w:p>
          <w:p>
            <w:pPr>
              <w:pStyle w:val="TableParagraph"/>
              <w:spacing w:line="247" w:lineRule="auto"/>
              <w:ind w:left="106" w:right="104" w:hanging="2"/>
              <w:jc w:val="center"/>
              <w:rPr>
                <w:rFonts w:ascii="Arial" w:hAnsi="Arial" w:cs="Arial" w:eastAsia="Arial" w:hint="default"/>
                <w:sz w:val="15"/>
                <w:szCs w:val="15"/>
              </w:rPr>
            </w:pPr>
            <w:r>
              <w:rPr>
                <w:rFonts w:ascii="宋体" w:hAnsi="宋体" w:cs="宋体" w:eastAsia="宋体" w:hint="default"/>
                <w:sz w:val="15"/>
                <w:szCs w:val="15"/>
              </w:rPr>
              <w:t>（</w:t>
            </w:r>
            <w:r>
              <w:rPr>
                <w:rFonts w:ascii="Arial" w:hAnsi="Arial" w:cs="Arial" w:eastAsia="Arial" w:hint="default"/>
                <w:sz w:val="15"/>
                <w:szCs w:val="15"/>
              </w:rPr>
              <w:t>%</w:t>
            </w:r>
            <w:r>
              <w:rPr>
                <w:rFonts w:ascii="宋体" w:hAnsi="宋体" w:cs="宋体" w:eastAsia="宋体" w:hint="default"/>
                <w:sz w:val="15"/>
                <w:szCs w:val="15"/>
              </w:rPr>
              <w:t>） </w:t>
            </w:r>
            <w:r>
              <w:rPr>
                <w:rFonts w:ascii="Arial" w:hAnsi="Arial" w:cs="Arial" w:eastAsia="Arial" w:hint="default"/>
                <w:sz w:val="15"/>
                <w:szCs w:val="15"/>
              </w:rPr>
              <w:t>(4)=(2)/</w:t>
            </w:r>
            <w:r>
              <w:rPr>
                <w:rFonts w:ascii="Arial" w:hAnsi="Arial" w:cs="Arial" w:eastAsia="Arial" w:hint="default"/>
                <w:w w:val="100"/>
                <w:sz w:val="15"/>
                <w:szCs w:val="15"/>
              </w:rPr>
              <w:t> </w:t>
            </w:r>
            <w:r>
              <w:rPr>
                <w:rFonts w:ascii="Arial" w:hAnsi="Arial" w:cs="Arial" w:eastAsia="Arial" w:hint="default"/>
                <w:sz w:val="15"/>
                <w:szCs w:val="15"/>
              </w:rPr>
              <w:t>(1)</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5"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5" w:right="125"/>
              <w:jc w:val="both"/>
              <w:rPr>
                <w:rFonts w:ascii="宋体" w:hAnsi="宋体" w:cs="宋体" w:eastAsia="宋体" w:hint="default"/>
                <w:sz w:val="15"/>
                <w:szCs w:val="15"/>
              </w:rPr>
            </w:pPr>
            <w:r>
              <w:rPr>
                <w:rFonts w:ascii="宋体" w:hAnsi="宋体" w:cs="宋体" w:eastAsia="宋体" w:hint="default"/>
                <w:sz w:val="15"/>
                <w:szCs w:val="15"/>
              </w:rPr>
              <w:t>达到 预定 可使 用状 态日 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5" w:right="72" w:hanging="150"/>
              <w:jc w:val="left"/>
              <w:rPr>
                <w:rFonts w:ascii="宋体" w:hAnsi="宋体" w:cs="宋体" w:eastAsia="宋体" w:hint="default"/>
                <w:sz w:val="15"/>
                <w:szCs w:val="15"/>
              </w:rPr>
            </w:pPr>
            <w:r>
              <w:rPr>
                <w:rFonts w:ascii="宋体" w:hAnsi="宋体" w:cs="宋体" w:eastAsia="宋体" w:hint="default"/>
                <w:sz w:val="15"/>
                <w:szCs w:val="15"/>
              </w:rPr>
              <w:t>本年度实现 的效益</w:t>
            </w:r>
          </w:p>
          <w:p>
            <w:pPr>
              <w:pStyle w:val="TableParagraph"/>
              <w:spacing w:line="196" w:lineRule="exact"/>
              <w:ind w:left="-9" w:right="-2"/>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122"/>
              <w:jc w:val="both"/>
              <w:rPr>
                <w:rFonts w:ascii="宋体" w:hAnsi="宋体" w:cs="宋体" w:eastAsia="宋体" w:hint="default"/>
                <w:sz w:val="15"/>
                <w:szCs w:val="15"/>
              </w:rPr>
            </w:pPr>
            <w:r>
              <w:rPr>
                <w:rFonts w:ascii="宋体" w:hAnsi="宋体" w:cs="宋体" w:eastAsia="宋体" w:hint="default"/>
                <w:sz w:val="15"/>
                <w:szCs w:val="15"/>
              </w:rPr>
              <w:t>是否达 到预计 效益</w:t>
            </w:r>
          </w:p>
        </w:tc>
        <w:tc>
          <w:tcPr>
            <w:tcW w:w="541" w:type="dxa"/>
            <w:tcBorders>
              <w:top w:val="single" w:sz="4" w:space="0" w:color="000000"/>
              <w:left w:val="single" w:sz="4" w:space="0" w:color="000000"/>
              <w:bottom w:val="single" w:sz="4" w:space="0" w:color="000000"/>
              <w:right w:val="single" w:sz="8" w:space="0" w:color="000000"/>
            </w:tcBorders>
          </w:tcPr>
          <w:p>
            <w:pPr>
              <w:pStyle w:val="TableParagraph"/>
              <w:spacing w:line="170" w:lineRule="exact"/>
              <w:ind w:left="116"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6" w:right="108"/>
              <w:jc w:val="both"/>
              <w:rPr>
                <w:rFonts w:ascii="宋体" w:hAnsi="宋体" w:cs="宋体" w:eastAsia="宋体" w:hint="default"/>
                <w:sz w:val="15"/>
                <w:szCs w:val="15"/>
              </w:rPr>
            </w:pPr>
            <w:r>
              <w:rPr>
                <w:rFonts w:ascii="宋体" w:hAnsi="宋体" w:cs="宋体" w:eastAsia="宋体" w:hint="default"/>
                <w:sz w:val="15"/>
                <w:szCs w:val="15"/>
              </w:rPr>
              <w:t>可行 性是 否发 生重 大变 化</w:t>
            </w:r>
          </w:p>
        </w:tc>
      </w:tr>
      <w:tr>
        <w:trPr>
          <w:trHeight w:val="985"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both"/>
              <w:rPr>
                <w:rFonts w:ascii="宋体" w:hAnsi="宋体" w:cs="宋体" w:eastAsia="宋体" w:hint="default"/>
                <w:sz w:val="15"/>
                <w:szCs w:val="15"/>
              </w:rPr>
            </w:pPr>
            <w:r>
              <w:rPr>
                <w:rFonts w:ascii="宋体"/>
                <w:sz w:val="15"/>
              </w:rPr>
              <w:t>100</w:t>
            </w:r>
          </w:p>
          <w:p>
            <w:pPr>
              <w:pStyle w:val="TableParagraph"/>
              <w:spacing w:line="240" w:lineRule="auto"/>
              <w:ind w:left="98" w:right="78"/>
              <w:jc w:val="both"/>
              <w:rPr>
                <w:rFonts w:ascii="宋体" w:hAnsi="宋体" w:cs="宋体" w:eastAsia="宋体" w:hint="default"/>
                <w:sz w:val="15"/>
                <w:szCs w:val="15"/>
              </w:rPr>
            </w:pPr>
            <w:r>
              <w:rPr>
                <w:rFonts w:ascii="宋体" w:hAnsi="宋体" w:cs="宋体" w:eastAsia="宋体" w:hint="default"/>
                <w:spacing w:val="11"/>
                <w:sz w:val="15"/>
                <w:szCs w:val="15"/>
              </w:rPr>
              <w:t>家连</w:t>
            </w:r>
            <w:r>
              <w:rPr>
                <w:rFonts w:ascii="宋体" w:hAnsi="宋体" w:cs="宋体" w:eastAsia="宋体" w:hint="default"/>
                <w:spacing w:val="-53"/>
                <w:sz w:val="15"/>
                <w:szCs w:val="15"/>
              </w:rPr>
              <w:t> </w:t>
            </w:r>
            <w:r>
              <w:rPr>
                <w:rFonts w:ascii="宋体" w:hAnsi="宋体" w:cs="宋体" w:eastAsia="宋体" w:hint="default"/>
                <w:spacing w:val="11"/>
                <w:sz w:val="15"/>
                <w:szCs w:val="15"/>
              </w:rPr>
              <w:t>锁店</w:t>
            </w:r>
            <w:r>
              <w:rPr>
                <w:rFonts w:ascii="宋体" w:hAnsi="宋体" w:cs="宋体" w:eastAsia="宋体" w:hint="default"/>
                <w:spacing w:val="-53"/>
                <w:sz w:val="15"/>
                <w:szCs w:val="15"/>
              </w:rPr>
              <w:t> </w:t>
            </w:r>
            <w:r>
              <w:rPr>
                <w:rFonts w:ascii="宋体" w:hAnsi="宋体" w:cs="宋体" w:eastAsia="宋体" w:hint="default"/>
                <w:spacing w:val="11"/>
                <w:sz w:val="15"/>
                <w:szCs w:val="15"/>
              </w:rPr>
              <w:t>发展</w:t>
            </w:r>
            <w:r>
              <w:rPr>
                <w:rFonts w:ascii="宋体" w:hAnsi="宋体" w:cs="宋体" w:eastAsia="宋体" w:hint="default"/>
                <w:spacing w:val="-5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Arial" w:hAnsi="Arial" w:cs="Arial" w:eastAsia="Arial" w:hint="default"/>
                <w:sz w:val="15"/>
                <w:szCs w:val="15"/>
              </w:rPr>
            </w:pPr>
            <w:r>
              <w:rPr>
                <w:rFonts w:ascii="Arial"/>
                <w:spacing w:val="-1"/>
                <w:sz w:val="15"/>
              </w:rPr>
              <w:t>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8" w:right="0"/>
              <w:jc w:val="left"/>
              <w:rPr>
                <w:rFonts w:ascii="Arial" w:hAnsi="Arial" w:cs="Arial" w:eastAsia="Arial" w:hint="default"/>
                <w:sz w:val="15"/>
                <w:szCs w:val="15"/>
              </w:rPr>
            </w:pPr>
            <w:r>
              <w:rPr>
                <w:rFonts w:ascii="Arial"/>
                <w:sz w:val="15"/>
              </w:rPr>
              <w:t>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8" w:right="0"/>
              <w:jc w:val="left"/>
              <w:rPr>
                <w:rFonts w:ascii="Arial" w:hAnsi="Arial" w:cs="Arial" w:eastAsia="Arial" w:hint="default"/>
                <w:sz w:val="15"/>
                <w:szCs w:val="15"/>
              </w:rPr>
            </w:pPr>
            <w:r>
              <w:rPr>
                <w:rFonts w:ascii="Arial"/>
                <w:sz w:val="15"/>
              </w:rPr>
              <w:t>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0" w:right="0"/>
              <w:jc w:val="left"/>
              <w:rPr>
                <w:rFonts w:ascii="Arial" w:hAnsi="Arial" w:cs="Arial" w:eastAsia="Arial" w:hint="default"/>
                <w:sz w:val="15"/>
                <w:szCs w:val="15"/>
              </w:rPr>
            </w:pPr>
            <w:r>
              <w:rPr>
                <w:rFonts w:ascii="Arial"/>
                <w:sz w:val="15"/>
              </w:rPr>
              <w:t>110,437.3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0" w:right="0"/>
              <w:jc w:val="left"/>
              <w:rPr>
                <w:rFonts w:ascii="Arial" w:hAnsi="Arial" w:cs="Arial" w:eastAsia="Arial" w:hint="default"/>
                <w:sz w:val="15"/>
                <w:szCs w:val="15"/>
              </w:rPr>
            </w:pPr>
            <w:r>
              <w:rPr>
                <w:rFonts w:ascii="Arial"/>
                <w:sz w:val="15"/>
              </w:rPr>
              <w:t>483,141.2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4" w:right="0"/>
              <w:jc w:val="left"/>
              <w:rPr>
                <w:rFonts w:ascii="Arial" w:hAnsi="Arial" w:cs="Arial" w:eastAsia="Arial" w:hint="default"/>
                <w:sz w:val="15"/>
                <w:szCs w:val="15"/>
              </w:rPr>
            </w:pPr>
            <w:r>
              <w:rPr>
                <w:rFonts w:ascii="Arial"/>
                <w:sz w:val="15"/>
              </w:rPr>
              <w:t>(16,858.8)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05" w:right="0"/>
              <w:jc w:val="left"/>
              <w:rPr>
                <w:rFonts w:ascii="Arial" w:hAnsi="Arial" w:cs="Arial" w:eastAsia="Arial" w:hint="default"/>
                <w:sz w:val="15"/>
                <w:szCs w:val="15"/>
              </w:rPr>
            </w:pPr>
            <w:r>
              <w:rPr>
                <w:rFonts w:ascii="Arial"/>
                <w:sz w:val="15"/>
              </w:rPr>
              <w:t>97%</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9" w:right="0"/>
              <w:jc w:val="left"/>
              <w:rPr>
                <w:rFonts w:ascii="Arial" w:hAnsi="Arial" w:cs="Arial" w:eastAsia="Arial" w:hint="default"/>
                <w:sz w:val="15"/>
                <w:szCs w:val="15"/>
              </w:rPr>
            </w:pPr>
            <w:r>
              <w:rPr>
                <w:rFonts w:ascii="Arial"/>
                <w:sz w:val="15"/>
              </w:rPr>
              <w:t>138,328.6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6" w:lineRule="exact"/>
              <w:ind w:left="163" w:right="0"/>
              <w:jc w:val="lef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Arial" w:hAnsi="Arial" w:cs="Arial" w:eastAsia="Arial" w:hint="default"/>
                <w:sz w:val="15"/>
                <w:szCs w:val="15"/>
              </w:rPr>
              <w:t>4)</w:t>
            </w:r>
          </w:p>
        </w:tc>
        <w:tc>
          <w:tcPr>
            <w:tcW w:w="54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790"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both"/>
              <w:rPr>
                <w:rFonts w:ascii="宋体" w:hAnsi="宋体" w:cs="宋体" w:eastAsia="宋体" w:hint="default"/>
                <w:sz w:val="15"/>
                <w:szCs w:val="15"/>
              </w:rPr>
            </w:pPr>
            <w:r>
              <w:rPr>
                <w:rFonts w:ascii="宋体" w:hAnsi="宋体" w:cs="宋体" w:eastAsia="宋体" w:hint="default"/>
                <w:spacing w:val="11"/>
                <w:sz w:val="15"/>
                <w:szCs w:val="15"/>
              </w:rPr>
              <w:t>江苏</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40" w:lineRule="auto"/>
              <w:ind w:left="98" w:right="78"/>
              <w:jc w:val="both"/>
              <w:rPr>
                <w:rFonts w:ascii="宋体" w:hAnsi="宋体" w:cs="宋体" w:eastAsia="宋体" w:hint="default"/>
                <w:sz w:val="15"/>
                <w:szCs w:val="15"/>
              </w:rPr>
            </w:pPr>
            <w:r>
              <w:rPr>
                <w:rFonts w:ascii="宋体" w:hAnsi="宋体" w:cs="宋体" w:eastAsia="宋体" w:hint="default"/>
                <w:spacing w:val="11"/>
                <w:sz w:val="15"/>
                <w:szCs w:val="15"/>
              </w:rPr>
              <w:t>物流</w:t>
            </w:r>
            <w:r>
              <w:rPr>
                <w:rFonts w:ascii="宋体" w:hAnsi="宋体" w:cs="宋体" w:eastAsia="宋体" w:hint="default"/>
                <w:spacing w:val="-53"/>
                <w:sz w:val="15"/>
                <w:szCs w:val="15"/>
              </w:rPr>
              <w:t> </w:t>
            </w:r>
            <w:r>
              <w:rPr>
                <w:rFonts w:ascii="宋体" w:hAnsi="宋体" w:cs="宋体" w:eastAsia="宋体" w:hint="default"/>
                <w:spacing w:val="11"/>
                <w:sz w:val="15"/>
                <w:szCs w:val="15"/>
              </w:rPr>
              <w:t>中心</w:t>
            </w:r>
            <w:r>
              <w:rPr>
                <w:rFonts w:ascii="宋体" w:hAnsi="宋体" w:cs="宋体" w:eastAsia="宋体" w:hint="default"/>
                <w:spacing w:val="-5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right="-3"/>
              <w:jc w:val="right"/>
              <w:rPr>
                <w:rFonts w:ascii="Arial" w:hAnsi="Arial" w:cs="Arial" w:eastAsia="Arial" w:hint="default"/>
                <w:sz w:val="15"/>
                <w:szCs w:val="15"/>
              </w:rPr>
            </w:pPr>
            <w:r>
              <w:rPr>
                <w:rFonts w:ascii="Arial"/>
                <w:spacing w:val="-1"/>
                <w:sz w:val="15"/>
              </w:rPr>
              <w:t>153,100.0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18" w:right="0"/>
              <w:jc w:val="left"/>
              <w:rPr>
                <w:rFonts w:ascii="Arial" w:hAnsi="Arial" w:cs="Arial" w:eastAsia="Arial" w:hint="default"/>
                <w:sz w:val="15"/>
                <w:szCs w:val="15"/>
              </w:rPr>
            </w:pPr>
            <w:r>
              <w:rPr>
                <w:rFonts w:ascii="Arial"/>
                <w:sz w:val="15"/>
              </w:rPr>
              <w:t>153,100.0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18" w:right="0"/>
              <w:jc w:val="left"/>
              <w:rPr>
                <w:rFonts w:ascii="Arial" w:hAnsi="Arial" w:cs="Arial" w:eastAsia="Arial" w:hint="default"/>
                <w:sz w:val="15"/>
                <w:szCs w:val="15"/>
              </w:rPr>
            </w:pPr>
            <w:r>
              <w:rPr>
                <w:rFonts w:ascii="Arial"/>
                <w:sz w:val="15"/>
              </w:rPr>
              <w:t>153,100.0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03" w:right="0"/>
              <w:jc w:val="left"/>
              <w:rPr>
                <w:rFonts w:ascii="Arial" w:hAnsi="Arial" w:cs="Arial" w:eastAsia="Arial" w:hint="default"/>
                <w:sz w:val="15"/>
                <w:szCs w:val="15"/>
              </w:rPr>
            </w:pPr>
            <w:r>
              <w:rPr>
                <w:rFonts w:ascii="Arial"/>
                <w:sz w:val="15"/>
              </w:rPr>
              <w:t>10,262.1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20" w:right="0"/>
              <w:jc w:val="left"/>
              <w:rPr>
                <w:rFonts w:ascii="Arial" w:hAnsi="Arial" w:cs="Arial" w:eastAsia="Arial" w:hint="default"/>
                <w:sz w:val="15"/>
                <w:szCs w:val="15"/>
              </w:rPr>
            </w:pPr>
            <w:r>
              <w:rPr>
                <w:rFonts w:ascii="Arial"/>
                <w:sz w:val="15"/>
              </w:rPr>
              <w:t>140,393.1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83" w:right="0"/>
              <w:jc w:val="left"/>
              <w:rPr>
                <w:rFonts w:ascii="Arial" w:hAnsi="Arial" w:cs="Arial" w:eastAsia="Arial" w:hint="default"/>
                <w:sz w:val="15"/>
                <w:szCs w:val="15"/>
              </w:rPr>
            </w:pPr>
            <w:r>
              <w:rPr>
                <w:rFonts w:ascii="Arial"/>
                <w:sz w:val="15"/>
              </w:rPr>
              <w:t>(12,706.9)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305" w:right="0"/>
              <w:jc w:val="left"/>
              <w:rPr>
                <w:rFonts w:ascii="Arial" w:hAnsi="Arial" w:cs="Arial" w:eastAsia="Arial" w:hint="default"/>
                <w:sz w:val="15"/>
                <w:szCs w:val="15"/>
              </w:rPr>
            </w:pPr>
            <w:r>
              <w:rPr>
                <w:rFonts w:ascii="Arial"/>
                <w:sz w:val="15"/>
              </w:rPr>
              <w:t>92%</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right="102"/>
              <w:jc w:val="right"/>
              <w:rPr>
                <w:rFonts w:ascii="Arial" w:hAnsi="Arial" w:cs="Arial" w:eastAsia="Arial" w:hint="default"/>
                <w:sz w:val="15"/>
                <w:szCs w:val="15"/>
              </w:rPr>
            </w:pPr>
            <w:r>
              <w:rPr>
                <w:rFonts w:ascii="Arial"/>
                <w:spacing w:val="-1"/>
                <w:sz w:val="15"/>
              </w:rPr>
              <w:t>2008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right="102"/>
              <w:jc w:val="right"/>
              <w:rPr>
                <w:rFonts w:ascii="Arial" w:hAnsi="Arial" w:cs="Arial" w:eastAsia="Arial" w:hint="default"/>
                <w:sz w:val="15"/>
                <w:szCs w:val="15"/>
              </w:rPr>
            </w:pPr>
            <w:r>
              <w:rPr>
                <w:rFonts w:ascii="Arial"/>
                <w:w w:val="99"/>
                <w:sz w:val="15"/>
              </w:rPr>
              <w:t>-</w:t>
            </w:r>
            <w:r>
              <w:rPr>
                <w:rFonts w:ascii="Arial"/>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6"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Arial" w:hAnsi="Arial" w:cs="Arial" w:eastAsia="Arial" w:hint="default"/>
                <w:sz w:val="15"/>
                <w:szCs w:val="15"/>
              </w:rPr>
              <w:t>5</w:t>
            </w:r>
            <w:r>
              <w:rPr>
                <w:rFonts w:ascii="宋体" w:hAnsi="宋体" w:cs="宋体" w:eastAsia="宋体" w:hint="default"/>
                <w:sz w:val="15"/>
                <w:szCs w:val="15"/>
              </w:rPr>
              <w:t>）</w:t>
            </w:r>
          </w:p>
        </w:tc>
        <w:tc>
          <w:tcPr>
            <w:tcW w:w="54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595"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1"/>
                <w:sz w:val="15"/>
                <w:szCs w:val="15"/>
              </w:rPr>
              <w:t>信息</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40" w:lineRule="auto"/>
              <w:ind w:left="98" w:right="78"/>
              <w:jc w:val="left"/>
              <w:rPr>
                <w:rFonts w:ascii="宋体" w:hAnsi="宋体" w:cs="宋体" w:eastAsia="宋体" w:hint="default"/>
                <w:sz w:val="15"/>
                <w:szCs w:val="15"/>
              </w:rPr>
            </w:pPr>
            <w:r>
              <w:rPr>
                <w:rFonts w:ascii="宋体" w:hAnsi="宋体" w:cs="宋体" w:eastAsia="宋体" w:hint="default"/>
                <w:spacing w:val="11"/>
                <w:sz w:val="15"/>
                <w:szCs w:val="15"/>
              </w:rPr>
              <w:t>中心</w:t>
            </w:r>
            <w:r>
              <w:rPr>
                <w:rFonts w:ascii="宋体" w:hAnsi="宋体" w:cs="宋体" w:eastAsia="宋体" w:hint="default"/>
                <w:spacing w:val="-5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 w:right="0"/>
              <w:jc w:val="left"/>
              <w:rPr>
                <w:rFonts w:ascii="Arial" w:hAnsi="Arial" w:cs="Arial" w:eastAsia="Arial" w:hint="default"/>
                <w:sz w:val="15"/>
                <w:szCs w:val="15"/>
              </w:rPr>
            </w:pPr>
            <w:r>
              <w:rPr>
                <w:rFonts w:ascii="Arial"/>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 w:right="0"/>
              <w:jc w:val="left"/>
              <w:rPr>
                <w:rFonts w:ascii="Arial" w:hAnsi="Arial" w:cs="Arial" w:eastAsia="Arial" w:hint="default"/>
                <w:sz w:val="15"/>
                <w:szCs w:val="15"/>
              </w:rPr>
            </w:pPr>
            <w:r>
              <w:rPr>
                <w:rFonts w:ascii="Arial"/>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5"/>
                <w:szCs w:val="15"/>
              </w:rPr>
            </w:pPr>
            <w:r>
              <w:rPr>
                <w:rFonts w:ascii="Arial"/>
                <w:sz w:val="15"/>
              </w:rPr>
              <w:t>14,650.9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5"/>
                <w:szCs w:val="15"/>
              </w:rPr>
            </w:pPr>
            <w:r>
              <w:rPr>
                <w:rFonts w:ascii="Arial"/>
                <w:sz w:val="15"/>
              </w:rPr>
              <w:t>73,568.7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Arial" w:hAnsi="Arial" w:cs="Arial" w:eastAsia="Arial" w:hint="default"/>
                <w:sz w:val="15"/>
                <w:szCs w:val="15"/>
              </w:rPr>
            </w:pPr>
            <w:r>
              <w:rPr>
                <w:rFonts w:ascii="Arial"/>
                <w:sz w:val="15"/>
              </w:rPr>
              <w:t>(58,150.3)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Arial" w:hAnsi="Arial" w:cs="Arial" w:eastAsia="Arial" w:hint="default"/>
                <w:sz w:val="15"/>
                <w:szCs w:val="15"/>
              </w:rPr>
            </w:pPr>
            <w:r>
              <w:rPr>
                <w:rFonts w:ascii="Arial"/>
                <w:sz w:val="15"/>
              </w:rPr>
              <w:t>56%</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spacing w:val="-1"/>
                <w:sz w:val="15"/>
              </w:rPr>
              <w:t>2009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w w:val="99"/>
                <w:sz w:val="15"/>
              </w:rPr>
              <w:t>-</w:t>
            </w:r>
            <w:r>
              <w:rPr>
                <w:rFonts w:ascii="Arial"/>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72"/>
              <w:ind w:left="12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Arial" w:hAnsi="Arial" w:cs="Arial" w:eastAsia="Arial" w:hint="default"/>
                <w:sz w:val="15"/>
                <w:szCs w:val="15"/>
              </w:rPr>
              <w:t>6</w:t>
            </w:r>
            <w:r>
              <w:rPr>
                <w:rFonts w:ascii="宋体" w:hAnsi="宋体" w:cs="宋体" w:eastAsia="宋体" w:hint="default"/>
                <w:sz w:val="15"/>
                <w:szCs w:val="15"/>
              </w:rPr>
              <w:t>）</w:t>
            </w:r>
          </w:p>
        </w:tc>
        <w:tc>
          <w:tcPr>
            <w:tcW w:w="54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595"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1"/>
                <w:sz w:val="15"/>
                <w:szCs w:val="15"/>
              </w:rPr>
              <w:t>补充</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40" w:lineRule="auto"/>
              <w:ind w:left="98" w:right="78"/>
              <w:jc w:val="left"/>
              <w:rPr>
                <w:rFonts w:ascii="宋体" w:hAnsi="宋体" w:cs="宋体" w:eastAsia="宋体" w:hint="default"/>
                <w:sz w:val="15"/>
                <w:szCs w:val="15"/>
              </w:rPr>
            </w:pPr>
            <w:r>
              <w:rPr>
                <w:rFonts w:ascii="宋体" w:hAnsi="宋体" w:cs="宋体" w:eastAsia="宋体" w:hint="default"/>
                <w:spacing w:val="11"/>
                <w:sz w:val="15"/>
                <w:szCs w:val="15"/>
              </w:rPr>
              <w:t>流动</w:t>
            </w:r>
            <w:r>
              <w:rPr>
                <w:rFonts w:ascii="宋体" w:hAnsi="宋体" w:cs="宋体" w:eastAsia="宋体" w:hint="default"/>
                <w:spacing w:val="-53"/>
                <w:sz w:val="15"/>
                <w:szCs w:val="15"/>
              </w:rPr>
              <w:t> </w:t>
            </w:r>
            <w:r>
              <w:rPr>
                <w:rFonts w:ascii="宋体" w:hAnsi="宋体" w:cs="宋体" w:eastAsia="宋体" w:hint="default"/>
                <w:sz w:val="15"/>
                <w:szCs w:val="15"/>
              </w:rPr>
              <w:t>资金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 w:right="0"/>
              <w:jc w:val="left"/>
              <w:rPr>
                <w:rFonts w:ascii="Arial" w:hAnsi="Arial" w:cs="Arial" w:eastAsia="Arial" w:hint="default"/>
                <w:sz w:val="15"/>
                <w:szCs w:val="15"/>
              </w:rPr>
            </w:pPr>
            <w:r>
              <w:rPr>
                <w:rFonts w:ascii="Arial"/>
                <w:sz w:val="15"/>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 w:right="0"/>
              <w:jc w:val="left"/>
              <w:rPr>
                <w:rFonts w:ascii="Arial" w:hAnsi="Arial" w:cs="Arial" w:eastAsia="Arial" w:hint="default"/>
                <w:sz w:val="15"/>
                <w:szCs w:val="15"/>
              </w:rPr>
            </w:pPr>
            <w:r>
              <w:rPr>
                <w:rFonts w:ascii="Arial"/>
                <w:sz w:val="15"/>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8" w:right="0"/>
              <w:jc w:val="left"/>
              <w:rPr>
                <w:rFonts w:ascii="Arial" w:hAnsi="Arial" w:cs="Arial" w:eastAsia="Arial" w:hint="default"/>
                <w:sz w:val="15"/>
                <w:szCs w:val="15"/>
              </w:rPr>
            </w:pPr>
            <w:r>
              <w:rPr>
                <w:rFonts w:ascii="Arial"/>
                <w:sz w:val="15"/>
              </w:rPr>
              <w:t>410,201.0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2" w:right="0"/>
              <w:jc w:val="left"/>
              <w:rPr>
                <w:rFonts w:ascii="Arial" w:hAnsi="Arial" w:cs="Arial" w:eastAsia="Arial" w:hint="default"/>
                <w:sz w:val="15"/>
                <w:szCs w:val="15"/>
              </w:rPr>
            </w:pPr>
            <w:r>
              <w:rPr>
                <w:rFonts w:ascii="Arial"/>
                <w:sz w:val="15"/>
              </w:rPr>
              <w:t>100%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w w:val="99"/>
                <w:sz w:val="15"/>
              </w:rPr>
              <w:t>-</w:t>
            </w:r>
            <w:r>
              <w:rPr>
                <w:rFonts w:ascii="Arial"/>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5"/>
                <w:szCs w:val="15"/>
              </w:rPr>
            </w:pPr>
            <w:r>
              <w:rPr>
                <w:rFonts w:ascii="Arial"/>
                <w:w w:val="99"/>
                <w:sz w:val="15"/>
              </w:rPr>
              <w:t>-</w:t>
            </w:r>
            <w:r>
              <w:rPr>
                <w:rFonts w:ascii="Arial"/>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5"/>
                <w:szCs w:val="15"/>
              </w:rPr>
            </w:pPr>
            <w:r>
              <w:rPr>
                <w:rFonts w:ascii="Arial"/>
                <w:w w:val="99"/>
                <w:sz w:val="15"/>
              </w:rPr>
              <w:t>-</w:t>
            </w:r>
            <w:r>
              <w:rPr>
                <w:rFonts w:ascii="Arial"/>
                <w:sz w:val="15"/>
              </w:rPr>
            </w:r>
          </w:p>
        </w:tc>
        <w:tc>
          <w:tcPr>
            <w:tcW w:w="541"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53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1,195,020.0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5" w:right="-4"/>
              <w:jc w:val="left"/>
              <w:rPr>
                <w:rFonts w:ascii="Arial" w:hAnsi="Arial" w:cs="Arial" w:eastAsia="Arial" w:hint="default"/>
                <w:sz w:val="15"/>
                <w:szCs w:val="15"/>
              </w:rPr>
            </w:pPr>
            <w:r>
              <w:rPr>
                <w:rFonts w:ascii="Arial"/>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5" w:right="-3"/>
              <w:jc w:val="left"/>
              <w:rPr>
                <w:rFonts w:ascii="Arial" w:hAnsi="Arial" w:cs="Arial" w:eastAsia="Arial" w:hint="default"/>
                <w:sz w:val="15"/>
                <w:szCs w:val="15"/>
              </w:rPr>
            </w:pPr>
            <w:r>
              <w:rPr>
                <w:rFonts w:ascii="Arial"/>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Arial" w:hAnsi="Arial" w:cs="Arial" w:eastAsia="Arial" w:hint="default"/>
                <w:sz w:val="15"/>
                <w:szCs w:val="15"/>
              </w:rPr>
            </w:pPr>
            <w:r>
              <w:rPr>
                <w:rFonts w:ascii="Arial"/>
                <w:spacing w:val="-1"/>
                <w:sz w:val="15"/>
              </w:rPr>
              <w:t>135,350.3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5" w:right="-3"/>
              <w:jc w:val="left"/>
              <w:rPr>
                <w:rFonts w:ascii="Arial" w:hAnsi="Arial" w:cs="Arial" w:eastAsia="Arial" w:hint="default"/>
                <w:sz w:val="15"/>
                <w:szCs w:val="15"/>
              </w:rPr>
            </w:pPr>
            <w:r>
              <w:rPr>
                <w:rFonts w:ascii="Arial"/>
                <w:sz w:val="15"/>
              </w:rPr>
              <w:t>1,107,304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9" w:right="-3"/>
              <w:jc w:val="left"/>
              <w:rPr>
                <w:rFonts w:ascii="Arial" w:hAnsi="Arial" w:cs="Arial" w:eastAsia="Arial" w:hint="default"/>
                <w:sz w:val="15"/>
                <w:szCs w:val="15"/>
              </w:rPr>
            </w:pPr>
            <w:r>
              <w:rPr>
                <w:rFonts w:ascii="Arial"/>
                <w:sz w:val="15"/>
              </w:rPr>
              <w:t>(87,716.0)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12" w:right="-4"/>
              <w:jc w:val="left"/>
              <w:rPr>
                <w:rFonts w:ascii="Arial" w:hAnsi="Arial" w:cs="Arial" w:eastAsia="Arial" w:hint="default"/>
                <w:sz w:val="15"/>
                <w:szCs w:val="15"/>
              </w:rPr>
            </w:pPr>
            <w:r>
              <w:rPr>
                <w:rFonts w:ascii="Arial"/>
                <w:sz w:val="15"/>
              </w:rPr>
              <w:t>93%</w:t>
            </w:r>
          </w:p>
        </w:tc>
        <w:tc>
          <w:tcPr>
            <w:tcW w:w="55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4" w:right="-3"/>
              <w:jc w:val="left"/>
              <w:rPr>
                <w:rFonts w:ascii="Arial" w:hAnsi="Arial" w:cs="Arial" w:eastAsia="Arial" w:hint="default"/>
                <w:sz w:val="15"/>
                <w:szCs w:val="15"/>
              </w:rPr>
            </w:pPr>
            <w:r>
              <w:rPr>
                <w:rFonts w:ascii="Arial"/>
                <w:sz w:val="15"/>
              </w:rPr>
              <w:t>138,328.6</w:t>
            </w:r>
          </w:p>
        </w:tc>
        <w:tc>
          <w:tcPr>
            <w:tcW w:w="709"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5"/>
              <w:ind w:right="-8"/>
              <w:jc w:val="right"/>
              <w:rPr>
                <w:rFonts w:ascii="Arial" w:hAnsi="Arial" w:cs="Arial" w:eastAsia="Arial" w:hint="default"/>
                <w:sz w:val="15"/>
                <w:szCs w:val="15"/>
              </w:rPr>
            </w:pPr>
            <w:r>
              <w:rPr>
                <w:rFonts w:ascii="Arial"/>
                <w:w w:val="99"/>
                <w:sz w:val="15"/>
              </w:rPr>
              <w:t>-</w:t>
            </w:r>
            <w:r>
              <w:rPr>
                <w:rFonts w:ascii="Arial"/>
                <w:sz w:val="15"/>
              </w:rPr>
            </w:r>
          </w:p>
        </w:tc>
      </w:tr>
      <w:tr>
        <w:trPr>
          <w:trHeight w:val="1180" w:hRule="exact"/>
        </w:trPr>
        <w:tc>
          <w:tcPr>
            <w:tcW w:w="1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未达到计划进度原因</w:t>
            </w:r>
          </w:p>
        </w:tc>
        <w:tc>
          <w:tcPr>
            <w:tcW w:w="81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Arial" w:hAnsi="Arial" w:cs="Arial" w:eastAsia="Arial" w:hint="default"/>
                <w:spacing w:val="-5"/>
                <w:sz w:val="15"/>
                <w:szCs w:val="15"/>
              </w:rPr>
              <w:t>1</w:t>
            </w:r>
            <w:r>
              <w:rPr>
                <w:rFonts w:ascii="宋体" w:hAnsi="宋体" w:cs="宋体" w:eastAsia="宋体" w:hint="default"/>
                <w:spacing w:val="-5"/>
                <w:sz w:val="15"/>
                <w:szCs w:val="15"/>
              </w:rPr>
              <w:t>、截至</w:t>
            </w:r>
            <w:r>
              <w:rPr>
                <w:rFonts w:ascii="宋体" w:hAnsi="宋体" w:cs="宋体" w:eastAsia="宋体" w:hint="default"/>
                <w:spacing w:val="-47"/>
                <w:sz w:val="15"/>
                <w:szCs w:val="15"/>
              </w:rPr>
              <w:t> </w:t>
            </w:r>
            <w:r>
              <w:rPr>
                <w:rFonts w:ascii="Arial" w:hAnsi="Arial" w:cs="Arial" w:eastAsia="Arial" w:hint="default"/>
                <w:sz w:val="15"/>
                <w:szCs w:val="15"/>
              </w:rPr>
              <w:t>2008</w:t>
            </w:r>
            <w:r>
              <w:rPr>
                <w:rFonts w:ascii="Arial" w:hAnsi="Arial" w:cs="Arial" w:eastAsia="Arial" w:hint="default"/>
                <w:spacing w:val="-13"/>
                <w:sz w:val="15"/>
                <w:szCs w:val="15"/>
              </w:rPr>
              <w:t> </w:t>
            </w:r>
            <w:r>
              <w:rPr>
                <w:rFonts w:ascii="宋体" w:hAnsi="宋体" w:cs="宋体" w:eastAsia="宋体" w:hint="default"/>
                <w:sz w:val="15"/>
                <w:szCs w:val="15"/>
              </w:rPr>
              <w:t>年底公司已经开设</w:t>
            </w:r>
            <w:r>
              <w:rPr>
                <w:rFonts w:ascii="宋体" w:hAnsi="宋体" w:cs="宋体" w:eastAsia="宋体" w:hint="default"/>
                <w:spacing w:val="-47"/>
                <w:sz w:val="15"/>
                <w:szCs w:val="15"/>
              </w:rPr>
              <w:t> </w:t>
            </w:r>
            <w:r>
              <w:rPr>
                <w:rFonts w:ascii="Arial" w:hAnsi="Arial" w:cs="Arial" w:eastAsia="Arial" w:hint="default"/>
                <w:sz w:val="15"/>
                <w:szCs w:val="15"/>
              </w:rPr>
              <w:t>80</w:t>
            </w:r>
            <w:r>
              <w:rPr>
                <w:rFonts w:ascii="Arial" w:hAnsi="Arial" w:cs="Arial" w:eastAsia="Arial" w:hint="default"/>
                <w:spacing w:val="-14"/>
                <w:sz w:val="15"/>
                <w:szCs w:val="15"/>
              </w:rPr>
              <w:t> </w:t>
            </w:r>
            <w:r>
              <w:rPr>
                <w:rFonts w:ascii="宋体" w:hAnsi="宋体" w:cs="宋体" w:eastAsia="宋体" w:hint="default"/>
                <w:sz w:val="15"/>
                <w:szCs w:val="15"/>
              </w:rPr>
              <w:t>家连锁店。由于符合公司连锁发展标准的优质店面资源相对稀缺，且商业租金价格呈</w:t>
            </w:r>
          </w:p>
          <w:p>
            <w:pPr>
              <w:pStyle w:val="TableParagraph"/>
              <w:spacing w:line="195" w:lineRule="exact"/>
              <w:ind w:left="103" w:right="0"/>
              <w:jc w:val="left"/>
              <w:rPr>
                <w:rFonts w:ascii="Arial" w:hAnsi="Arial" w:cs="Arial" w:eastAsia="Arial" w:hint="default"/>
                <w:sz w:val="15"/>
                <w:szCs w:val="15"/>
              </w:rPr>
            </w:pPr>
            <w:r>
              <w:rPr>
                <w:rFonts w:ascii="宋体" w:hAnsi="宋体" w:cs="宋体" w:eastAsia="宋体" w:hint="default"/>
                <w:spacing w:val="-4"/>
                <w:sz w:val="15"/>
                <w:szCs w:val="15"/>
              </w:rPr>
              <w:t>逐渐上涨趋势，给公司连锁店发展的店面选址工作带来了一定的压力。公司计划根据连锁发展规划，在 </w:t>
            </w:r>
            <w:r>
              <w:rPr>
                <w:rFonts w:ascii="Arial" w:hAnsi="Arial" w:cs="Arial" w:eastAsia="Arial" w:hint="default"/>
                <w:sz w:val="15"/>
                <w:szCs w:val="15"/>
              </w:rPr>
              <w:t>2009 </w:t>
            </w:r>
            <w:r>
              <w:rPr>
                <w:rFonts w:ascii="宋体" w:hAnsi="宋体" w:cs="宋体" w:eastAsia="宋体" w:hint="default"/>
                <w:sz w:val="15"/>
                <w:szCs w:val="15"/>
              </w:rPr>
              <w:t>年加大对</w:t>
            </w:r>
            <w:r>
              <w:rPr>
                <w:rFonts w:ascii="宋体" w:hAnsi="宋体" w:cs="宋体" w:eastAsia="宋体" w:hint="default"/>
                <w:spacing w:val="-60"/>
                <w:sz w:val="15"/>
                <w:szCs w:val="15"/>
              </w:rPr>
              <w:t> </w:t>
            </w:r>
            <w:r>
              <w:rPr>
                <w:rFonts w:ascii="Arial" w:hAnsi="Arial" w:cs="Arial" w:eastAsia="Arial" w:hint="default"/>
                <w:sz w:val="15"/>
                <w:szCs w:val="15"/>
              </w:rPr>
              <w:t>100</w:t>
            </w:r>
          </w:p>
          <w:p>
            <w:pPr>
              <w:pStyle w:val="TableParagraph"/>
              <w:spacing w:line="196" w:lineRule="exact" w:before="12"/>
              <w:ind w:left="103" w:right="2395"/>
              <w:jc w:val="left"/>
              <w:rPr>
                <w:rFonts w:ascii="宋体" w:hAnsi="宋体" w:cs="宋体" w:eastAsia="宋体" w:hint="default"/>
                <w:sz w:val="15"/>
                <w:szCs w:val="15"/>
              </w:rPr>
            </w:pPr>
            <w:r>
              <w:rPr>
                <w:rFonts w:ascii="宋体" w:hAnsi="宋体" w:cs="宋体" w:eastAsia="宋体" w:hint="default"/>
                <w:sz w:val="15"/>
                <w:szCs w:val="15"/>
              </w:rPr>
              <w:t>家连锁店发展项目相关店面选址工作力度，尽快实施完成此项目</w:t>
            </w:r>
            <w:r>
              <w:rPr>
                <w:rFonts w:ascii="Arial" w:hAnsi="Arial" w:cs="Arial" w:eastAsia="Arial" w:hint="default"/>
                <w:sz w:val="15"/>
                <w:szCs w:val="15"/>
              </w:rPr>
              <w:t>;</w:t>
            </w:r>
            <w:r>
              <w:rPr>
                <w:rFonts w:ascii="Arial" w:hAnsi="Arial" w:cs="Arial" w:eastAsia="Arial" w:hint="default"/>
                <w:w w:val="100"/>
                <w:sz w:val="15"/>
                <w:szCs w:val="15"/>
              </w:rPr>
              <w:t> </w:t>
            </w:r>
            <w:r>
              <w:rPr>
                <w:rFonts w:ascii="Arial" w:hAnsi="Arial" w:cs="Arial" w:eastAsia="Arial" w:hint="default"/>
                <w:sz w:val="15"/>
                <w:szCs w:val="15"/>
              </w:rPr>
              <w:t>2</w:t>
            </w:r>
            <w:r>
              <w:rPr>
                <w:rFonts w:ascii="宋体" w:hAnsi="宋体" w:cs="宋体" w:eastAsia="宋体" w:hint="default"/>
                <w:sz w:val="15"/>
                <w:szCs w:val="15"/>
              </w:rPr>
              <w:t>、江苏物流中心已于</w:t>
            </w:r>
            <w:r>
              <w:rPr>
                <w:rFonts w:ascii="宋体" w:hAnsi="宋体" w:cs="宋体" w:eastAsia="宋体" w:hint="default"/>
                <w:spacing w:val="-41"/>
                <w:sz w:val="15"/>
                <w:szCs w:val="15"/>
              </w:rPr>
              <w:t> </w:t>
            </w:r>
            <w:r>
              <w:rPr>
                <w:rFonts w:ascii="Arial" w:hAnsi="Arial" w:cs="Arial" w:eastAsia="Arial" w:hint="default"/>
                <w:sz w:val="15"/>
                <w:szCs w:val="15"/>
              </w:rPr>
              <w:t>2008</w:t>
            </w:r>
            <w:r>
              <w:rPr>
                <w:rFonts w:ascii="Arial" w:hAnsi="Arial" w:cs="Arial" w:eastAsia="Arial" w:hint="default"/>
                <w:spacing w:val="-7"/>
                <w:sz w:val="15"/>
                <w:szCs w:val="15"/>
              </w:rPr>
              <w:t> </w:t>
            </w:r>
            <w:r>
              <w:rPr>
                <w:rFonts w:ascii="宋体" w:hAnsi="宋体" w:cs="宋体" w:eastAsia="宋体" w:hint="default"/>
                <w:sz w:val="15"/>
                <w:szCs w:val="15"/>
              </w:rPr>
              <w:t>年投入使用，未投入的募集资金为尚未支付的工程尾款；</w:t>
            </w:r>
          </w:p>
          <w:p>
            <w:pPr>
              <w:pStyle w:val="TableParagraph"/>
              <w:spacing w:line="181" w:lineRule="exact"/>
              <w:ind w:left="103" w:right="0"/>
              <w:jc w:val="left"/>
              <w:rPr>
                <w:rFonts w:ascii="Arial" w:hAnsi="Arial" w:cs="Arial" w:eastAsia="Arial" w:hint="default"/>
                <w:sz w:val="15"/>
                <w:szCs w:val="15"/>
              </w:rPr>
            </w:pPr>
            <w:r>
              <w:rPr>
                <w:rFonts w:ascii="Arial" w:hAnsi="Arial" w:cs="Arial" w:eastAsia="Arial" w:hint="default"/>
                <w:sz w:val="15"/>
                <w:szCs w:val="15"/>
              </w:rPr>
              <w:t>3</w:t>
            </w:r>
            <w:r>
              <w:rPr>
                <w:rFonts w:ascii="宋体" w:hAnsi="宋体" w:cs="宋体" w:eastAsia="宋体" w:hint="default"/>
                <w:sz w:val="15"/>
                <w:szCs w:val="15"/>
              </w:rPr>
              <w:t>、截至</w:t>
            </w:r>
            <w:r>
              <w:rPr>
                <w:rFonts w:ascii="宋体" w:hAnsi="宋体" w:cs="宋体" w:eastAsia="宋体" w:hint="default"/>
                <w:spacing w:val="-49"/>
                <w:sz w:val="15"/>
                <w:szCs w:val="15"/>
              </w:rPr>
              <w:t> </w:t>
            </w:r>
            <w:r>
              <w:rPr>
                <w:rFonts w:ascii="Arial" w:hAnsi="Arial" w:cs="Arial" w:eastAsia="Arial" w:hint="default"/>
                <w:sz w:val="15"/>
                <w:szCs w:val="15"/>
              </w:rPr>
              <w:t>2008</w:t>
            </w:r>
            <w:r>
              <w:rPr>
                <w:rFonts w:ascii="Arial" w:hAnsi="Arial" w:cs="Arial" w:eastAsia="Arial" w:hint="default"/>
                <w:spacing w:val="-16"/>
                <w:sz w:val="15"/>
                <w:szCs w:val="15"/>
              </w:rPr>
              <w:t> </w:t>
            </w:r>
            <w:r>
              <w:rPr>
                <w:rFonts w:ascii="宋体" w:hAnsi="宋体" w:cs="宋体" w:eastAsia="宋体" w:hint="default"/>
                <w:sz w:val="15"/>
                <w:szCs w:val="15"/>
              </w:rPr>
              <w:t>年底，信息中心项目已完成土建工程，进入内部装修阶段。目前此项目正在进行设备招标工作。预计</w:t>
            </w:r>
            <w:r>
              <w:rPr>
                <w:rFonts w:ascii="宋体" w:hAnsi="宋体" w:cs="宋体" w:eastAsia="宋体" w:hint="default"/>
                <w:spacing w:val="-49"/>
                <w:sz w:val="15"/>
                <w:szCs w:val="15"/>
              </w:rPr>
              <w:t> </w:t>
            </w:r>
            <w:r>
              <w:rPr>
                <w:rFonts w:ascii="Arial" w:hAnsi="Arial" w:cs="Arial" w:eastAsia="Arial" w:hint="default"/>
                <w:sz w:val="15"/>
                <w:szCs w:val="15"/>
              </w:rPr>
              <w:t>2009</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年投入使用。</w:t>
            </w:r>
          </w:p>
        </w:tc>
      </w:tr>
      <w:tr>
        <w:trPr>
          <w:trHeight w:val="463"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left="98" w:right="91"/>
              <w:jc w:val="left"/>
              <w:rPr>
                <w:rFonts w:ascii="宋体" w:hAnsi="宋体" w:cs="宋体" w:eastAsia="宋体" w:hint="default"/>
                <w:sz w:val="15"/>
                <w:szCs w:val="15"/>
              </w:rPr>
            </w:pPr>
            <w:r>
              <w:rPr>
                <w:rFonts w:ascii="宋体" w:hAnsi="宋体" w:cs="宋体" w:eastAsia="宋体" w:hint="default"/>
                <w:spacing w:val="10"/>
                <w:sz w:val="15"/>
                <w:szCs w:val="15"/>
              </w:rPr>
              <w:t>项目可行性发生重大变化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的情况说明</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04"/>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募集资金投资项目实施地</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点变更情况</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募集资金投资项目实施方</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式调整情况</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募集资金投资项目先期投</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入及置换情况</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用闲置募集资金暂时补充</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流动资金情况</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项目实施出现募集资金结</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余的金额及原因</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595" w:hRule="exact"/>
        </w:trPr>
        <w:tc>
          <w:tcPr>
            <w:tcW w:w="1979"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72"/>
              <w:ind w:left="98" w:right="91"/>
              <w:jc w:val="left"/>
              <w:rPr>
                <w:rFonts w:ascii="宋体" w:hAnsi="宋体" w:cs="宋体" w:eastAsia="宋体" w:hint="default"/>
                <w:sz w:val="15"/>
                <w:szCs w:val="15"/>
              </w:rPr>
            </w:pPr>
            <w:r>
              <w:rPr>
                <w:rFonts w:ascii="宋体" w:hAnsi="宋体" w:cs="宋体" w:eastAsia="宋体" w:hint="default"/>
                <w:spacing w:val="10"/>
                <w:sz w:val="15"/>
                <w:szCs w:val="15"/>
              </w:rPr>
              <w:t>尚未使用的募集资金用途</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及去向</w:t>
            </w:r>
          </w:p>
        </w:tc>
        <w:tc>
          <w:tcPr>
            <w:tcW w:w="8101" w:type="dxa"/>
            <w:gridSpan w:val="10"/>
            <w:tcBorders>
              <w:top w:val="single" w:sz="4" w:space="0" w:color="000000"/>
              <w:left w:val="single" w:sz="4" w:space="0" w:color="000000"/>
              <w:bottom w:val="single" w:sz="4" w:space="0" w:color="000000"/>
              <w:right w:val="single" w:sz="8"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公司尚未使用的募集资将主要用于连锁店发展项目、江苏物流中心项目、信息中心项目的建设；公司将尚未使用的募集资</w:t>
            </w:r>
          </w:p>
          <w:p>
            <w:pPr>
              <w:pStyle w:val="TableParagraph"/>
              <w:spacing w:line="194" w:lineRule="exact" w:before="19"/>
              <w:ind w:left="103" w:right="97"/>
              <w:jc w:val="left"/>
              <w:rPr>
                <w:rFonts w:ascii="宋体" w:hAnsi="宋体" w:cs="宋体" w:eastAsia="宋体" w:hint="default"/>
                <w:sz w:val="15"/>
                <w:szCs w:val="15"/>
              </w:rPr>
            </w:pPr>
            <w:r>
              <w:rPr>
                <w:rFonts w:ascii="宋体" w:hAnsi="宋体" w:cs="宋体" w:eastAsia="宋体" w:hint="default"/>
                <w:sz w:val="15"/>
                <w:szCs w:val="15"/>
              </w:rPr>
              <w:t>金存放于公司专户中；为提高资金使用效率，将其中的</w:t>
            </w:r>
            <w:r>
              <w:rPr>
                <w:rFonts w:ascii="宋体" w:hAnsi="宋体" w:cs="宋体" w:eastAsia="宋体" w:hint="default"/>
                <w:spacing w:val="-49"/>
                <w:sz w:val="15"/>
                <w:szCs w:val="15"/>
              </w:rPr>
              <w:t> </w:t>
            </w:r>
            <w:r>
              <w:rPr>
                <w:rFonts w:ascii="Arial" w:hAnsi="Arial" w:cs="Arial" w:eastAsia="Arial" w:hint="default"/>
                <w:sz w:val="15"/>
                <w:szCs w:val="15"/>
              </w:rPr>
              <w:t>3000</w:t>
            </w:r>
            <w:r>
              <w:rPr>
                <w:rFonts w:ascii="Arial" w:hAnsi="Arial" w:cs="Arial" w:eastAsia="Arial" w:hint="default"/>
                <w:spacing w:val="-15"/>
                <w:sz w:val="15"/>
                <w:szCs w:val="15"/>
              </w:rPr>
              <w:t> </w:t>
            </w:r>
            <w:r>
              <w:rPr>
                <w:rFonts w:ascii="宋体" w:hAnsi="宋体" w:cs="宋体" w:eastAsia="宋体" w:hint="default"/>
                <w:sz w:val="15"/>
                <w:szCs w:val="15"/>
              </w:rPr>
              <w:t>万元暂时以定期存单的方式存放，不存在定期存单抵押、质 量。质押及其他所有权，使用权受限制的情况。</w:t>
            </w:r>
          </w:p>
        </w:tc>
      </w:tr>
    </w:tbl>
    <w:p>
      <w:pPr>
        <w:spacing w:line="270" w:lineRule="exact" w:before="0"/>
        <w:ind w:left="0" w:right="857" w:firstLine="0"/>
        <w:jc w:val="right"/>
        <w:rPr>
          <w:rFonts w:ascii="宋体" w:hAnsi="宋体" w:cs="宋体" w:eastAsia="宋体" w:hint="default"/>
          <w:sz w:val="22"/>
          <w:szCs w:val="22"/>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2"/>
          <w:szCs w:val="22"/>
        </w:rPr>
        <w:t>100 </w:t>
      </w:r>
      <w:r>
        <w:rPr>
          <w:rFonts w:ascii="宋体" w:hAnsi="宋体" w:cs="宋体" w:eastAsia="宋体" w:hint="default"/>
          <w:sz w:val="22"/>
          <w:szCs w:val="22"/>
        </w:rPr>
        <w:t>家连锁店发展项目尚未全部实施完毕，且连锁店均在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年之后开设，经</w:t>
      </w:r>
    </w:p>
    <w:p>
      <w:pPr>
        <w:spacing w:line="357" w:lineRule="auto" w:before="125"/>
        <w:ind w:left="843" w:right="741" w:firstLine="0"/>
        <w:jc w:val="left"/>
        <w:rPr>
          <w:rFonts w:ascii="宋体" w:hAnsi="宋体" w:cs="宋体" w:eastAsia="宋体" w:hint="default"/>
          <w:sz w:val="22"/>
          <w:szCs w:val="22"/>
        </w:rPr>
      </w:pPr>
      <w:r>
        <w:rPr>
          <w:rFonts w:ascii="宋体" w:hAnsi="宋体" w:cs="宋体" w:eastAsia="宋体" w:hint="default"/>
          <w:spacing w:val="-5"/>
          <w:w w:val="99"/>
          <w:sz w:val="22"/>
          <w:szCs w:val="22"/>
        </w:rPr>
        <w:t>营没有达到非公开发行上市公告书判定年限－正常年（开业后第三年）。随着项目实施的推</w:t>
      </w:r>
      <w:r>
        <w:rPr>
          <w:rFonts w:ascii="宋体" w:hAnsi="宋体" w:cs="宋体" w:eastAsia="宋体" w:hint="default"/>
          <w:spacing w:val="-77"/>
          <w:w w:val="99"/>
          <w:sz w:val="22"/>
          <w:szCs w:val="22"/>
        </w:rPr>
        <w:t> </w:t>
      </w:r>
      <w:r>
        <w:rPr>
          <w:rFonts w:ascii="宋体" w:hAnsi="宋体" w:cs="宋体" w:eastAsia="宋体" w:hint="default"/>
          <w:spacing w:val="-77"/>
          <w:w w:val="99"/>
          <w:sz w:val="22"/>
          <w:szCs w:val="22"/>
        </w:rPr>
      </w:r>
      <w:r>
        <w:rPr>
          <w:rFonts w:ascii="宋体" w:hAnsi="宋体" w:cs="宋体" w:eastAsia="宋体" w:hint="default"/>
          <w:spacing w:val="-2"/>
          <w:sz w:val="22"/>
          <w:szCs w:val="22"/>
        </w:rPr>
        <w:t>进，已开设连锁店进入成熟稳定期，经营效益逐步提高，该项目效益情况将会进一步体现。</w:t>
      </w:r>
    </w:p>
    <w:p>
      <w:pPr>
        <w:spacing w:line="350" w:lineRule="auto" w:before="34"/>
        <w:ind w:left="844" w:right="858" w:firstLine="419"/>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：江苏物流项目不直接产生经济收入，故无法单独核算效益；江苏物流项目的效益主 要体现在：其建成后有助于公司的区域物流整合，在有效保障货源的前提下加快库存周转率， 有效节约人力成本和租赁费用，提高作业效率，进一步提升公司的配送服务质量和品牌形象。 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：信息中心项目不直接产生经济收入，故无法单独核算效益；信息中心的效益主要体 现在：其建成后能够有力支撑公司未来连锁业务的拓展，加强公司的系统数据处理能力和安全 运行能力，进一步提高企业的管理水平和信息化应用能力，有利于企业的长期持续稳定发展。</w:t>
      </w:r>
    </w:p>
    <w:p>
      <w:pPr>
        <w:spacing w:after="0" w:line="350" w:lineRule="auto"/>
        <w:jc w:val="right"/>
        <w:rPr>
          <w:rFonts w:ascii="宋体" w:hAnsi="宋体" w:cs="宋体" w:eastAsia="宋体" w:hint="default"/>
          <w:sz w:val="21"/>
          <w:szCs w:val="21"/>
        </w:rPr>
        <w:sectPr>
          <w:pgSz w:w="11910" w:h="16840"/>
          <w:pgMar w:header="826" w:footer="900" w:top="1100" w:bottom="1100" w:left="800" w:right="780"/>
        </w:sectPr>
      </w:pPr>
    </w:p>
    <w:p>
      <w:pPr>
        <w:pStyle w:val="BodyText"/>
        <w:tabs>
          <w:tab w:pos="1703" w:val="left" w:leader="none"/>
        </w:tabs>
        <w:spacing w:line="240" w:lineRule="auto" w:before="106"/>
        <w:ind w:left="1284" w:right="0"/>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2007 </w:t>
      </w:r>
      <w:r>
        <w:rPr/>
        <w:t>年非公开发行股票募集资金使用情况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692"/>
        <w:gridCol w:w="360"/>
        <w:gridCol w:w="928"/>
        <w:gridCol w:w="900"/>
        <w:gridCol w:w="900"/>
        <w:gridCol w:w="900"/>
        <w:gridCol w:w="900"/>
        <w:gridCol w:w="690"/>
        <w:gridCol w:w="930"/>
        <w:gridCol w:w="720"/>
        <w:gridCol w:w="900"/>
        <w:gridCol w:w="720"/>
        <w:gridCol w:w="461"/>
      </w:tblGrid>
      <w:tr>
        <w:trPr>
          <w:trHeight w:val="300" w:hRule="exact"/>
        </w:trPr>
        <w:tc>
          <w:tcPr>
            <w:tcW w:w="2880"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0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11"/>
              <w:ind w:left="893" w:right="0"/>
              <w:jc w:val="left"/>
              <w:rPr>
                <w:rFonts w:ascii="Arial" w:hAnsi="Arial" w:cs="Arial" w:eastAsia="Arial" w:hint="default"/>
                <w:sz w:val="15"/>
                <w:szCs w:val="15"/>
              </w:rPr>
            </w:pPr>
            <w:r>
              <w:rPr>
                <w:rFonts w:ascii="Arial"/>
                <w:sz w:val="15"/>
              </w:rPr>
              <w:t>2,420,055.5</w:t>
            </w:r>
          </w:p>
        </w:tc>
        <w:tc>
          <w:tcPr>
            <w:tcW w:w="414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239"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181"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55"/>
              <w:ind w:left="274" w:right="0"/>
              <w:jc w:val="left"/>
              <w:rPr>
                <w:rFonts w:ascii="Arial" w:hAnsi="Arial" w:cs="Arial" w:eastAsia="Arial" w:hint="default"/>
                <w:sz w:val="15"/>
                <w:szCs w:val="15"/>
              </w:rPr>
            </w:pPr>
            <w:r>
              <w:rPr>
                <w:rFonts w:ascii="Arial"/>
                <w:sz w:val="15"/>
              </w:rPr>
              <w:t>1,258,749.8</w:t>
            </w:r>
          </w:p>
        </w:tc>
      </w:tr>
      <w:tr>
        <w:trPr>
          <w:trHeight w:val="295" w:hRule="exact"/>
        </w:trPr>
        <w:tc>
          <w:tcPr>
            <w:tcW w:w="2880"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60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w w:val="95"/>
                <w:sz w:val="15"/>
              </w:rPr>
              <w:t>0.0</w:t>
            </w:r>
            <w:r>
              <w:rPr>
                <w:rFonts w:ascii="Arial"/>
                <w:sz w:val="15"/>
              </w:rPr>
            </w:r>
          </w:p>
        </w:tc>
        <w:tc>
          <w:tcPr>
            <w:tcW w:w="4140" w:type="dxa"/>
            <w:gridSpan w:val="5"/>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39"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181" w:type="dxa"/>
            <w:gridSpan w:val="2"/>
            <w:vMerge w:val="restart"/>
            <w:tcBorders>
              <w:top w:val="single" w:sz="4" w:space="0" w:color="000000"/>
              <w:left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4" w:right="0"/>
              <w:jc w:val="left"/>
              <w:rPr>
                <w:rFonts w:ascii="Arial" w:hAnsi="Arial" w:cs="Arial" w:eastAsia="Arial" w:hint="default"/>
                <w:sz w:val="15"/>
                <w:szCs w:val="15"/>
              </w:rPr>
            </w:pPr>
            <w:r>
              <w:rPr>
                <w:rFonts w:ascii="Arial"/>
                <w:sz w:val="15"/>
              </w:rPr>
              <w:t>1,258,749.8</w:t>
            </w:r>
          </w:p>
        </w:tc>
      </w:tr>
      <w:tr>
        <w:trPr>
          <w:trHeight w:val="295" w:hRule="exact"/>
        </w:trPr>
        <w:tc>
          <w:tcPr>
            <w:tcW w:w="2880"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45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w:hAnsi="Arial" w:cs="Arial" w:eastAsia="Arial" w:hint="default"/>
                <w:sz w:val="15"/>
                <w:szCs w:val="15"/>
              </w:rPr>
            </w:pPr>
            <w:r>
              <w:rPr>
                <w:rFonts w:ascii="Arial"/>
                <w:w w:val="95"/>
                <w:sz w:val="15"/>
              </w:rPr>
              <w:t>0%</w:t>
            </w:r>
            <w:r>
              <w:rPr>
                <w:rFonts w:ascii="Arial"/>
                <w:sz w:val="15"/>
              </w:rPr>
            </w:r>
          </w:p>
        </w:tc>
        <w:tc>
          <w:tcPr>
            <w:tcW w:w="4140" w:type="dxa"/>
            <w:gridSpan w:val="5"/>
            <w:vMerge/>
            <w:tcBorders>
              <w:left w:val="single" w:sz="4" w:space="0" w:color="000000"/>
              <w:bottom w:val="single" w:sz="4" w:space="0" w:color="000000"/>
              <w:right w:val="single" w:sz="4" w:space="0" w:color="000000"/>
            </w:tcBorders>
          </w:tcPr>
          <w:p>
            <w:pPr/>
          </w:p>
        </w:tc>
        <w:tc>
          <w:tcPr>
            <w:tcW w:w="1181" w:type="dxa"/>
            <w:gridSpan w:val="2"/>
            <w:vMerge/>
            <w:tcBorders>
              <w:left w:val="single" w:sz="4" w:space="0" w:color="000000"/>
              <w:bottom w:val="single" w:sz="4" w:space="0" w:color="000000"/>
              <w:right w:val="single" w:sz="8" w:space="0" w:color="000000"/>
            </w:tcBorders>
          </w:tcPr>
          <w:p>
            <w:pPr/>
          </w:p>
        </w:tc>
      </w:tr>
      <w:tr>
        <w:trPr>
          <w:trHeight w:val="1720" w:hRule="exact"/>
        </w:trPr>
        <w:tc>
          <w:tcPr>
            <w:tcW w:w="69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1" w:right="114"/>
              <w:jc w:val="left"/>
              <w:rPr>
                <w:rFonts w:ascii="宋体" w:hAnsi="宋体" w:cs="宋体" w:eastAsia="宋体" w:hint="default"/>
                <w:sz w:val="15"/>
                <w:szCs w:val="15"/>
              </w:rPr>
            </w:pPr>
            <w:r>
              <w:rPr>
                <w:rFonts w:ascii="宋体" w:hAnsi="宋体" w:cs="宋体" w:eastAsia="宋体" w:hint="default"/>
                <w:sz w:val="15"/>
                <w:szCs w:val="15"/>
              </w:rPr>
              <w:t>承诺投 资项目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23"/>
              <w:jc w:val="both"/>
              <w:rPr>
                <w:rFonts w:ascii="宋体" w:hAnsi="宋体" w:cs="宋体" w:eastAsia="宋体" w:hint="default"/>
                <w:sz w:val="15"/>
                <w:szCs w:val="15"/>
              </w:rPr>
            </w:pPr>
            <w:r>
              <w:rPr>
                <w:rFonts w:ascii="宋体" w:hAnsi="宋体" w:cs="宋体" w:eastAsia="宋体" w:hint="default"/>
                <w:sz w:val="15"/>
                <w:szCs w:val="15"/>
              </w:rPr>
              <w:t>是否 已变 更项 目</w:t>
            </w:r>
          </w:p>
          <w:p>
            <w:pPr>
              <w:pStyle w:val="TableParagraph"/>
              <w:spacing w:line="240" w:lineRule="auto"/>
              <w:ind w:left="26" w:right="23"/>
              <w:jc w:val="center"/>
              <w:rPr>
                <w:rFonts w:ascii="宋体" w:hAnsi="宋体" w:cs="宋体" w:eastAsia="宋体" w:hint="default"/>
                <w:sz w:val="15"/>
                <w:szCs w:val="15"/>
              </w:rPr>
            </w:pPr>
            <w:r>
              <w:rPr>
                <w:rFonts w:ascii="宋体" w:hAnsi="宋体" w:cs="宋体" w:eastAsia="宋体" w:hint="default"/>
                <w:sz w:val="15"/>
                <w:szCs w:val="15"/>
              </w:rPr>
              <w:t>（含 部分 变 更）</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6" w:right="29"/>
              <w:jc w:val="left"/>
              <w:rPr>
                <w:rFonts w:ascii="宋体" w:hAnsi="宋体" w:cs="宋体" w:eastAsia="宋体" w:hint="default"/>
                <w:sz w:val="15"/>
                <w:szCs w:val="15"/>
              </w:rPr>
            </w:pPr>
            <w:r>
              <w:rPr>
                <w:rFonts w:ascii="宋体" w:hAnsi="宋体" w:cs="宋体" w:eastAsia="宋体" w:hint="default"/>
                <w:sz w:val="15"/>
                <w:szCs w:val="15"/>
              </w:rPr>
              <w:t>募集资金承 诺投资总额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9" w:right="143" w:hanging="75"/>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7"/>
              <w:ind w:left="145" w:right="143"/>
              <w:jc w:val="both"/>
              <w:rPr>
                <w:rFonts w:ascii="Arial" w:hAnsi="Arial" w:cs="Arial" w:eastAsia="Arial" w:hint="default"/>
                <w:sz w:val="15"/>
                <w:szCs w:val="15"/>
              </w:rPr>
            </w:pPr>
            <w:r>
              <w:rPr>
                <w:rFonts w:ascii="宋体" w:hAnsi="宋体" w:cs="宋体" w:eastAsia="宋体" w:hint="default"/>
                <w:sz w:val="15"/>
                <w:szCs w:val="15"/>
              </w:rPr>
              <w:t>截至期末 承诺投入 金额</w:t>
            </w:r>
            <w:r>
              <w:rPr>
                <w:rFonts w:ascii="Arial" w:hAnsi="Arial" w:cs="Arial" w:eastAsia="Arial"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9" w:right="143" w:hanging="75"/>
              <w:jc w:val="left"/>
              <w:rPr>
                <w:rFonts w:ascii="宋体" w:hAnsi="宋体" w:cs="宋体" w:eastAsia="宋体" w:hint="default"/>
                <w:sz w:val="15"/>
                <w:szCs w:val="15"/>
              </w:rPr>
            </w:pPr>
            <w:r>
              <w:rPr>
                <w:rFonts w:ascii="宋体" w:hAnsi="宋体" w:cs="宋体" w:eastAsia="宋体" w:hint="default"/>
                <w:sz w:val="15"/>
                <w:szCs w:val="15"/>
              </w:rPr>
              <w:t>本年度投 入金额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7"/>
              <w:ind w:left="145" w:right="143"/>
              <w:jc w:val="both"/>
              <w:rPr>
                <w:rFonts w:ascii="Arial" w:hAnsi="Arial" w:cs="Arial" w:eastAsia="Arial" w:hint="default"/>
                <w:sz w:val="15"/>
                <w:szCs w:val="15"/>
              </w:rPr>
            </w:pPr>
            <w:r>
              <w:rPr>
                <w:rFonts w:ascii="宋体" w:hAnsi="宋体" w:cs="宋体" w:eastAsia="宋体" w:hint="default"/>
                <w:sz w:val="15"/>
                <w:szCs w:val="15"/>
              </w:rPr>
              <w:t>截至期末 累计投入 金额</w:t>
            </w:r>
            <w:r>
              <w:rPr>
                <w:rFonts w:ascii="Arial" w:hAnsi="Arial" w:cs="Arial" w:eastAsia="Arial" w:hint="default"/>
                <w:sz w:val="15"/>
                <w:szCs w:val="15"/>
              </w:rPr>
              <w:t>(2)</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截至期</w:t>
            </w:r>
          </w:p>
          <w:p>
            <w:pPr>
              <w:pStyle w:val="TableParagraph"/>
              <w:spacing w:line="242" w:lineRule="auto"/>
              <w:ind w:left="112" w:right="111"/>
              <w:jc w:val="center"/>
              <w:rPr>
                <w:rFonts w:ascii="Arial" w:hAnsi="Arial" w:cs="Arial" w:eastAsia="Arial" w:hint="default"/>
                <w:sz w:val="15"/>
                <w:szCs w:val="15"/>
              </w:rPr>
            </w:pPr>
            <w:r>
              <w:rPr>
                <w:rFonts w:ascii="宋体" w:hAnsi="宋体" w:cs="宋体" w:eastAsia="宋体" w:hint="default"/>
                <w:sz w:val="15"/>
                <w:szCs w:val="15"/>
              </w:rPr>
              <w:t>末累计 投入金 额与承 诺投入 金额的 差额 </w:t>
            </w:r>
            <w:r>
              <w:rPr>
                <w:rFonts w:ascii="Arial" w:hAnsi="Arial" w:cs="Arial" w:eastAsia="Arial" w:hint="default"/>
                <w:sz w:val="15"/>
                <w:szCs w:val="15"/>
              </w:rPr>
              <w:t>(3)=(2)</w:t>
            </w:r>
          </w:p>
          <w:p>
            <w:pPr>
              <w:pStyle w:val="TableParagraph"/>
              <w:spacing w:line="171" w:lineRule="exact"/>
              <w:ind w:right="0"/>
              <w:jc w:val="center"/>
              <w:rPr>
                <w:rFonts w:ascii="Arial" w:hAnsi="Arial" w:cs="Arial" w:eastAsia="Arial" w:hint="default"/>
                <w:sz w:val="15"/>
                <w:szCs w:val="15"/>
              </w:rPr>
            </w:pPr>
            <w:r>
              <w:rPr>
                <w:rFonts w:ascii="Arial"/>
                <w:sz w:val="15"/>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9" w:right="158"/>
              <w:jc w:val="left"/>
              <w:rPr>
                <w:rFonts w:ascii="宋体" w:hAnsi="宋体" w:cs="宋体" w:eastAsia="宋体" w:hint="default"/>
                <w:sz w:val="15"/>
                <w:szCs w:val="15"/>
              </w:rPr>
            </w:pPr>
            <w:r>
              <w:rPr>
                <w:rFonts w:ascii="宋体" w:hAnsi="宋体" w:cs="宋体" w:eastAsia="宋体" w:hint="default"/>
                <w:sz w:val="15"/>
                <w:szCs w:val="15"/>
              </w:rPr>
              <w:t>截至期末 投入进度</w:t>
            </w:r>
          </w:p>
          <w:p>
            <w:pPr>
              <w:pStyle w:val="TableParagraph"/>
              <w:spacing w:line="205" w:lineRule="exact"/>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w:t>
            </w:r>
            <w:r>
              <w:rPr>
                <w:rFonts w:ascii="宋体" w:hAnsi="宋体" w:cs="宋体" w:eastAsia="宋体" w:hint="default"/>
                <w:sz w:val="15"/>
                <w:szCs w:val="15"/>
              </w:rPr>
              <w:t>）</w:t>
            </w:r>
          </w:p>
          <w:p>
            <w:pPr>
              <w:pStyle w:val="TableParagraph"/>
              <w:spacing w:line="240" w:lineRule="auto" w:before="12"/>
              <w:ind w:right="0"/>
              <w:jc w:val="center"/>
              <w:rPr>
                <w:rFonts w:ascii="Arial" w:hAnsi="Arial" w:cs="Arial" w:eastAsia="Arial" w:hint="default"/>
                <w:sz w:val="15"/>
                <w:szCs w:val="15"/>
              </w:rPr>
            </w:pPr>
            <w:r>
              <w:rPr>
                <w:rFonts w:ascii="Arial"/>
                <w:sz w:val="15"/>
              </w:rPr>
              <w:t>(4)=(2)/(1)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 w:right="59"/>
              <w:jc w:val="center"/>
              <w:rPr>
                <w:rFonts w:ascii="宋体" w:hAnsi="宋体" w:cs="宋体" w:eastAsia="宋体" w:hint="default"/>
                <w:sz w:val="15"/>
                <w:szCs w:val="15"/>
              </w:rPr>
            </w:pPr>
            <w:r>
              <w:rPr>
                <w:rFonts w:ascii="宋体" w:hAnsi="宋体" w:cs="宋体" w:eastAsia="宋体" w:hint="default"/>
                <w:sz w:val="15"/>
                <w:szCs w:val="15"/>
              </w:rPr>
              <w:t>项目达到 预定可使 用状态日 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1" w:right="-2" w:hanging="300"/>
              <w:jc w:val="left"/>
              <w:rPr>
                <w:rFonts w:ascii="宋体" w:hAnsi="宋体" w:cs="宋体" w:eastAsia="宋体" w:hint="default"/>
                <w:sz w:val="15"/>
                <w:szCs w:val="15"/>
              </w:rPr>
            </w:pPr>
            <w:r>
              <w:rPr>
                <w:rFonts w:ascii="宋体" w:hAnsi="宋体" w:cs="宋体" w:eastAsia="宋体" w:hint="default"/>
                <w:sz w:val="15"/>
                <w:szCs w:val="15"/>
              </w:rPr>
              <w:t>本年度实现的 效益</w:t>
            </w:r>
          </w:p>
          <w:p>
            <w:pPr>
              <w:pStyle w:val="TableParagraph"/>
              <w:spacing w:line="194" w:lineRule="exact"/>
              <w:ind w:left="-9" w:right="-2"/>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9" w:right="128"/>
              <w:jc w:val="both"/>
              <w:rPr>
                <w:rFonts w:ascii="宋体" w:hAnsi="宋体" w:cs="宋体" w:eastAsia="宋体" w:hint="default"/>
                <w:sz w:val="15"/>
                <w:szCs w:val="15"/>
              </w:rPr>
            </w:pPr>
            <w:r>
              <w:rPr>
                <w:rFonts w:ascii="宋体" w:hAnsi="宋体" w:cs="宋体" w:eastAsia="宋体" w:hint="default"/>
                <w:sz w:val="15"/>
                <w:szCs w:val="15"/>
              </w:rPr>
              <w:t>是否达 到预计 效益</w:t>
            </w:r>
          </w:p>
        </w:tc>
        <w:tc>
          <w:tcPr>
            <w:tcW w:w="46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6" w:right="67"/>
              <w:jc w:val="both"/>
              <w:rPr>
                <w:rFonts w:ascii="宋体" w:hAnsi="宋体" w:cs="宋体" w:eastAsia="宋体" w:hint="default"/>
                <w:sz w:val="15"/>
                <w:szCs w:val="15"/>
              </w:rPr>
            </w:pPr>
            <w:r>
              <w:rPr>
                <w:rFonts w:ascii="宋体" w:hAnsi="宋体" w:cs="宋体" w:eastAsia="宋体" w:hint="default"/>
                <w:sz w:val="15"/>
                <w:szCs w:val="15"/>
              </w:rPr>
              <w:t>项目 可行 性是 否发 生重 大变 化</w:t>
            </w:r>
          </w:p>
        </w:tc>
      </w:tr>
      <w:tr>
        <w:trPr>
          <w:trHeight w:val="202" w:hRule="exact"/>
        </w:trPr>
        <w:tc>
          <w:tcPr>
            <w:tcW w:w="692" w:type="dxa"/>
            <w:tcBorders>
              <w:top w:val="single" w:sz="4" w:space="0" w:color="000000"/>
              <w:left w:val="single" w:sz="8" w:space="0" w:color="000000"/>
              <w:bottom w:val="nil" w:sz="6" w:space="0" w:color="auto"/>
              <w:right w:val="single" w:sz="4" w:space="0" w:color="000000"/>
            </w:tcBorders>
          </w:tcPr>
          <w:p>
            <w:pPr>
              <w:pStyle w:val="TableParagraph"/>
              <w:spacing w:line="182" w:lineRule="exact"/>
              <w:ind w:left="98" w:right="0"/>
              <w:jc w:val="left"/>
              <w:rPr>
                <w:rFonts w:ascii="宋体" w:hAnsi="宋体" w:cs="宋体" w:eastAsia="宋体" w:hint="default"/>
                <w:sz w:val="15"/>
                <w:szCs w:val="15"/>
              </w:rPr>
            </w:pPr>
            <w:r>
              <w:rPr>
                <w:rFonts w:ascii="Arial" w:hAnsi="Arial" w:cs="Arial" w:eastAsia="Arial" w:hint="default"/>
                <w:sz w:val="15"/>
                <w:szCs w:val="15"/>
              </w:rPr>
              <w:t>250</w:t>
            </w:r>
            <w:r>
              <w:rPr>
                <w:rFonts w:ascii="Arial" w:hAnsi="Arial" w:cs="Arial" w:eastAsia="Arial" w:hint="default"/>
                <w:spacing w:val="33"/>
                <w:sz w:val="15"/>
                <w:szCs w:val="15"/>
              </w:rPr>
              <w:t> </w:t>
            </w:r>
            <w:r>
              <w:rPr>
                <w:rFonts w:ascii="宋体" w:hAnsi="宋体" w:cs="宋体" w:eastAsia="宋体" w:hint="default"/>
                <w:sz w:val="15"/>
                <w:szCs w:val="15"/>
              </w:rPr>
              <w:t>家</w:t>
            </w:r>
          </w:p>
        </w:tc>
        <w:tc>
          <w:tcPr>
            <w:tcW w:w="360"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61" w:type="dxa"/>
            <w:tcBorders>
              <w:top w:val="single" w:sz="4" w:space="0" w:color="000000"/>
              <w:left w:val="single" w:sz="4" w:space="0" w:color="000000"/>
              <w:bottom w:val="nil" w:sz="6" w:space="0" w:color="auto"/>
              <w:right w:val="single" w:sz="8" w:space="0" w:color="000000"/>
            </w:tcBorders>
          </w:tcPr>
          <w:p>
            <w:pPr/>
          </w:p>
        </w:tc>
      </w:tr>
      <w:tr>
        <w:trPr>
          <w:trHeight w:val="391" w:hRule="exact"/>
        </w:trPr>
        <w:tc>
          <w:tcPr>
            <w:tcW w:w="692" w:type="dxa"/>
            <w:tcBorders>
              <w:top w:val="nil" w:sz="6" w:space="0" w:color="auto"/>
              <w:left w:val="single" w:sz="8" w:space="0" w:color="000000"/>
              <w:bottom w:val="nil" w:sz="6" w:space="0" w:color="auto"/>
              <w:right w:val="single" w:sz="4" w:space="0" w:color="000000"/>
            </w:tcBorders>
          </w:tcPr>
          <w:p>
            <w:pPr>
              <w:pStyle w:val="TableParagraph"/>
              <w:spacing w:line="169"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连锁店</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发展项</w:t>
            </w:r>
            <w:r>
              <w:rPr>
                <w:rFonts w:ascii="宋体" w:hAnsi="宋体" w:cs="宋体" w:eastAsia="宋体" w:hint="default"/>
                <w:sz w:val="15"/>
                <w:szCs w:val="15"/>
              </w:rPr>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6"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3"/>
              <w:jc w:val="right"/>
              <w:rPr>
                <w:rFonts w:ascii="Arial" w:hAnsi="Arial" w:cs="Arial" w:eastAsia="Arial" w:hint="default"/>
                <w:sz w:val="15"/>
                <w:szCs w:val="15"/>
              </w:rPr>
            </w:pPr>
            <w:r>
              <w:rPr>
                <w:rFonts w:ascii="Arial"/>
                <w:spacing w:val="-1"/>
                <w:sz w:val="15"/>
              </w:rPr>
              <w:t>1,500,000.0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4"/>
              <w:jc w:val="right"/>
              <w:rPr>
                <w:rFonts w:ascii="Arial" w:hAnsi="Arial" w:cs="Arial" w:eastAsia="Arial" w:hint="default"/>
                <w:sz w:val="15"/>
                <w:szCs w:val="15"/>
              </w:rPr>
            </w:pPr>
            <w:r>
              <w:rPr>
                <w:rFonts w:ascii="Arial"/>
                <w:spacing w:val="-1"/>
                <w:sz w:val="15"/>
              </w:rPr>
              <w:t>1,500,000.0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4"/>
              <w:jc w:val="right"/>
              <w:rPr>
                <w:rFonts w:ascii="Arial" w:hAnsi="Arial" w:cs="Arial" w:eastAsia="Arial" w:hint="default"/>
                <w:sz w:val="15"/>
                <w:szCs w:val="15"/>
              </w:rPr>
            </w:pPr>
            <w:r>
              <w:rPr>
                <w:rFonts w:ascii="Arial"/>
                <w:spacing w:val="-1"/>
                <w:sz w:val="15"/>
              </w:rPr>
              <w:t>461,558.2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5"/>
              <w:jc w:val="right"/>
              <w:rPr>
                <w:rFonts w:ascii="Arial" w:hAnsi="Arial" w:cs="Arial" w:eastAsia="Arial" w:hint="default"/>
                <w:sz w:val="15"/>
                <w:szCs w:val="15"/>
              </w:rPr>
            </w:pPr>
            <w:r>
              <w:rPr>
                <w:rFonts w:ascii="Arial"/>
                <w:spacing w:val="-1"/>
                <w:sz w:val="15"/>
              </w:rPr>
              <w:t>461,558.2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3"/>
              <w:jc w:val="right"/>
              <w:rPr>
                <w:rFonts w:ascii="Arial" w:hAnsi="Arial" w:cs="Arial" w:eastAsia="Arial" w:hint="default"/>
                <w:sz w:val="15"/>
                <w:szCs w:val="15"/>
              </w:rPr>
            </w:pPr>
            <w:r>
              <w:rPr>
                <w:rFonts w:ascii="Arial"/>
                <w:spacing w:val="-1"/>
                <w:sz w:val="15"/>
              </w:rPr>
              <w:t>461,558.2</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
              <w:jc w:val="center"/>
              <w:rPr>
                <w:rFonts w:ascii="Arial" w:hAnsi="Arial" w:cs="Arial" w:eastAsia="Arial" w:hint="default"/>
                <w:sz w:val="15"/>
                <w:szCs w:val="15"/>
              </w:rPr>
            </w:pPr>
            <w:r>
              <w:rPr>
                <w:rFonts w:ascii="Arial"/>
                <w:w w:val="99"/>
                <w:sz w:val="15"/>
              </w:rPr>
              <w:t>-</w:t>
            </w:r>
            <w:r>
              <w:rPr>
                <w:rFonts w:ascii="Arial"/>
                <w:sz w:val="15"/>
              </w:rPr>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5"/>
              <w:jc w:val="right"/>
              <w:rPr>
                <w:rFonts w:ascii="Arial" w:hAnsi="Arial" w:cs="Arial" w:eastAsia="Arial" w:hint="default"/>
                <w:sz w:val="15"/>
                <w:szCs w:val="15"/>
              </w:rPr>
            </w:pPr>
            <w:r>
              <w:rPr>
                <w:rFonts w:ascii="Arial"/>
                <w:spacing w:val="-1"/>
                <w:sz w:val="15"/>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4"/>
              <w:jc w:val="right"/>
              <w:rPr>
                <w:rFonts w:ascii="Arial" w:hAnsi="Arial" w:cs="Arial" w:eastAsia="Arial" w:hint="default"/>
                <w:sz w:val="15"/>
                <w:szCs w:val="15"/>
              </w:rPr>
            </w:pPr>
            <w:r>
              <w:rPr>
                <w:rFonts w:ascii="Arial"/>
                <w:spacing w:val="-1"/>
                <w:sz w:val="15"/>
              </w:rPr>
              <w:t>2010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21,306.5</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35" w:right="0" w:hanging="78"/>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235" w:right="0"/>
              <w:jc w:val="lef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Arial" w:hAnsi="Arial" w:cs="Arial" w:eastAsia="Arial" w:hint="default"/>
                <w:sz w:val="15"/>
                <w:szCs w:val="15"/>
              </w:rPr>
              <w:t>8)</w:t>
            </w:r>
          </w:p>
        </w:tc>
        <w:tc>
          <w:tcPr>
            <w:tcW w:w="461" w:type="dxa"/>
            <w:tcBorders>
              <w:top w:val="nil" w:sz="6" w:space="0" w:color="auto"/>
              <w:left w:val="single" w:sz="4" w:space="0" w:color="000000"/>
              <w:bottom w:val="nil" w:sz="6" w:space="0" w:color="auto"/>
              <w:right w:val="single" w:sz="8" w:space="0" w:color="000000"/>
            </w:tcBorders>
          </w:tcPr>
          <w:p>
            <w:pPr>
              <w:pStyle w:val="TableParagraph"/>
              <w:spacing w:line="240" w:lineRule="auto" w:before="69"/>
              <w:ind w:right="9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198" w:hRule="exact"/>
        </w:trPr>
        <w:tc>
          <w:tcPr>
            <w:tcW w:w="692" w:type="dxa"/>
            <w:tcBorders>
              <w:top w:val="nil" w:sz="6" w:space="0" w:color="auto"/>
              <w:left w:val="single" w:sz="8" w:space="0" w:color="000000"/>
              <w:bottom w:val="single" w:sz="4" w:space="0" w:color="000000"/>
              <w:right w:val="single" w:sz="4" w:space="0" w:color="000000"/>
            </w:tcBorders>
          </w:tcPr>
          <w:p>
            <w:pPr>
              <w:pStyle w:val="TableParagraph"/>
              <w:spacing w:line="169" w:lineRule="exact"/>
              <w:ind w:left="98" w:right="0"/>
              <w:jc w:val="left"/>
              <w:rPr>
                <w:rFonts w:ascii="宋体" w:hAnsi="宋体" w:cs="宋体" w:eastAsia="宋体" w:hint="default"/>
                <w:sz w:val="15"/>
                <w:szCs w:val="15"/>
              </w:rPr>
            </w:pPr>
            <w:r>
              <w:rPr>
                <w:rFonts w:ascii="宋体" w:hAnsi="宋体" w:cs="宋体" w:eastAsia="宋体" w:hint="default"/>
                <w:sz w:val="15"/>
                <w:szCs w:val="15"/>
              </w:rPr>
              <w:t>目</w:t>
            </w:r>
          </w:p>
        </w:tc>
        <w:tc>
          <w:tcPr>
            <w:tcW w:w="360"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61" w:type="dxa"/>
            <w:tcBorders>
              <w:top w:val="nil" w:sz="6" w:space="0" w:color="auto"/>
              <w:left w:val="single" w:sz="4" w:space="0" w:color="000000"/>
              <w:bottom w:val="single" w:sz="4" w:space="0" w:color="000000"/>
              <w:right w:val="single" w:sz="8" w:space="0" w:color="000000"/>
            </w:tcBorders>
          </w:tcPr>
          <w:p>
            <w:pPr/>
          </w:p>
        </w:tc>
      </w:tr>
      <w:tr>
        <w:trPr>
          <w:trHeight w:val="595" w:hRule="exact"/>
        </w:trPr>
        <w:tc>
          <w:tcPr>
            <w:tcW w:w="692" w:type="dxa"/>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沈阳物</w:t>
            </w:r>
            <w:r>
              <w:rPr>
                <w:rFonts w:ascii="宋体" w:hAnsi="宋体" w:cs="宋体" w:eastAsia="宋体" w:hint="default"/>
                <w:sz w:val="15"/>
                <w:szCs w:val="15"/>
              </w:rPr>
            </w:r>
          </w:p>
          <w:p>
            <w:pPr>
              <w:pStyle w:val="TableParagraph"/>
              <w:spacing w:line="240" w:lineRule="auto"/>
              <w:ind w:left="98" w:right="89"/>
              <w:jc w:val="left"/>
              <w:rPr>
                <w:rFonts w:ascii="宋体" w:hAnsi="宋体" w:cs="宋体" w:eastAsia="宋体" w:hint="default"/>
                <w:sz w:val="15"/>
                <w:szCs w:val="15"/>
              </w:rPr>
            </w:pPr>
            <w:r>
              <w:rPr>
                <w:rFonts w:ascii="宋体" w:hAnsi="宋体" w:cs="宋体" w:eastAsia="宋体" w:hint="default"/>
                <w:spacing w:val="13"/>
                <w:sz w:val="15"/>
                <w:szCs w:val="15"/>
              </w:rPr>
              <w:t>流中心 </w:t>
            </w:r>
            <w:r>
              <w:rPr>
                <w:rFonts w:ascii="宋体" w:hAnsi="宋体" w:cs="宋体" w:eastAsia="宋体" w:hint="default"/>
                <w:sz w:val="15"/>
                <w:szCs w:val="15"/>
              </w:rPr>
              <w:t>项目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143,483.7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Arial" w:hAnsi="Arial" w:cs="Arial" w:eastAsia="Arial" w:hint="default"/>
                <w:sz w:val="15"/>
                <w:szCs w:val="15"/>
              </w:rPr>
            </w:pPr>
            <w:r>
              <w:rPr>
                <w:rFonts w:ascii="Arial"/>
                <w:spacing w:val="-1"/>
                <w:sz w:val="15"/>
              </w:rPr>
              <w:t>143,483.7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20,619.8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20,619.8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3"/>
              <w:jc w:val="right"/>
              <w:rPr>
                <w:rFonts w:ascii="Arial" w:hAnsi="Arial" w:cs="Arial" w:eastAsia="Arial" w:hint="default"/>
                <w:sz w:val="15"/>
                <w:szCs w:val="15"/>
              </w:rPr>
            </w:pPr>
            <w:r>
              <w:rPr>
                <w:rFonts w:ascii="Arial"/>
                <w:spacing w:val="-1"/>
                <w:sz w:val="15"/>
              </w:rPr>
              <w:t>20,619.8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5"/>
                <w:szCs w:val="15"/>
              </w:rPr>
            </w:pPr>
            <w:r>
              <w:rPr>
                <w:rFonts w:ascii="Arial"/>
                <w:w w:val="99"/>
                <w:sz w:val="15"/>
              </w:rPr>
              <w:t>-</w:t>
            </w:r>
            <w:r>
              <w:rPr>
                <w:rFonts w:ascii="Arial"/>
                <w:sz w:val="15"/>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right"/>
              <w:rPr>
                <w:rFonts w:ascii="Arial" w:hAnsi="Arial" w:cs="Arial" w:eastAsia="Arial" w:hint="default"/>
                <w:sz w:val="15"/>
                <w:szCs w:val="15"/>
              </w:rPr>
            </w:pPr>
            <w:r>
              <w:rPr>
                <w:rFonts w:ascii="Arial"/>
                <w:spacing w:val="-1"/>
                <w:sz w:val="15"/>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Arial" w:hAnsi="Arial" w:cs="Arial" w:eastAsia="Arial" w:hint="default"/>
                <w:sz w:val="15"/>
                <w:szCs w:val="15"/>
              </w:rPr>
            </w:pPr>
            <w:r>
              <w:rPr>
                <w:rFonts w:ascii="Arial"/>
                <w:spacing w:val="-1"/>
                <w:sz w:val="15"/>
              </w:rPr>
              <w:t>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w w:val="99"/>
                <w:sz w:val="15"/>
              </w:rPr>
              <w:t>-</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57"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6" w:lineRule="exact"/>
              <w:ind w:left="235" w:right="0"/>
              <w:jc w:val="lef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Arial" w:hAnsi="Arial" w:cs="Arial" w:eastAsia="Arial" w:hint="default"/>
                <w:sz w:val="15"/>
                <w:szCs w:val="15"/>
              </w:rPr>
              <w:t>9)</w:t>
            </w:r>
          </w:p>
        </w:tc>
        <w:tc>
          <w:tcPr>
            <w:tcW w:w="46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197" w:hRule="exact"/>
        </w:trPr>
        <w:tc>
          <w:tcPr>
            <w:tcW w:w="692" w:type="dxa"/>
            <w:tcBorders>
              <w:top w:val="single" w:sz="4" w:space="0" w:color="000000"/>
              <w:left w:val="single" w:sz="8" w:space="0" w:color="000000"/>
              <w:bottom w:val="nil" w:sz="6" w:space="0" w:color="auto"/>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武汉中</w:t>
            </w:r>
            <w:r>
              <w:rPr>
                <w:rFonts w:ascii="宋体" w:hAnsi="宋体" w:cs="宋体" w:eastAsia="宋体" w:hint="default"/>
                <w:sz w:val="15"/>
                <w:szCs w:val="15"/>
              </w:rPr>
            </w:r>
          </w:p>
        </w:tc>
        <w:tc>
          <w:tcPr>
            <w:tcW w:w="360"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61" w:type="dxa"/>
            <w:tcBorders>
              <w:top w:val="single" w:sz="4" w:space="0" w:color="000000"/>
              <w:left w:val="single" w:sz="4" w:space="0" w:color="000000"/>
              <w:bottom w:val="nil" w:sz="6" w:space="0" w:color="auto"/>
              <w:right w:val="single" w:sz="8" w:space="0" w:color="000000"/>
            </w:tcBorders>
          </w:tcPr>
          <w:p>
            <w:pPr/>
          </w:p>
        </w:tc>
      </w:tr>
      <w:tr>
        <w:trPr>
          <w:trHeight w:val="389" w:hRule="exact"/>
        </w:trPr>
        <w:tc>
          <w:tcPr>
            <w:tcW w:w="692" w:type="dxa"/>
            <w:tcBorders>
              <w:top w:val="nil" w:sz="6" w:space="0" w:color="auto"/>
              <w:left w:val="single" w:sz="8" w:space="0" w:color="000000"/>
              <w:bottom w:val="nil" w:sz="6" w:space="0" w:color="auto"/>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南旗舰</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店购置</w:t>
            </w:r>
            <w:r>
              <w:rPr>
                <w:rFonts w:ascii="宋体" w:hAnsi="宋体" w:cs="宋体" w:eastAsia="宋体" w:hint="default"/>
                <w:sz w:val="15"/>
                <w:szCs w:val="15"/>
              </w:rPr>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6"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Arial" w:hAnsi="Arial" w:cs="Arial" w:eastAsia="Arial" w:hint="default"/>
                <w:sz w:val="15"/>
                <w:szCs w:val="15"/>
              </w:rPr>
            </w:pPr>
            <w:r>
              <w:rPr>
                <w:rFonts w:ascii="Arial"/>
                <w:spacing w:val="-1"/>
                <w:sz w:val="15"/>
              </w:rPr>
              <w:t>233,867.7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4"/>
              <w:jc w:val="right"/>
              <w:rPr>
                <w:rFonts w:ascii="Arial" w:hAnsi="Arial" w:cs="Arial" w:eastAsia="Arial" w:hint="default"/>
                <w:sz w:val="15"/>
                <w:szCs w:val="15"/>
              </w:rPr>
            </w:pPr>
            <w:r>
              <w:rPr>
                <w:rFonts w:ascii="Arial"/>
                <w:spacing w:val="-1"/>
                <w:sz w:val="15"/>
              </w:rPr>
              <w:t>233,867.7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Arial" w:hAnsi="Arial" w:cs="Arial" w:eastAsia="Arial" w:hint="default"/>
                <w:sz w:val="15"/>
                <w:szCs w:val="15"/>
              </w:rPr>
            </w:pPr>
            <w:r>
              <w:rPr>
                <w:rFonts w:ascii="Arial"/>
                <w:spacing w:val="-1"/>
                <w:sz w:val="15"/>
              </w:rPr>
              <w:t>233,867.7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5"/>
              <w:jc w:val="right"/>
              <w:rPr>
                <w:rFonts w:ascii="Arial" w:hAnsi="Arial" w:cs="Arial" w:eastAsia="Arial" w:hint="default"/>
                <w:sz w:val="15"/>
                <w:szCs w:val="15"/>
              </w:rPr>
            </w:pPr>
            <w:r>
              <w:rPr>
                <w:rFonts w:ascii="Arial"/>
                <w:spacing w:val="-1"/>
                <w:sz w:val="15"/>
              </w:rPr>
              <w:t>233,867.7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Arial" w:hAnsi="Arial" w:cs="Arial" w:eastAsia="Arial" w:hint="default"/>
                <w:sz w:val="15"/>
                <w:szCs w:val="15"/>
              </w:rPr>
            </w:pPr>
            <w:r>
              <w:rPr>
                <w:rFonts w:ascii="Arial"/>
                <w:spacing w:val="-1"/>
                <w:sz w:val="15"/>
              </w:rPr>
              <w:t>233,867.7</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Arial" w:hAnsi="Arial" w:cs="Arial" w:eastAsia="Arial" w:hint="default"/>
                <w:sz w:val="15"/>
                <w:szCs w:val="15"/>
              </w:rPr>
            </w:pPr>
            <w:r>
              <w:rPr>
                <w:rFonts w:ascii="Arial"/>
                <w:w w:val="99"/>
                <w:sz w:val="15"/>
              </w:rPr>
              <w:t>-</w:t>
            </w:r>
            <w:r>
              <w:rPr>
                <w:rFonts w:ascii="Arial"/>
                <w:sz w:val="15"/>
              </w:rPr>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4"/>
              <w:jc w:val="right"/>
              <w:rPr>
                <w:rFonts w:ascii="Arial" w:hAnsi="Arial" w:cs="Arial" w:eastAsia="Arial" w:hint="default"/>
                <w:sz w:val="15"/>
                <w:szCs w:val="15"/>
              </w:rPr>
            </w:pPr>
            <w:r>
              <w:rPr>
                <w:rFonts w:ascii="Arial"/>
                <w:spacing w:val="-1"/>
                <w:sz w:val="15"/>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3"/>
              <w:jc w:val="right"/>
              <w:rPr>
                <w:rFonts w:ascii="Arial" w:hAnsi="Arial" w:cs="Arial" w:eastAsia="Arial" w:hint="default"/>
                <w:sz w:val="15"/>
                <w:szCs w:val="15"/>
              </w:rPr>
            </w:pPr>
            <w:r>
              <w:rPr>
                <w:rFonts w:ascii="Arial"/>
                <w:spacing w:val="-1"/>
                <w:sz w:val="15"/>
              </w:rPr>
              <w:t>2007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Arial" w:hAnsi="Arial" w:cs="Arial" w:eastAsia="Arial" w:hint="default"/>
                <w:sz w:val="15"/>
                <w:szCs w:val="15"/>
              </w:rPr>
            </w:pPr>
            <w:r>
              <w:rPr>
                <w:rFonts w:ascii="Arial"/>
                <w:spacing w:val="-1"/>
                <w:sz w:val="15"/>
              </w:rPr>
              <w:t>7,479.1</w:t>
            </w:r>
          </w:p>
        </w:tc>
        <w:tc>
          <w:tcPr>
            <w:tcW w:w="720" w:type="dxa"/>
            <w:tcBorders>
              <w:top w:val="nil" w:sz="6" w:space="0" w:color="auto"/>
              <w:left w:val="single" w:sz="4" w:space="0" w:color="000000"/>
              <w:bottom w:val="nil" w:sz="6" w:space="0" w:color="auto"/>
              <w:right w:val="single" w:sz="4" w:space="0" w:color="000000"/>
            </w:tcBorders>
          </w:tcPr>
          <w:p>
            <w:pPr/>
          </w:p>
        </w:tc>
        <w:tc>
          <w:tcPr>
            <w:tcW w:w="461" w:type="dxa"/>
            <w:tcBorders>
              <w:top w:val="nil" w:sz="6" w:space="0" w:color="auto"/>
              <w:left w:val="single" w:sz="4" w:space="0" w:color="000000"/>
              <w:bottom w:val="nil" w:sz="6" w:space="0" w:color="auto"/>
              <w:right w:val="single" w:sz="8"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203" w:hRule="exact"/>
        </w:trPr>
        <w:tc>
          <w:tcPr>
            <w:tcW w:w="692" w:type="dxa"/>
            <w:tcBorders>
              <w:top w:val="nil" w:sz="6" w:space="0" w:color="auto"/>
              <w:left w:val="single" w:sz="8" w:space="0" w:color="000000"/>
              <w:bottom w:val="single" w:sz="4" w:space="0" w:color="000000"/>
              <w:right w:val="single" w:sz="4" w:space="0" w:color="000000"/>
            </w:tcBorders>
          </w:tcPr>
          <w:p>
            <w:pPr>
              <w:pStyle w:val="TableParagraph"/>
              <w:spacing w:line="173" w:lineRule="exact"/>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360"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sz w:val="15"/>
                <w:szCs w:val="15"/>
              </w:rPr>
              <w:t>不适用</w:t>
            </w:r>
          </w:p>
        </w:tc>
        <w:tc>
          <w:tcPr>
            <w:tcW w:w="461" w:type="dxa"/>
            <w:tcBorders>
              <w:top w:val="nil" w:sz="6" w:space="0" w:color="auto"/>
              <w:left w:val="single" w:sz="4" w:space="0" w:color="000000"/>
              <w:bottom w:val="single" w:sz="4" w:space="0" w:color="000000"/>
              <w:right w:val="single" w:sz="8" w:space="0" w:color="000000"/>
            </w:tcBorders>
          </w:tcPr>
          <w:p>
            <w:pPr/>
          </w:p>
        </w:tc>
      </w:tr>
      <w:tr>
        <w:trPr>
          <w:trHeight w:val="198" w:hRule="exact"/>
        </w:trPr>
        <w:tc>
          <w:tcPr>
            <w:tcW w:w="692" w:type="dxa"/>
            <w:tcBorders>
              <w:top w:val="single" w:sz="4" w:space="0" w:color="000000"/>
              <w:left w:val="single" w:sz="8" w:space="0" w:color="000000"/>
              <w:bottom w:val="nil" w:sz="6" w:space="0" w:color="auto"/>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上海浦</w:t>
            </w:r>
            <w:r>
              <w:rPr>
                <w:rFonts w:ascii="宋体" w:hAnsi="宋体" w:cs="宋体" w:eastAsia="宋体" w:hint="default"/>
                <w:sz w:val="15"/>
                <w:szCs w:val="15"/>
              </w:rPr>
            </w:r>
          </w:p>
        </w:tc>
        <w:tc>
          <w:tcPr>
            <w:tcW w:w="360"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76" w:lineRule="exact"/>
              <w:ind w:right="101"/>
              <w:jc w:val="right"/>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Arial" w:hAnsi="Arial" w:cs="Arial" w:eastAsia="Arial" w:hint="default"/>
                <w:sz w:val="15"/>
                <w:szCs w:val="15"/>
              </w:rPr>
              <w:t>10)</w:t>
            </w:r>
          </w:p>
        </w:tc>
        <w:tc>
          <w:tcPr>
            <w:tcW w:w="461" w:type="dxa"/>
            <w:tcBorders>
              <w:top w:val="single" w:sz="4" w:space="0" w:color="000000"/>
              <w:left w:val="single" w:sz="4" w:space="0" w:color="000000"/>
              <w:bottom w:val="nil" w:sz="6" w:space="0" w:color="auto"/>
              <w:right w:val="single" w:sz="8" w:space="0" w:color="000000"/>
            </w:tcBorders>
          </w:tcPr>
          <w:p>
            <w:pPr/>
          </w:p>
        </w:tc>
      </w:tr>
      <w:tr>
        <w:trPr>
          <w:trHeight w:val="390" w:hRule="exact"/>
        </w:trPr>
        <w:tc>
          <w:tcPr>
            <w:tcW w:w="692" w:type="dxa"/>
            <w:tcBorders>
              <w:top w:val="nil" w:sz="6" w:space="0" w:color="auto"/>
              <w:left w:val="single" w:sz="8" w:space="0" w:color="000000"/>
              <w:bottom w:val="nil" w:sz="6" w:space="0" w:color="auto"/>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东旗舰</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pacing w:val="13"/>
                <w:sz w:val="15"/>
                <w:szCs w:val="15"/>
              </w:rPr>
              <w:t>店购置</w:t>
            </w:r>
            <w:r>
              <w:rPr>
                <w:rFonts w:ascii="宋体" w:hAnsi="宋体" w:cs="宋体" w:eastAsia="宋体" w:hint="default"/>
                <w:sz w:val="15"/>
                <w:szCs w:val="15"/>
              </w:rPr>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6"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3"/>
              <w:jc w:val="right"/>
              <w:rPr>
                <w:rFonts w:ascii="Arial" w:hAnsi="Arial" w:cs="Arial" w:eastAsia="Arial" w:hint="default"/>
                <w:sz w:val="15"/>
                <w:szCs w:val="15"/>
              </w:rPr>
            </w:pPr>
            <w:r>
              <w:rPr>
                <w:rFonts w:ascii="Arial"/>
                <w:spacing w:val="-1"/>
                <w:sz w:val="15"/>
              </w:rPr>
              <w:t>576,208.7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1" w:lineRule="exact" w:before="11"/>
              <w:ind w:left="225" w:right="-3"/>
              <w:jc w:val="left"/>
              <w:rPr>
                <w:rFonts w:ascii="Arial" w:hAnsi="Arial" w:cs="Arial" w:eastAsia="Arial" w:hint="default"/>
                <w:sz w:val="15"/>
                <w:szCs w:val="15"/>
              </w:rPr>
            </w:pPr>
            <w:r>
              <w:rPr>
                <w:rFonts w:ascii="Arial"/>
                <w:sz w:val="15"/>
              </w:rPr>
              <w:t>542,704.1</w:t>
            </w:r>
          </w:p>
          <w:p>
            <w:pPr>
              <w:pStyle w:val="TableParagraph"/>
              <w:spacing w:line="195" w:lineRule="exact"/>
              <w:ind w:left="262" w:right="0"/>
              <w:jc w:val="left"/>
              <w:rPr>
                <w:rFonts w:ascii="宋体" w:hAnsi="宋体" w:cs="宋体" w:eastAsia="宋体" w:hint="default"/>
                <w:sz w:val="15"/>
                <w:szCs w:val="15"/>
              </w:rPr>
            </w:pPr>
            <w:r>
              <w:rPr>
                <w:rFonts w:ascii="Arial" w:hAnsi="Arial" w:cs="Arial" w:eastAsia="Arial"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Arial" w:hAnsi="Arial" w:cs="Arial" w:eastAsia="Arial" w:hint="default"/>
                <w:sz w:val="15"/>
                <w:szCs w:val="15"/>
              </w:rPr>
              <w:t>7</w:t>
            </w:r>
            <w:r>
              <w:rPr>
                <w:rFonts w:ascii="宋体" w:hAnsi="宋体" w:cs="宋体" w:eastAsia="宋体" w:hint="default"/>
                <w:sz w:val="15"/>
                <w:szCs w:val="15"/>
              </w:rPr>
              <w:t>）</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
              <w:jc w:val="right"/>
              <w:rPr>
                <w:rFonts w:ascii="Arial" w:hAnsi="Arial" w:cs="Arial" w:eastAsia="Arial" w:hint="default"/>
                <w:sz w:val="15"/>
                <w:szCs w:val="15"/>
              </w:rPr>
            </w:pPr>
            <w:r>
              <w:rPr>
                <w:rFonts w:ascii="Arial"/>
                <w:spacing w:val="-1"/>
                <w:sz w:val="15"/>
              </w:rPr>
              <w:t>542,704.1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3"/>
              <w:jc w:val="right"/>
              <w:rPr>
                <w:rFonts w:ascii="Arial" w:hAnsi="Arial" w:cs="Arial" w:eastAsia="Arial" w:hint="default"/>
                <w:sz w:val="15"/>
                <w:szCs w:val="15"/>
              </w:rPr>
            </w:pPr>
            <w:r>
              <w:rPr>
                <w:rFonts w:ascii="Arial"/>
                <w:spacing w:val="-1"/>
                <w:sz w:val="15"/>
              </w:rPr>
              <w:t>542,704.1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3"/>
              <w:jc w:val="right"/>
              <w:rPr>
                <w:rFonts w:ascii="Arial" w:hAnsi="Arial" w:cs="Arial" w:eastAsia="Arial" w:hint="default"/>
                <w:sz w:val="15"/>
                <w:szCs w:val="15"/>
              </w:rPr>
            </w:pPr>
            <w:r>
              <w:rPr>
                <w:rFonts w:ascii="Arial"/>
                <w:spacing w:val="-1"/>
                <w:sz w:val="15"/>
              </w:rPr>
              <w:t>542,704.1</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Arial" w:hAnsi="Arial" w:cs="Arial" w:eastAsia="Arial" w:hint="default"/>
                <w:sz w:val="15"/>
                <w:szCs w:val="15"/>
              </w:rPr>
            </w:pPr>
            <w:r>
              <w:rPr>
                <w:rFonts w:ascii="Arial"/>
                <w:w w:val="99"/>
                <w:sz w:val="15"/>
              </w:rPr>
              <w:t>-</w:t>
            </w:r>
            <w:r>
              <w:rPr>
                <w:rFonts w:ascii="Arial"/>
                <w:sz w:val="15"/>
              </w:rPr>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
              <w:jc w:val="right"/>
              <w:rPr>
                <w:rFonts w:ascii="Arial" w:hAnsi="Arial" w:cs="Arial" w:eastAsia="Arial" w:hint="default"/>
                <w:sz w:val="15"/>
                <w:szCs w:val="15"/>
              </w:rPr>
            </w:pPr>
            <w:r>
              <w:rPr>
                <w:rFonts w:ascii="Arial"/>
                <w:spacing w:val="-1"/>
                <w:sz w:val="15"/>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
              <w:jc w:val="right"/>
              <w:rPr>
                <w:rFonts w:ascii="Arial" w:hAnsi="Arial" w:cs="Arial" w:eastAsia="Arial" w:hint="default"/>
                <w:sz w:val="15"/>
                <w:szCs w:val="15"/>
              </w:rPr>
            </w:pPr>
            <w:r>
              <w:rPr>
                <w:rFonts w:ascii="Arial"/>
                <w:spacing w:val="-1"/>
                <w:sz w:val="15"/>
              </w:rPr>
              <w:t>2007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Arial" w:hAnsi="Arial" w:cs="Arial" w:eastAsia="Arial" w:hint="default"/>
                <w:sz w:val="15"/>
                <w:szCs w:val="15"/>
              </w:rPr>
            </w:pPr>
            <w:r>
              <w:rPr>
                <w:rFonts w:ascii="Arial"/>
                <w:spacing w:val="-1"/>
                <w:sz w:val="15"/>
              </w:rPr>
              <w:t>1,096.3</w:t>
            </w:r>
          </w:p>
        </w:tc>
        <w:tc>
          <w:tcPr>
            <w:tcW w:w="720" w:type="dxa"/>
            <w:tcBorders>
              <w:top w:val="nil" w:sz="6" w:space="0" w:color="auto"/>
              <w:left w:val="single" w:sz="4" w:space="0" w:color="000000"/>
              <w:bottom w:val="nil" w:sz="6" w:space="0" w:color="auto"/>
              <w:right w:val="single" w:sz="4" w:space="0" w:color="000000"/>
            </w:tcBorders>
          </w:tcPr>
          <w:p>
            <w:pPr/>
          </w:p>
        </w:tc>
        <w:tc>
          <w:tcPr>
            <w:tcW w:w="461" w:type="dxa"/>
            <w:tcBorders>
              <w:top w:val="nil" w:sz="6" w:space="0" w:color="auto"/>
              <w:left w:val="single" w:sz="4" w:space="0" w:color="000000"/>
              <w:bottom w:val="nil" w:sz="6" w:space="0" w:color="auto"/>
              <w:right w:val="single" w:sz="8" w:space="0" w:color="000000"/>
            </w:tcBorders>
          </w:tcPr>
          <w:p>
            <w:pPr>
              <w:pStyle w:val="TableParagraph"/>
              <w:spacing w:line="240" w:lineRule="auto" w:before="73"/>
              <w:ind w:right="9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202" w:hRule="exact"/>
        </w:trPr>
        <w:tc>
          <w:tcPr>
            <w:tcW w:w="692" w:type="dxa"/>
            <w:tcBorders>
              <w:top w:val="nil" w:sz="6" w:space="0" w:color="auto"/>
              <w:left w:val="single" w:sz="8" w:space="0" w:color="000000"/>
              <w:bottom w:val="single" w:sz="4" w:space="0" w:color="000000"/>
              <w:right w:val="single" w:sz="4"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360"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61" w:type="dxa"/>
            <w:tcBorders>
              <w:top w:val="nil" w:sz="6" w:space="0" w:color="auto"/>
              <w:left w:val="single" w:sz="4" w:space="0" w:color="000000"/>
              <w:bottom w:val="single" w:sz="4" w:space="0" w:color="000000"/>
              <w:right w:val="single" w:sz="8" w:space="0" w:color="000000"/>
            </w:tcBorders>
          </w:tcPr>
          <w:p>
            <w:pPr/>
          </w:p>
        </w:tc>
      </w:tr>
      <w:tr>
        <w:trPr>
          <w:trHeight w:val="295" w:hRule="exact"/>
        </w:trPr>
        <w:tc>
          <w:tcPr>
            <w:tcW w:w="69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6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2,453,560.1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2,420,055.5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1,258,749.8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1,258,749.8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Arial" w:hAnsi="Arial" w:cs="Arial" w:eastAsia="Arial" w:hint="default"/>
                <w:sz w:val="15"/>
                <w:szCs w:val="15"/>
              </w:rPr>
            </w:pPr>
            <w:r>
              <w:rPr>
                <w:rFonts w:ascii="Arial"/>
                <w:spacing w:val="-1"/>
                <w:sz w:val="15"/>
              </w:rPr>
              <w:t>1,258,749.8</w:t>
            </w:r>
          </w:p>
        </w:tc>
        <w:tc>
          <w:tcPr>
            <w:tcW w:w="690"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Arial" w:hAnsi="Arial" w:cs="Arial" w:eastAsia="Arial" w:hint="default"/>
                <w:sz w:val="15"/>
                <w:szCs w:val="15"/>
              </w:rPr>
            </w:pPr>
            <w:r>
              <w:rPr>
                <w:rFonts w:ascii="Arial"/>
                <w:spacing w:val="-1"/>
                <w:sz w:val="15"/>
              </w:rPr>
              <w:t>100%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Arial" w:hAnsi="Arial" w:cs="Arial" w:eastAsia="Arial" w:hint="default"/>
                <w:sz w:val="15"/>
                <w:szCs w:val="15"/>
              </w:rPr>
            </w:pPr>
            <w:r>
              <w:rPr>
                <w:rFonts w:ascii="Arial"/>
                <w:spacing w:val="-1"/>
                <w:sz w:val="15"/>
              </w:rPr>
              <w:t>29,881.9</w:t>
            </w:r>
          </w:p>
        </w:tc>
        <w:tc>
          <w:tcPr>
            <w:tcW w:w="72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8" w:space="0" w:color="000000"/>
            </w:tcBorders>
          </w:tcPr>
          <w:p>
            <w:pPr/>
          </w:p>
        </w:tc>
      </w:tr>
      <w:tr>
        <w:trPr>
          <w:trHeight w:val="388"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未达到计划进度原因</w:t>
            </w:r>
          </w:p>
        </w:tc>
        <w:tc>
          <w:tcPr>
            <w:tcW w:w="802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64"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left="98" w:right="92"/>
              <w:jc w:val="left"/>
              <w:rPr>
                <w:rFonts w:ascii="宋体" w:hAnsi="宋体" w:cs="宋体" w:eastAsia="宋体" w:hint="default"/>
                <w:sz w:val="15"/>
                <w:szCs w:val="15"/>
              </w:rPr>
            </w:pPr>
            <w:r>
              <w:rPr>
                <w:rFonts w:ascii="宋体" w:hAnsi="宋体" w:cs="宋体" w:eastAsia="宋体" w:hint="default"/>
                <w:spacing w:val="10"/>
                <w:sz w:val="15"/>
                <w:szCs w:val="15"/>
              </w:rPr>
              <w:t>项目可行性发生重大变化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的情况说明</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04"/>
              <w:ind w:left="103" w:right="0"/>
              <w:jc w:val="left"/>
              <w:rPr>
                <w:rFonts w:ascii="宋体" w:hAnsi="宋体" w:cs="宋体" w:eastAsia="宋体" w:hint="default"/>
                <w:sz w:val="15"/>
                <w:szCs w:val="15"/>
              </w:rPr>
            </w:pPr>
            <w:r>
              <w:rPr>
                <w:rFonts w:ascii="宋体" w:hAnsi="宋体" w:cs="宋体" w:eastAsia="宋体" w:hint="default"/>
                <w:sz w:val="15"/>
                <w:szCs w:val="15"/>
              </w:rPr>
              <w:t>本公司本期项目可行性未发生重大变化。</w:t>
            </w:r>
          </w:p>
        </w:tc>
      </w:tr>
      <w:tr>
        <w:trPr>
          <w:trHeight w:val="400"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募集资金投资项目实施地</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点变更情况</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Arial" w:hAnsi="Arial" w:cs="Arial" w:eastAsia="Arial" w:hint="default"/>
                <w:sz w:val="15"/>
                <w:szCs w:val="15"/>
              </w:rPr>
              <w:t>4</w:t>
            </w:r>
            <w:r>
              <w:rPr>
                <w:rFonts w:ascii="Arial" w:hAnsi="Arial" w:cs="Arial" w:eastAsia="Arial" w:hint="default"/>
                <w:spacing w:val="-4"/>
                <w:sz w:val="15"/>
                <w:szCs w:val="15"/>
              </w:rPr>
              <w:t> </w:t>
            </w:r>
            <w:r>
              <w:rPr>
                <w:rFonts w:ascii="宋体" w:hAnsi="宋体" w:cs="宋体" w:eastAsia="宋体" w:hint="default"/>
                <w:sz w:val="15"/>
                <w:szCs w:val="15"/>
              </w:rPr>
              <w:t>点内容</w:t>
            </w:r>
          </w:p>
        </w:tc>
      </w:tr>
      <w:tr>
        <w:trPr>
          <w:trHeight w:val="401"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募集资金投资项目实施方</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式调整情况</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募集资金投资项目先期投</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入及置换情况</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点内容</w:t>
            </w:r>
          </w:p>
        </w:tc>
      </w:tr>
      <w:tr>
        <w:trPr>
          <w:trHeight w:val="400"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170"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用闲置募集资金暂时补充</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流动资金情况</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spacing w:val="10"/>
                <w:sz w:val="15"/>
                <w:szCs w:val="15"/>
              </w:rPr>
              <w:t>项目实施出现募集资金结</w:t>
            </w:r>
            <w:r>
              <w:rPr>
                <w:rFonts w:ascii="宋体" w:hAnsi="宋体" w:cs="宋体" w:eastAsia="宋体" w:hint="default"/>
                <w:sz w:val="15"/>
                <w:szCs w:val="15"/>
              </w:rPr>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余的金额及原因</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595" w:hRule="exact"/>
        </w:trPr>
        <w:tc>
          <w:tcPr>
            <w:tcW w:w="198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72"/>
              <w:ind w:left="98" w:right="92"/>
              <w:jc w:val="left"/>
              <w:rPr>
                <w:rFonts w:ascii="宋体" w:hAnsi="宋体" w:cs="宋体" w:eastAsia="宋体" w:hint="default"/>
                <w:sz w:val="15"/>
                <w:szCs w:val="15"/>
              </w:rPr>
            </w:pPr>
            <w:r>
              <w:rPr>
                <w:rFonts w:ascii="宋体" w:hAnsi="宋体" w:cs="宋体" w:eastAsia="宋体" w:hint="default"/>
                <w:spacing w:val="10"/>
                <w:sz w:val="15"/>
                <w:szCs w:val="15"/>
              </w:rPr>
              <w:t>尚未使用的募集资金用途</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及去向</w:t>
            </w:r>
          </w:p>
        </w:tc>
        <w:tc>
          <w:tcPr>
            <w:tcW w:w="8021" w:type="dxa"/>
            <w:gridSpan w:val="10"/>
            <w:tcBorders>
              <w:top w:val="single" w:sz="4" w:space="0" w:color="000000"/>
              <w:left w:val="single" w:sz="4" w:space="0" w:color="000000"/>
              <w:bottom w:val="single" w:sz="4" w:space="0" w:color="000000"/>
              <w:right w:val="single" w:sz="8"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公司尚未使用的募集资金将主要用于连锁店发展项目，沈阳物流中心项目的建设。公司将尚未使用的募集资金存放于公</w:t>
            </w:r>
          </w:p>
          <w:p>
            <w:pPr>
              <w:pStyle w:val="TableParagraph"/>
              <w:spacing w:line="196" w:lineRule="exact" w:before="17"/>
              <w:ind w:left="103" w:right="96"/>
              <w:jc w:val="left"/>
              <w:rPr>
                <w:rFonts w:ascii="宋体" w:hAnsi="宋体" w:cs="宋体" w:eastAsia="宋体" w:hint="default"/>
                <w:sz w:val="15"/>
                <w:szCs w:val="15"/>
              </w:rPr>
            </w:pPr>
            <w:r>
              <w:rPr>
                <w:rFonts w:ascii="宋体" w:hAnsi="宋体" w:cs="宋体" w:eastAsia="宋体" w:hint="default"/>
                <w:sz w:val="15"/>
                <w:szCs w:val="15"/>
              </w:rPr>
              <w:t>司专户中，其中为提高资金使用效率，将闲置的募集资金 </w:t>
            </w:r>
            <w:r>
              <w:rPr>
                <w:rFonts w:ascii="Arial" w:hAnsi="Arial" w:cs="Arial" w:eastAsia="Arial" w:hint="default"/>
                <w:sz w:val="15"/>
                <w:szCs w:val="15"/>
              </w:rPr>
              <w:t>97,000</w:t>
            </w:r>
            <w:r>
              <w:rPr>
                <w:rFonts w:ascii="Arial" w:hAnsi="Arial" w:cs="Arial" w:eastAsia="Arial" w:hint="default"/>
                <w:spacing w:val="26"/>
                <w:sz w:val="15"/>
                <w:szCs w:val="15"/>
              </w:rPr>
              <w:t> </w:t>
            </w:r>
            <w:r>
              <w:rPr>
                <w:rFonts w:ascii="宋体" w:hAnsi="宋体" w:cs="宋体" w:eastAsia="宋体" w:hint="default"/>
                <w:sz w:val="15"/>
                <w:szCs w:val="15"/>
              </w:rPr>
              <w:t>万元以定期存单的方式存放，不存在存单抵押、质押 及其他所有权，使用权受到限制的情况。</w:t>
            </w:r>
          </w:p>
        </w:tc>
      </w:tr>
    </w:tbl>
    <w:p>
      <w:pPr>
        <w:spacing w:line="257" w:lineRule="exact" w:before="0"/>
        <w:ind w:left="122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年非公开发行股票募集的资金低于募集资金原承诺金额的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3350.46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万元已经调</w:t>
      </w:r>
    </w:p>
    <w:p>
      <w:pPr>
        <w:spacing w:before="118"/>
        <w:ind w:left="803" w:right="0" w:firstLine="0"/>
        <w:jc w:val="left"/>
        <w:rPr>
          <w:rFonts w:ascii="宋体" w:hAnsi="宋体" w:cs="宋体" w:eastAsia="宋体" w:hint="default"/>
          <w:sz w:val="21"/>
          <w:szCs w:val="21"/>
        </w:rPr>
      </w:pPr>
      <w:r>
        <w:rPr>
          <w:rFonts w:ascii="宋体" w:hAnsi="宋体" w:cs="宋体" w:eastAsia="宋体" w:hint="default"/>
          <w:sz w:val="21"/>
          <w:szCs w:val="21"/>
        </w:rPr>
        <w:t>整上海浦东旗舰店购置项目的投资总额。</w:t>
      </w:r>
    </w:p>
    <w:p>
      <w:pPr>
        <w:spacing w:line="348" w:lineRule="auto" w:before="133"/>
        <w:ind w:left="804" w:right="749" w:firstLine="420"/>
        <w:jc w:val="both"/>
        <w:rPr>
          <w:rFonts w:ascii="宋体" w:hAnsi="宋体" w:cs="宋体" w:eastAsia="宋体" w:hint="default"/>
          <w:sz w:val="22"/>
          <w:szCs w:val="22"/>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2"/>
          <w:szCs w:val="22"/>
        </w:rPr>
        <w:t>250 </w:t>
      </w:r>
      <w:r>
        <w:rPr>
          <w:rFonts w:ascii="宋体" w:hAnsi="宋体" w:cs="宋体" w:eastAsia="宋体" w:hint="default"/>
          <w:sz w:val="22"/>
          <w:szCs w:val="22"/>
        </w:rPr>
        <w:t>家连锁店项目尚未全部实施完毕，且连锁店均在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年之后开设，经营没</w:t>
      </w:r>
      <w:r>
        <w:rPr>
          <w:rFonts w:ascii="宋体" w:hAnsi="宋体" w:cs="宋体" w:eastAsia="宋体" w:hint="default"/>
          <w:w w:val="99"/>
          <w:sz w:val="22"/>
          <w:szCs w:val="22"/>
        </w:rPr>
        <w:t> </w:t>
      </w:r>
      <w:r>
        <w:rPr>
          <w:rFonts w:ascii="宋体" w:hAnsi="宋体" w:cs="宋体" w:eastAsia="宋体" w:hint="default"/>
          <w:spacing w:val="-3"/>
          <w:w w:val="99"/>
          <w:sz w:val="22"/>
          <w:szCs w:val="22"/>
        </w:rPr>
        <w:t>有达到非公开发行上市公告书判定年限－正常年（开业后第三年）。随着项目实施的推进，</w:t>
      </w:r>
      <w:r>
        <w:rPr>
          <w:rFonts w:ascii="宋体" w:hAnsi="宋体" w:cs="宋体" w:eastAsia="宋体" w:hint="default"/>
          <w:spacing w:val="-89"/>
          <w:w w:val="99"/>
          <w:sz w:val="22"/>
          <w:szCs w:val="22"/>
        </w:rPr>
        <w:t> </w:t>
      </w:r>
      <w:r>
        <w:rPr>
          <w:rFonts w:ascii="宋体" w:hAnsi="宋体" w:cs="宋体" w:eastAsia="宋体" w:hint="default"/>
          <w:spacing w:val="-89"/>
          <w:w w:val="99"/>
          <w:sz w:val="22"/>
          <w:szCs w:val="22"/>
        </w:rPr>
      </w:r>
      <w:r>
        <w:rPr>
          <w:rFonts w:ascii="宋体" w:hAnsi="宋体" w:cs="宋体" w:eastAsia="宋体" w:hint="default"/>
          <w:sz w:val="22"/>
          <w:szCs w:val="22"/>
        </w:rPr>
        <w:t>已开设连锁店进入成熟稳定期，经营效益逐步提高，该项目效益情况将会进一步体现。</w:t>
      </w:r>
    </w:p>
    <w:p>
      <w:pPr>
        <w:spacing w:line="348" w:lineRule="auto" w:before="43"/>
        <w:ind w:left="804" w:right="818"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：沈阳物流中心项目尚处于建设期，不产生经济效益；沈阳物流中心建成后有助于公 司的东北区域物流整合，在有效保障货源的前提下加快库存周转率，有效节约人力成本和租赁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费用，提高作业效率，进一步提升公司的配送服务质量和品牌形象。</w:t>
      </w:r>
    </w:p>
    <w:p>
      <w:pPr>
        <w:spacing w:line="348" w:lineRule="auto" w:before="41"/>
        <w:ind w:left="804" w:right="817"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：武汉中南旗舰店购置项目、上海浦东旗舰店购置项目连锁店均在</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年开设，经 </w:t>
      </w:r>
      <w:r>
        <w:rPr>
          <w:rFonts w:ascii="宋体" w:hAnsi="宋体" w:cs="宋体" w:eastAsia="宋体" w:hint="default"/>
          <w:spacing w:val="-5"/>
          <w:sz w:val="21"/>
          <w:szCs w:val="21"/>
        </w:rPr>
        <w:t>营没有达到非公开发行上市公告书判定年限－正常年（开业后第三年），随着连锁店进入成熟稳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定期，该项目效益情况会进一步体现。</w:t>
      </w:r>
    </w:p>
    <w:p>
      <w:pPr>
        <w:spacing w:after="0" w:line="348" w:lineRule="auto"/>
        <w:jc w:val="both"/>
        <w:rPr>
          <w:rFonts w:ascii="宋体" w:hAnsi="宋体" w:cs="宋体" w:eastAsia="宋体" w:hint="default"/>
          <w:sz w:val="21"/>
          <w:szCs w:val="21"/>
        </w:rPr>
        <w:sectPr>
          <w:pgSz w:w="11910" w:h="16840"/>
          <w:pgMar w:header="826" w:footer="900" w:top="1100" w:bottom="1100" w:left="840" w:right="820"/>
        </w:sectPr>
      </w:pPr>
    </w:p>
    <w:p>
      <w:pPr>
        <w:pStyle w:val="BodyText"/>
        <w:spacing w:line="240" w:lineRule="auto" w:before="106"/>
        <w:ind w:left="704" w:right="943"/>
        <w:jc w:val="left"/>
      </w:pPr>
      <w:r>
        <w:rPr>
          <w:rFonts w:ascii="Times New Roman" w:hAnsi="Times New Roman" w:cs="Times New Roman" w:eastAsia="Times New Roman" w:hint="default"/>
        </w:rPr>
        <w:t>2</w:t>
      </w:r>
      <w:r>
        <w:rPr/>
        <w:t>、募集资金管理制度</w:t>
      </w:r>
    </w:p>
    <w:p>
      <w:pPr>
        <w:pStyle w:val="BodyText"/>
        <w:spacing w:line="338" w:lineRule="auto" w:before="135"/>
        <w:ind w:left="223" w:right="943" w:firstLine="54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6"/>
        </w:rPr>
        <w:t>日，公司制订了《募集资金管理办法》，并经公司第二届董事</w:t>
      </w:r>
      <w:r>
        <w:rPr/>
        <w:t> 会第四次会议通过。</w:t>
      </w:r>
    </w:p>
    <w:p>
      <w:pPr>
        <w:pStyle w:val="BodyText"/>
        <w:spacing w:line="348" w:lineRule="auto" w:before="55"/>
        <w:ind w:left="223" w:right="957" w:firstLine="540"/>
        <w:jc w:val="both"/>
      </w:pPr>
      <w:r>
        <w:rPr>
          <w:spacing w:val="-3"/>
        </w:rPr>
        <w:t>根据《中小企业板上市公司募集资金管理细则》等相关法律法规的规定，公司</w:t>
      </w:r>
      <w:r>
        <w:rPr/>
        <w:t> 对募集资金管理制度予以修订。</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日经公司第二届董事会第四十七次 </w:t>
      </w:r>
      <w:r>
        <w:rPr>
          <w:spacing w:val="-6"/>
        </w:rPr>
        <w:t>会议审议通过了修订后的《募集资金管理制度》。</w:t>
      </w:r>
    </w:p>
    <w:p>
      <w:pPr>
        <w:spacing w:line="240" w:lineRule="auto" w:before="2"/>
        <w:rPr>
          <w:rFonts w:ascii="宋体" w:hAnsi="宋体" w:cs="宋体" w:eastAsia="宋体" w:hint="default"/>
          <w:sz w:val="35"/>
          <w:szCs w:val="35"/>
        </w:rPr>
      </w:pPr>
    </w:p>
    <w:p>
      <w:pPr>
        <w:pStyle w:val="BodyText"/>
        <w:spacing w:line="240" w:lineRule="auto"/>
        <w:ind w:left="704" w:right="943"/>
        <w:jc w:val="left"/>
      </w:pPr>
      <w:r>
        <w:rPr>
          <w:rFonts w:ascii="Times New Roman" w:hAnsi="Times New Roman" w:cs="Times New Roman" w:eastAsia="Times New Roman" w:hint="default"/>
        </w:rPr>
        <w:t>3</w:t>
      </w:r>
      <w:r>
        <w:rPr/>
        <w:t>、募集资金的管理及存放情况</w:t>
      </w:r>
    </w:p>
    <w:p>
      <w:pPr>
        <w:pStyle w:val="BodyText"/>
        <w:spacing w:line="338" w:lineRule="auto" w:before="135"/>
        <w:ind w:left="704" w:right="943"/>
        <w:jc w:val="left"/>
      </w:pPr>
      <w:r>
        <w:rPr/>
        <w:t>（</w:t>
      </w:r>
      <w:r>
        <w:rPr>
          <w:rFonts w:ascii="Times New Roman" w:hAnsi="Times New Roman" w:cs="Times New Roman" w:eastAsia="Times New Roman" w:hint="default"/>
        </w:rPr>
        <w:t>1</w:t>
      </w:r>
      <w:r>
        <w:rPr/>
        <w:t>）募集资金管理情况 </w:t>
      </w:r>
      <w:r>
        <w:rPr>
          <w:spacing w:val="2"/>
        </w:rPr>
        <w:t>公司募集资金实行专户存储制度，于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月，公司、保荐人分别与中国银</w:t>
      </w:r>
      <w:r>
        <w:rPr/>
      </w:r>
    </w:p>
    <w:p>
      <w:pPr>
        <w:pStyle w:val="BodyText"/>
        <w:spacing w:line="357" w:lineRule="auto" w:before="27"/>
        <w:ind w:left="224" w:right="956"/>
        <w:jc w:val="left"/>
      </w:pPr>
      <w:r>
        <w:rPr>
          <w:spacing w:val="-1"/>
        </w:rPr>
        <w:t>行股份有限公司南京鼓楼支行、中国光大银行南京分行、华夏银行股份有限公司南</w:t>
      </w:r>
      <w:r>
        <w:rPr>
          <w:spacing w:val="-104"/>
        </w:rPr>
        <w:t> </w:t>
      </w:r>
      <w:r>
        <w:rPr>
          <w:spacing w:val="-104"/>
        </w:rPr>
      </w:r>
      <w:r>
        <w:rPr>
          <w:spacing w:val="-8"/>
        </w:rPr>
        <w:t>京营业部（以下简称“商业银行”）签订《募集资金三方监管协议》。</w:t>
      </w:r>
    </w:p>
    <w:p>
      <w:pPr>
        <w:pStyle w:val="BodyText"/>
        <w:spacing w:line="240" w:lineRule="auto" w:before="36"/>
        <w:ind w:left="704" w:right="112"/>
        <w:jc w:val="left"/>
      </w:pPr>
      <w:r>
        <w:rPr/>
        <w:t>自公司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月向特定投资者非公开发行股票募集资金到位后，公司、保</w:t>
      </w:r>
    </w:p>
    <w:p>
      <w:pPr>
        <w:pStyle w:val="BodyText"/>
        <w:spacing w:line="352" w:lineRule="auto" w:before="135"/>
        <w:ind w:left="0" w:right="938"/>
        <w:jc w:val="right"/>
      </w:pPr>
      <w:r>
        <w:rPr/>
        <w:t>荐机构于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月分别与华夏银行股份有限公司南京营业部、中国光大银行南 </w:t>
      </w:r>
      <w:r>
        <w:rPr>
          <w:spacing w:val="-1"/>
        </w:rPr>
        <w:t>京分行、中国民生银行股份有限公司南京新街口支行、深圳发展银行股份有限公司</w:t>
      </w:r>
      <w:r>
        <w:rPr/>
        <w:t> </w:t>
      </w:r>
      <w:r>
        <w:rPr>
          <w:spacing w:val="-2"/>
        </w:rPr>
        <w:t>南京汉中路支行就此次募集资金的存放签订了《募集资金三方监管协议》，上述协</w:t>
      </w:r>
      <w:r>
        <w:rPr>
          <w:spacing w:val="3"/>
        </w:rPr>
        <w:t> </w:t>
      </w:r>
      <w:r>
        <w:rPr/>
        <w:t>议与三方监管协议范本不存在重大差异，本公司在使用募集资金时已经遵照履行。</w:t>
      </w:r>
      <w:r>
        <w:rPr/>
        <w:t> </w:t>
      </w:r>
      <w:r>
        <w:rPr>
          <w:spacing w:val="-4"/>
        </w:rPr>
        <w:t>在使用募集资金时，公司按照《募集资金管理制度》中的相关规定，严格履行</w:t>
      </w:r>
      <w:r>
        <w:rPr/>
      </w:r>
    </w:p>
    <w:p>
      <w:pPr>
        <w:pStyle w:val="BodyText"/>
        <w:spacing w:line="240" w:lineRule="auto" w:before="41"/>
        <w:ind w:left="223" w:right="943"/>
        <w:jc w:val="left"/>
      </w:pPr>
      <w:r>
        <w:rPr/>
        <w:t>了申请和审批手续。</w:t>
      </w:r>
    </w:p>
    <w:p>
      <w:pPr>
        <w:tabs>
          <w:tab w:pos="7303" w:val="left" w:leader="none"/>
        </w:tabs>
        <w:spacing w:before="154"/>
        <w:ind w:left="703" w:right="943"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）募集资金存放情况</w:t>
        <w:tab/>
      </w:r>
      <w:r>
        <w:rPr>
          <w:rFonts w:ascii="宋体" w:hAnsi="宋体" w:cs="宋体" w:eastAsia="宋体" w:hint="default"/>
          <w:sz w:val="21"/>
          <w:szCs w:val="21"/>
        </w:rPr>
        <w:t>（单位：千元）</w:t>
      </w:r>
    </w:p>
    <w:p>
      <w:pPr>
        <w:pStyle w:val="BodyText"/>
        <w:spacing w:line="240" w:lineRule="auto" w:before="135"/>
        <w:ind w:left="703" w:right="112"/>
        <w:jc w:val="left"/>
      </w:pPr>
      <w:r>
        <w:rPr>
          <w:spacing w:val="-10"/>
        </w:rPr>
        <w:t>公司（母公司）目前有</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个募集资金专户和</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4"/>
        </w:rPr>
        <w:t>个定期存款账户，具体情况如下：</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132"/>
        <w:gridCol w:w="2422"/>
        <w:gridCol w:w="1273"/>
        <w:gridCol w:w="1302"/>
        <w:gridCol w:w="1418"/>
      </w:tblGrid>
      <w:tr>
        <w:trPr>
          <w:trHeight w:val="254" w:hRule="exact"/>
        </w:trPr>
        <w:tc>
          <w:tcPr>
            <w:tcW w:w="3132"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42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3994"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19" w:lineRule="exact"/>
              <w:ind w:left="1029"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日余额</w:t>
            </w:r>
          </w:p>
        </w:tc>
      </w:tr>
      <w:tr>
        <w:trPr>
          <w:trHeight w:val="478" w:hRule="exact"/>
        </w:trPr>
        <w:tc>
          <w:tcPr>
            <w:tcW w:w="3132" w:type="dxa"/>
            <w:vMerge/>
            <w:tcBorders>
              <w:left w:val="single" w:sz="12" w:space="0" w:color="000000"/>
              <w:bottom w:val="single" w:sz="4" w:space="0" w:color="000000"/>
              <w:right w:val="single" w:sz="4" w:space="0" w:color="000000"/>
            </w:tcBorders>
          </w:tcPr>
          <w:p>
            <w:pPr/>
          </w:p>
        </w:tc>
        <w:tc>
          <w:tcPr>
            <w:tcW w:w="2422"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利息</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中国光大银行南京分行中山东路支行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087650120100302076988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28.91</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w w:val="95"/>
                <w:sz w:val="18"/>
              </w:rPr>
              <w:t>28.91</w:t>
            </w:r>
            <w:r>
              <w:rPr>
                <w:rFonts w:ascii="Arial"/>
                <w:sz w:val="18"/>
              </w:rPr>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w:hAnsi="Arial" w:cs="Arial" w:eastAsia="Arial" w:hint="default"/>
                <w:sz w:val="18"/>
                <w:szCs w:val="18"/>
              </w:rPr>
            </w:pPr>
            <w:r>
              <w:rPr>
                <w:rFonts w:ascii="Arial"/>
                <w:sz w:val="18"/>
              </w:rPr>
              <w:t>4131200001819100086118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41,536.41</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12,896.27</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54,432.68</w:t>
            </w:r>
            <w:r>
              <w:rPr>
                <w:rFonts w:ascii="Arial"/>
                <w:sz w:val="18"/>
              </w:rPr>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中国银行南京鼓楼支行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044030201654458094001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279.76</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sz w:val="18"/>
              </w:rPr>
              <w:t>279.76</w:t>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76490188000151375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24,768.57</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3,156.02</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27,924.59</w:t>
            </w:r>
            <w:r>
              <w:rPr>
                <w:rFonts w:ascii="Arial"/>
                <w:sz w:val="18"/>
              </w:rPr>
            </w:r>
          </w:p>
        </w:tc>
      </w:tr>
      <w:tr>
        <w:trPr>
          <w:trHeight w:val="245"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4131200001819100105110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18"/>
                <w:szCs w:val="18"/>
              </w:rPr>
            </w:pPr>
            <w:r>
              <w:rPr>
                <w:rFonts w:ascii="Arial"/>
                <w:spacing w:val="-1"/>
                <w:sz w:val="18"/>
              </w:rPr>
              <w:t>9,998.86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18"/>
                <w:szCs w:val="18"/>
              </w:rPr>
            </w:pPr>
            <w:r>
              <w:rPr>
                <w:rFonts w:ascii="Arial"/>
                <w:spacing w:val="-1"/>
                <w:sz w:val="18"/>
              </w:rPr>
              <w:t>2,996.94</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1"/>
              <w:jc w:val="right"/>
              <w:rPr>
                <w:rFonts w:ascii="Arial" w:hAnsi="Arial" w:cs="Arial" w:eastAsia="Arial" w:hint="default"/>
                <w:sz w:val="18"/>
                <w:szCs w:val="18"/>
              </w:rPr>
            </w:pPr>
            <w:r>
              <w:rPr>
                <w:rFonts w:ascii="Arial"/>
                <w:spacing w:val="-1"/>
                <w:sz w:val="18"/>
              </w:rPr>
              <w:t>12,995.80</w:t>
            </w:r>
            <w:r>
              <w:rPr>
                <w:rFonts w:ascii="Arial"/>
                <w:sz w:val="18"/>
              </w:rPr>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0804014210006558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119,999.46</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2,538.41</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sz w:val="18"/>
              </w:rPr>
              <w:t>122,537.87</w:t>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深圳发展银行南京汉中路支行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pacing w:val="-3"/>
                <w:sz w:val="18"/>
              </w:rPr>
              <w:t>11006855520611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2,919.00</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sz w:val="18"/>
              </w:rPr>
              <w:t>2,919.00</w:t>
            </w:r>
          </w:p>
        </w:tc>
      </w:tr>
      <w:tr>
        <w:trPr>
          <w:trHeight w:val="245"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077718301107638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30,000.00</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30,000.00</w:t>
            </w:r>
            <w:r>
              <w:rPr>
                <w:rFonts w:ascii="Arial"/>
                <w:sz w:val="18"/>
              </w:rPr>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077710830100097145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10,031.58</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sz w:val="18"/>
              </w:rPr>
              <w:t>610,031.58</w:t>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0804014260001498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50,000.00</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50,000.00</w:t>
            </w:r>
            <w:r>
              <w:rPr>
                <w:rFonts w:ascii="Arial"/>
                <w:sz w:val="18"/>
              </w:rPr>
            </w:r>
          </w:p>
        </w:tc>
      </w:tr>
      <w:tr>
        <w:trPr>
          <w:trHeight w:val="245"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中国民生银行南京分行新街口支行</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0804014260001391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3,343.86</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spacing w:val="-1"/>
                <w:sz w:val="18"/>
              </w:rPr>
              <w:t>203,343.86</w:t>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76490181000257270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20,000.00</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20,000.00</w:t>
            </w:r>
            <w:r>
              <w:rPr>
                <w:rFonts w:ascii="Arial"/>
                <w:sz w:val="18"/>
              </w:rPr>
            </w:r>
          </w:p>
        </w:tc>
      </w:tr>
      <w:tr>
        <w:trPr>
          <w:trHeight w:val="244"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76490181000256033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30,000.00</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30,000.00</w:t>
            </w:r>
            <w:r>
              <w:rPr>
                <w:rFonts w:ascii="Arial"/>
                <w:sz w:val="18"/>
              </w:rPr>
            </w:r>
          </w:p>
        </w:tc>
      </w:tr>
      <w:tr>
        <w:trPr>
          <w:trHeight w:val="245" w:hRule="exact"/>
        </w:trPr>
        <w:tc>
          <w:tcPr>
            <w:tcW w:w="313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76490181000255989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70,000.00</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70,000.00</w:t>
            </w:r>
            <w:r>
              <w:rPr>
                <w:rFonts w:ascii="Arial"/>
                <w:sz w:val="18"/>
              </w:rPr>
            </w:r>
          </w:p>
        </w:tc>
      </w:tr>
      <w:tr>
        <w:trPr>
          <w:trHeight w:val="254" w:hRule="exact"/>
        </w:trPr>
        <w:tc>
          <w:tcPr>
            <w:tcW w:w="3132"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2" w:type="dxa"/>
            <w:tcBorders>
              <w:top w:val="single" w:sz="4" w:space="0" w:color="000000"/>
              <w:left w:val="single" w:sz="4" w:space="0" w:color="000000"/>
              <w:bottom w:val="single" w:sz="12" w:space="0" w:color="000000"/>
              <w:right w:val="single" w:sz="4" w:space="0" w:color="000000"/>
            </w:tcBorders>
          </w:tcPr>
          <w:p>
            <w:pP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1,196,303.30</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38,190.75</w:t>
            </w:r>
            <w:r>
              <w:rPr>
                <w:rFonts w:ascii="Arial"/>
                <w:sz w:val="18"/>
              </w:rPr>
            </w: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1,234,494.05</w:t>
            </w:r>
          </w:p>
        </w:tc>
      </w:tr>
    </w:tbl>
    <w:p>
      <w:pPr>
        <w:spacing w:after="0" w:line="240" w:lineRule="auto"/>
        <w:jc w:val="right"/>
        <w:rPr>
          <w:rFonts w:ascii="Arial" w:hAnsi="Arial" w:cs="Arial" w:eastAsia="Arial" w:hint="default"/>
          <w:sz w:val="18"/>
          <w:szCs w:val="18"/>
        </w:rPr>
        <w:sectPr>
          <w:pgSz w:w="11910" w:h="16840"/>
          <w:pgMar w:header="826" w:footer="900" w:top="1100" w:bottom="1100" w:left="1420" w:right="680"/>
        </w:sectPr>
      </w:pPr>
    </w:p>
    <w:p>
      <w:pPr>
        <w:spacing w:line="357" w:lineRule="auto" w:before="110"/>
        <w:ind w:left="223" w:right="96" w:firstLine="440"/>
        <w:jc w:val="left"/>
        <w:rPr>
          <w:rFonts w:ascii="宋体" w:hAnsi="宋体" w:cs="宋体" w:eastAsia="宋体" w:hint="default"/>
          <w:sz w:val="22"/>
          <w:szCs w:val="22"/>
        </w:rPr>
      </w:pPr>
      <w:r>
        <w:rPr>
          <w:rFonts w:ascii="宋体" w:hAnsi="宋体" w:cs="宋体" w:eastAsia="宋体" w:hint="default"/>
          <w:sz w:val="22"/>
          <w:szCs w:val="22"/>
        </w:rPr>
        <w:t>公司通过子公司或分公司实施的募集资金项目，在项目具体实施过程中，募集资金连</w:t>
      </w:r>
      <w:r>
        <w:rPr>
          <w:rFonts w:ascii="宋体" w:hAnsi="宋体" w:cs="宋体" w:eastAsia="宋体" w:hint="default"/>
          <w:w w:val="99"/>
          <w:sz w:val="22"/>
          <w:szCs w:val="22"/>
        </w:rPr>
        <w:t> </w:t>
      </w:r>
      <w:r>
        <w:rPr>
          <w:rFonts w:ascii="宋体" w:hAnsi="宋体" w:cs="宋体" w:eastAsia="宋体" w:hint="default"/>
          <w:sz w:val="22"/>
          <w:szCs w:val="22"/>
        </w:rPr>
        <w:t>同其他股东增资款也实行专户管理，具体情况如下：</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802"/>
        <w:gridCol w:w="2418"/>
        <w:gridCol w:w="1174"/>
        <w:gridCol w:w="1078"/>
        <w:gridCol w:w="1036"/>
        <w:gridCol w:w="1121"/>
      </w:tblGrid>
      <w:tr>
        <w:trPr>
          <w:trHeight w:val="254" w:hRule="exact"/>
        </w:trPr>
        <w:tc>
          <w:tcPr>
            <w:tcW w:w="2802"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41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4408"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19" w:lineRule="exact"/>
              <w:ind w:left="1237"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日余额</w:t>
            </w:r>
          </w:p>
        </w:tc>
      </w:tr>
      <w:tr>
        <w:trPr>
          <w:trHeight w:val="479" w:hRule="exact"/>
        </w:trPr>
        <w:tc>
          <w:tcPr>
            <w:tcW w:w="2802" w:type="dxa"/>
            <w:vMerge/>
            <w:tcBorders>
              <w:left w:val="single" w:sz="12" w:space="0" w:color="000000"/>
              <w:bottom w:val="single" w:sz="4" w:space="0" w:color="000000"/>
              <w:right w:val="single" w:sz="4" w:space="0" w:color="000000"/>
            </w:tcBorders>
          </w:tcPr>
          <w:p>
            <w:pPr/>
          </w:p>
        </w:tc>
        <w:tc>
          <w:tcPr>
            <w:tcW w:w="2418" w:type="dxa"/>
            <w:vMerge/>
            <w:tcBorders>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3" w:right="0" w:hanging="90"/>
              <w:jc w:val="left"/>
              <w:rPr>
                <w:rFonts w:ascii="宋体" w:hAnsi="宋体" w:cs="宋体" w:eastAsia="宋体" w:hint="default"/>
                <w:sz w:val="18"/>
                <w:szCs w:val="18"/>
              </w:rPr>
            </w:pPr>
            <w:r>
              <w:rPr>
                <w:rFonts w:ascii="宋体" w:hAnsi="宋体" w:cs="宋体" w:eastAsia="宋体" w:hint="default"/>
                <w:sz w:val="18"/>
                <w:szCs w:val="18"/>
              </w:rPr>
              <w:t>其他股东</w:t>
            </w:r>
          </w:p>
          <w:p>
            <w:pPr>
              <w:pStyle w:val="TableParagraph"/>
              <w:spacing w:line="235" w:lineRule="exact"/>
              <w:ind w:left="263" w:right="0"/>
              <w:jc w:val="left"/>
              <w:rPr>
                <w:rFonts w:ascii="宋体" w:hAnsi="宋体" w:cs="宋体" w:eastAsia="宋体" w:hint="default"/>
                <w:sz w:val="18"/>
                <w:szCs w:val="18"/>
              </w:rPr>
            </w:pPr>
            <w:r>
              <w:rPr>
                <w:rFonts w:ascii="宋体" w:hAnsi="宋体" w:cs="宋体" w:eastAsia="宋体" w:hint="default"/>
                <w:sz w:val="18"/>
                <w:szCs w:val="18"/>
              </w:rPr>
              <w:t>增资款</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2" w:right="0"/>
              <w:jc w:val="left"/>
              <w:rPr>
                <w:rFonts w:ascii="宋体" w:hAnsi="宋体" w:cs="宋体" w:eastAsia="宋体" w:hint="default"/>
                <w:sz w:val="18"/>
                <w:szCs w:val="18"/>
              </w:rPr>
            </w:pPr>
            <w:r>
              <w:rPr>
                <w:rFonts w:ascii="宋体" w:hAnsi="宋体" w:cs="宋体" w:eastAsia="宋体" w:hint="default"/>
                <w:sz w:val="18"/>
                <w:szCs w:val="18"/>
              </w:rPr>
              <w:t>利息</w:t>
            </w:r>
          </w:p>
          <w:p>
            <w:pPr>
              <w:pStyle w:val="TableParagraph"/>
              <w:spacing w:line="235" w:lineRule="exact"/>
              <w:ind w:left="33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中国建设银行股份有限公司西安</w:t>
            </w:r>
          </w:p>
          <w:p>
            <w:pPr>
              <w:pStyle w:val="TableParagraph"/>
              <w:spacing w:line="235" w:lineRule="exact"/>
              <w:ind w:left="320" w:right="0"/>
              <w:jc w:val="left"/>
              <w:rPr>
                <w:rFonts w:ascii="宋体" w:hAnsi="宋体" w:cs="宋体" w:eastAsia="宋体" w:hint="default"/>
                <w:sz w:val="18"/>
                <w:szCs w:val="18"/>
              </w:rPr>
            </w:pPr>
            <w:r>
              <w:rPr>
                <w:rFonts w:ascii="宋体" w:hAnsi="宋体" w:cs="宋体" w:eastAsia="宋体" w:hint="default"/>
                <w:sz w:val="18"/>
                <w:szCs w:val="18"/>
              </w:rPr>
              <w:t>莲湖路支行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pacing w:val="-3"/>
                <w:sz w:val="18"/>
              </w:rPr>
              <w:t>61001711100052501171</w:t>
            </w:r>
            <w:r>
              <w:rPr>
                <w:rFonts w:ascii="Arial"/>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7,910.00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2,276.00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221.51</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3"/>
              <w:jc w:val="right"/>
              <w:rPr>
                <w:rFonts w:ascii="Arial" w:hAnsi="Arial" w:cs="Arial" w:eastAsia="Arial" w:hint="default"/>
                <w:sz w:val="18"/>
                <w:szCs w:val="18"/>
              </w:rPr>
            </w:pPr>
            <w:r>
              <w:rPr>
                <w:rFonts w:ascii="Arial"/>
                <w:spacing w:val="-1"/>
                <w:sz w:val="18"/>
              </w:rPr>
              <w:t>10,407.51</w:t>
            </w:r>
            <w:r>
              <w:rPr>
                <w:rFonts w:ascii="Arial"/>
                <w:sz w:val="18"/>
              </w:rPr>
            </w:r>
          </w:p>
        </w:tc>
      </w:tr>
      <w:tr>
        <w:trPr>
          <w:trHeight w:val="478"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right="73"/>
              <w:jc w:val="center"/>
              <w:rPr>
                <w:rFonts w:ascii="宋体" w:hAnsi="宋体" w:cs="宋体" w:eastAsia="宋体" w:hint="default"/>
                <w:sz w:val="18"/>
                <w:szCs w:val="18"/>
              </w:rPr>
            </w:pPr>
            <w:r>
              <w:rPr>
                <w:rFonts w:ascii="宋体" w:hAnsi="宋体" w:cs="宋体" w:eastAsia="宋体" w:hint="default"/>
                <w:sz w:val="18"/>
                <w:szCs w:val="18"/>
              </w:rPr>
              <w:t>中国建设银行股份有限公司杭州</w:t>
            </w:r>
          </w:p>
          <w:p>
            <w:pPr>
              <w:pStyle w:val="TableParagraph"/>
              <w:spacing w:line="235" w:lineRule="exact"/>
              <w:ind w:right="160"/>
              <w:jc w:val="center"/>
              <w:rPr>
                <w:rFonts w:ascii="宋体" w:hAnsi="宋体" w:cs="宋体" w:eastAsia="宋体" w:hint="default"/>
                <w:sz w:val="18"/>
                <w:szCs w:val="18"/>
              </w:rPr>
            </w:pPr>
            <w:r>
              <w:rPr>
                <w:rFonts w:ascii="宋体" w:hAnsi="宋体" w:cs="宋体" w:eastAsia="宋体" w:hint="default"/>
                <w:sz w:val="18"/>
                <w:szCs w:val="18"/>
              </w:rPr>
              <w:t>市宝石支行东山弄分理处</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33001616183053000261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8,682.00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387.05</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Arial" w:hAnsi="Arial" w:cs="Arial" w:eastAsia="Arial" w:hint="default"/>
                <w:sz w:val="18"/>
                <w:szCs w:val="18"/>
              </w:rPr>
            </w:pPr>
            <w:r>
              <w:rPr>
                <w:rFonts w:ascii="Arial"/>
                <w:spacing w:val="-1"/>
                <w:sz w:val="18"/>
              </w:rPr>
              <w:t>9,069.05</w:t>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中国建设银行杭州转塘分行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33001616786052500334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5"/>
              <w:jc w:val="right"/>
              <w:rPr>
                <w:rFonts w:ascii="Arial" w:hAnsi="Arial" w:cs="Arial" w:eastAsia="Arial" w:hint="default"/>
                <w:sz w:val="18"/>
                <w:szCs w:val="18"/>
              </w:rPr>
            </w:pPr>
            <w:r>
              <w:rPr>
                <w:rFonts w:ascii="Arial"/>
                <w:w w:val="99"/>
                <w:sz w:val="18"/>
              </w:rPr>
              <w:t>-</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26.00</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4"/>
              <w:jc w:val="right"/>
              <w:rPr>
                <w:rFonts w:ascii="Arial" w:hAnsi="Arial" w:cs="Arial" w:eastAsia="Arial" w:hint="default"/>
                <w:sz w:val="18"/>
                <w:szCs w:val="18"/>
              </w:rPr>
            </w:pPr>
            <w:r>
              <w:rPr>
                <w:rFonts w:ascii="Arial"/>
                <w:spacing w:val="-1"/>
                <w:w w:val="95"/>
                <w:sz w:val="18"/>
              </w:rPr>
              <w:t>26.00</w:t>
            </w:r>
            <w:r>
              <w:rPr>
                <w:rFonts w:ascii="Arial"/>
                <w:sz w:val="18"/>
              </w:rPr>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深圳市商业银行高新北支行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008-21001409-69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136.29</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4,136.29</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中国建设银行深圳益民支行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44201606800052501848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2,737.60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1,700.00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2.01</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4,439.61</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华夏银行广州中环支行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690810228840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4,520.10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11,500.00</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468.68</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16,488.78</w:t>
            </w:r>
            <w:r>
              <w:rPr>
                <w:rFonts w:ascii="Arial"/>
                <w:sz w:val="18"/>
              </w:rPr>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华夏银行广州中环支行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Arial" w:hAnsi="Arial" w:cs="Arial" w:eastAsia="Arial" w:hint="default"/>
                <w:sz w:val="18"/>
                <w:szCs w:val="18"/>
              </w:rPr>
            </w:pPr>
            <w:r>
              <w:rPr>
                <w:rFonts w:ascii="Arial"/>
                <w:sz w:val="18"/>
              </w:rPr>
              <w:t>5034200001810200054350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18"/>
                <w:szCs w:val="18"/>
              </w:rPr>
            </w:pPr>
            <w:r>
              <w:rPr>
                <w:rFonts w:ascii="Arial"/>
                <w:spacing w:val="-1"/>
                <w:sz w:val="18"/>
              </w:rPr>
              <w:t>5,280.90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18"/>
                <w:szCs w:val="18"/>
              </w:rPr>
            </w:pPr>
            <w:r>
              <w:rPr>
                <w:rFonts w:ascii="Arial"/>
                <w:spacing w:val="-1"/>
                <w:sz w:val="18"/>
              </w:rPr>
              <w:t>5,500.00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18"/>
                <w:szCs w:val="18"/>
              </w:rPr>
            </w:pPr>
            <w:r>
              <w:rPr>
                <w:rFonts w:ascii="Arial"/>
                <w:spacing w:val="-1"/>
                <w:w w:val="95"/>
                <w:sz w:val="18"/>
              </w:rPr>
              <w:t>14.41</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3"/>
              <w:jc w:val="right"/>
              <w:rPr>
                <w:rFonts w:ascii="Arial" w:hAnsi="Arial" w:cs="Arial" w:eastAsia="Arial" w:hint="default"/>
                <w:sz w:val="18"/>
                <w:szCs w:val="18"/>
              </w:rPr>
            </w:pPr>
            <w:r>
              <w:rPr>
                <w:rFonts w:ascii="Arial"/>
                <w:spacing w:val="-1"/>
                <w:sz w:val="18"/>
              </w:rPr>
              <w:t>10,795.31</w:t>
            </w:r>
            <w:r>
              <w:rPr>
                <w:rFonts w:ascii="Arial"/>
                <w:sz w:val="18"/>
              </w:rPr>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交通银行长沙潇湘支行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431610000018150042112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3,605.00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155.87</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3,760.87</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福州市商业银行怡丰支行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100015471790010002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2,700.00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7,000.00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207.50</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9,907.50</w:t>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交通银行福州晋安支行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351008200018010033056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1,600.00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10.42</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1,610.42</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中国银行江汉支行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18982508094001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4,428.70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2,500.00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324.97</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7,253.67</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中国银行湖北省分行万松支行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807818982508213001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3,460.00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6,460.00</w:t>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华夏银行北京平安支行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z w:val="18"/>
              </w:rPr>
              <w:t>4038200001804000016332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3,689.00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16,020.00</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77.82</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19,786.82</w:t>
            </w:r>
            <w:r>
              <w:rPr>
                <w:rFonts w:ascii="Arial"/>
                <w:sz w:val="18"/>
              </w:rPr>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中国银行长春西安大路支行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228920978608099001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8,931.30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1,600.00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17.12</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10,548.42</w:t>
            </w:r>
            <w:r>
              <w:rPr>
                <w:rFonts w:ascii="Arial"/>
                <w:sz w:val="18"/>
              </w:rPr>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交通银行沈阳分行金鹰广场支行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pacing w:val="-4"/>
                <w:sz w:val="18"/>
              </w:rPr>
              <w:t>211111207018010014649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125.49</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3,125.49</w:t>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交通银行沈阳金厦广场支行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Arial" w:hAnsi="Arial" w:cs="Arial" w:eastAsia="Arial" w:hint="default"/>
                <w:sz w:val="18"/>
                <w:szCs w:val="18"/>
              </w:rPr>
            </w:pPr>
            <w:r>
              <w:rPr>
                <w:rFonts w:ascii="Arial"/>
                <w:spacing w:val="-4"/>
                <w:sz w:val="18"/>
              </w:rPr>
              <w:t>211111207018010040338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863.92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1,449.33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w w:val="95"/>
                <w:sz w:val="18"/>
              </w:rPr>
              <w:t>49.70</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2,362.95</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中国银行江门分行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58281808099001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6,210.00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690.00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6,900.00</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中国银行汕头升平分行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56302908099001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3,150.00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350.00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3,500.00</w:t>
            </w:r>
          </w:p>
        </w:tc>
      </w:tr>
      <w:tr>
        <w:trPr>
          <w:trHeight w:val="245"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中国民生银行上海分行市北支行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0211014210005660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3,138.00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57.14</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3,195.14</w:t>
            </w:r>
          </w:p>
        </w:tc>
      </w:tr>
      <w:tr>
        <w:trPr>
          <w:trHeight w:val="244" w:hRule="exact"/>
        </w:trPr>
        <w:tc>
          <w:tcPr>
            <w:tcW w:w="280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中国建设银行惠城支行</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Arial" w:hAnsi="Arial" w:cs="Arial" w:eastAsia="Arial" w:hint="default"/>
                <w:sz w:val="18"/>
                <w:szCs w:val="18"/>
              </w:rPr>
            </w:pPr>
            <w:r>
              <w:rPr>
                <w:rFonts w:ascii="Arial"/>
                <w:sz w:val="18"/>
              </w:rPr>
              <w:t>44001718133053005407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2,210.00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5"/>
              <w:jc w:val="right"/>
              <w:rPr>
                <w:rFonts w:ascii="Arial" w:hAnsi="Arial" w:cs="Arial" w:eastAsia="Arial" w:hint="default"/>
                <w:sz w:val="18"/>
                <w:szCs w:val="18"/>
              </w:rPr>
            </w:pPr>
            <w:r>
              <w:rPr>
                <w:rFonts w:ascii="Arial"/>
                <w:w w:val="99"/>
                <w:sz w:val="18"/>
              </w:rPr>
              <w:t>-</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0.53</w:t>
            </w:r>
            <w:r>
              <w:rPr>
                <w:rFonts w:ascii="Arial"/>
                <w:sz w:val="18"/>
              </w:rPr>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2,210.53</w:t>
            </w:r>
          </w:p>
        </w:tc>
      </w:tr>
      <w:tr>
        <w:trPr>
          <w:trHeight w:val="254" w:hRule="exact"/>
        </w:trPr>
        <w:tc>
          <w:tcPr>
            <w:tcW w:w="2802"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8" w:type="dxa"/>
            <w:tcBorders>
              <w:top w:val="single" w:sz="4" w:space="0" w:color="000000"/>
              <w:left w:val="single" w:sz="4" w:space="0" w:color="000000"/>
              <w:bottom w:val="single" w:sz="12" w:space="0" w:color="000000"/>
              <w:right w:val="single" w:sz="4" w:space="0" w:color="000000"/>
            </w:tcBorders>
          </w:tcPr>
          <w:p>
            <w:pP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1"/>
              <w:jc w:val="right"/>
              <w:rPr>
                <w:rFonts w:ascii="Arial" w:hAnsi="Arial" w:cs="Arial" w:eastAsia="Arial" w:hint="default"/>
                <w:sz w:val="18"/>
                <w:szCs w:val="18"/>
              </w:rPr>
            </w:pPr>
            <w:r>
              <w:rPr>
                <w:rFonts w:ascii="Arial"/>
                <w:b/>
                <w:spacing w:val="-1"/>
                <w:sz w:val="18"/>
              </w:rPr>
              <w:t>56,091.52</w:t>
            </w:r>
            <w:r>
              <w:rPr>
                <w:rFonts w:ascii="Arial"/>
                <w:sz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b/>
                <w:spacing w:val="-1"/>
                <w:sz w:val="18"/>
              </w:rPr>
              <w:t>77,610.33</w:t>
            </w:r>
            <w:r>
              <w:rPr>
                <w:rFonts w:ascii="Arial"/>
                <w:sz w:val="18"/>
              </w:rPr>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b/>
                <w:spacing w:val="-1"/>
                <w:sz w:val="18"/>
              </w:rPr>
              <w:t>2,282.51</w:t>
            </w:r>
            <w:r>
              <w:rPr>
                <w:rFonts w:ascii="Arial"/>
                <w:spacing w:val="-1"/>
                <w:sz w:val="18"/>
              </w:rPr>
            </w:r>
          </w:p>
        </w:tc>
        <w:tc>
          <w:tcPr>
            <w:tcW w:w="11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92"/>
              <w:jc w:val="right"/>
              <w:rPr>
                <w:rFonts w:ascii="Arial" w:hAnsi="Arial" w:cs="Arial" w:eastAsia="Arial" w:hint="default"/>
                <w:sz w:val="18"/>
                <w:szCs w:val="18"/>
              </w:rPr>
            </w:pPr>
            <w:r>
              <w:rPr>
                <w:rFonts w:ascii="Arial"/>
                <w:b/>
                <w:spacing w:val="-1"/>
                <w:sz w:val="18"/>
              </w:rPr>
              <w:t>135,984.36</w:t>
            </w:r>
            <w:r>
              <w:rPr>
                <w:rFonts w:ascii="Arial"/>
                <w:spacing w:val="-1"/>
                <w:sz w:val="18"/>
              </w:rPr>
            </w:r>
          </w:p>
        </w:tc>
      </w:tr>
    </w:tbl>
    <w:p>
      <w:pPr>
        <w:spacing w:line="240" w:lineRule="auto" w:before="12"/>
        <w:rPr>
          <w:rFonts w:ascii="宋体" w:hAnsi="宋体" w:cs="宋体" w:eastAsia="宋体" w:hint="default"/>
          <w:sz w:val="16"/>
          <w:szCs w:val="16"/>
        </w:rPr>
      </w:pPr>
    </w:p>
    <w:p>
      <w:pPr>
        <w:pStyle w:val="BodyText"/>
        <w:spacing w:line="240" w:lineRule="auto" w:before="26"/>
        <w:ind w:left="704" w:right="9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 </w:t>
      </w:r>
      <w:r>
        <w:rPr/>
        <w:t>年募集资金项目的实施方式、地点变更情况</w:t>
      </w:r>
    </w:p>
    <w:p>
      <w:pPr>
        <w:pStyle w:val="BodyText"/>
        <w:spacing w:line="240" w:lineRule="auto" w:before="135"/>
        <w:ind w:left="703" w:right="96"/>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21 </w:t>
      </w:r>
      <w:r>
        <w:rPr>
          <w:spacing w:val="-3"/>
        </w:rPr>
        <w:t>日，本公司第三届董事会第二十四次会议通过了《关于</w:t>
      </w:r>
      <w:r>
        <w:rPr>
          <w:spacing w:val="-60"/>
        </w:rPr>
        <w:t> </w:t>
      </w:r>
      <w:r>
        <w:rPr>
          <w:rFonts w:ascii="Times New Roman" w:hAnsi="Times New Roman" w:cs="Times New Roman" w:eastAsia="Times New Roman" w:hint="default"/>
        </w:rPr>
        <w:t>250 </w:t>
      </w:r>
      <w:r>
        <w:rPr/>
        <w:t>家</w:t>
      </w:r>
    </w:p>
    <w:p>
      <w:pPr>
        <w:pStyle w:val="BodyText"/>
        <w:spacing w:line="240" w:lineRule="auto" w:before="135"/>
        <w:ind w:left="223" w:right="96"/>
        <w:jc w:val="left"/>
      </w:pPr>
      <w:r>
        <w:rPr/>
        <w:t>连锁店发展项目中部分连锁店实施地点变更的议案</w:t>
      </w:r>
      <w:r>
        <w:rPr>
          <w:spacing w:val="-120"/>
        </w:rPr>
        <w:t>》</w:t>
      </w:r>
      <w:r>
        <w:rPr/>
        <w:t>，对</w:t>
      </w:r>
      <w:r>
        <w:rPr>
          <w:spacing w:val="-10"/>
        </w:rPr>
        <w:t> </w:t>
      </w:r>
      <w:r>
        <w:rPr>
          <w:rFonts w:ascii="Times New Roman" w:hAnsi="Times New Roman" w:cs="Times New Roman" w:eastAsia="Times New Roman" w:hint="default"/>
        </w:rPr>
        <w:t>250 </w:t>
      </w:r>
      <w:r>
        <w:rPr>
          <w:rFonts w:ascii="Times New Roman" w:hAnsi="Times New Roman" w:cs="Times New Roman" w:eastAsia="Times New Roman" w:hint="default"/>
          <w:spacing w:val="-10"/>
        </w:rPr>
        <w:t> </w:t>
      </w:r>
      <w:r>
        <w:rPr/>
        <w:t>家连锁店发展项目中</w:t>
      </w:r>
    </w:p>
    <w:p>
      <w:pPr>
        <w:pStyle w:val="BodyText"/>
        <w:spacing w:line="240" w:lineRule="auto" w:before="135"/>
        <w:ind w:left="223" w:right="96"/>
        <w:jc w:val="left"/>
      </w:pPr>
      <w:r>
        <w:rPr>
          <w:rFonts w:ascii="Times New Roman" w:hAnsi="Times New Roman" w:cs="Times New Roman" w:eastAsia="Times New Roman" w:hint="default"/>
        </w:rPr>
        <w:t>18 </w:t>
      </w:r>
      <w:r>
        <w:rPr/>
        <w:t>家连锁店实施地点进行变更。具体变更情况如下：</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1080"/>
        <w:gridCol w:w="1980"/>
        <w:gridCol w:w="1620"/>
        <w:gridCol w:w="1980"/>
        <w:gridCol w:w="1980"/>
      </w:tblGrid>
      <w:tr>
        <w:trPr>
          <w:trHeight w:val="60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地区</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0"/>
                <w:szCs w:val="20"/>
              </w:rPr>
            </w:pPr>
            <w:r>
              <w:rPr>
                <w:rFonts w:ascii="宋体" w:hAnsi="宋体" w:cs="宋体" w:eastAsia="宋体" w:hint="default"/>
                <w:sz w:val="20"/>
                <w:szCs w:val="20"/>
              </w:rPr>
              <w:t>变更前</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0"/>
                <w:szCs w:val="20"/>
              </w:rPr>
            </w:pPr>
            <w:r>
              <w:rPr>
                <w:rFonts w:ascii="宋体" w:hAnsi="宋体" w:cs="宋体" w:eastAsia="宋体" w:hint="default"/>
                <w:sz w:val="20"/>
                <w:szCs w:val="20"/>
              </w:rPr>
              <w:t>变更后</w:t>
            </w:r>
          </w:p>
        </w:tc>
      </w:tr>
      <w:tr>
        <w:trPr>
          <w:trHeight w:val="790"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店面名称</w:t>
            </w:r>
          </w:p>
          <w:p>
            <w:pPr>
              <w:pStyle w:val="TableParagraph"/>
              <w:spacing w:line="260" w:lineRule="exact" w:before="24"/>
              <w:ind w:left="151" w:right="149"/>
              <w:jc w:val="center"/>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暂定名，以工商核</w:t>
            </w:r>
            <w:r>
              <w:rPr>
                <w:rFonts w:ascii="宋体" w:hAnsi="宋体" w:cs="宋体" w:eastAsia="宋体" w:hint="default"/>
                <w:w w:val="100"/>
                <w:sz w:val="20"/>
                <w:szCs w:val="20"/>
              </w:rPr>
              <w:t> </w:t>
            </w:r>
            <w:r>
              <w:rPr>
                <w:rFonts w:ascii="宋体" w:hAnsi="宋体" w:cs="宋体" w:eastAsia="宋体" w:hint="default"/>
                <w:sz w:val="20"/>
                <w:szCs w:val="20"/>
              </w:rPr>
              <w:t>准为准</w:t>
            </w:r>
            <w:r>
              <w:rPr>
                <w:rFonts w:ascii="Arial" w:hAnsi="Arial" w:cs="Arial" w:eastAsia="Arial" w:hint="default"/>
                <w:sz w:val="20"/>
                <w:szCs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商圈与区域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店面名称</w:t>
            </w:r>
          </w:p>
          <w:p>
            <w:pPr>
              <w:pStyle w:val="TableParagraph"/>
              <w:spacing w:line="260" w:lineRule="exact" w:before="24"/>
              <w:ind w:left="151" w:right="149"/>
              <w:jc w:val="center"/>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暂定名，以工商核</w:t>
            </w:r>
            <w:r>
              <w:rPr>
                <w:rFonts w:ascii="宋体" w:hAnsi="宋体" w:cs="宋体" w:eastAsia="宋体" w:hint="default"/>
                <w:w w:val="100"/>
                <w:sz w:val="20"/>
                <w:szCs w:val="20"/>
              </w:rPr>
              <w:t> </w:t>
            </w:r>
            <w:r>
              <w:rPr>
                <w:rFonts w:ascii="宋体" w:hAnsi="宋体" w:cs="宋体" w:eastAsia="宋体" w:hint="default"/>
                <w:sz w:val="20"/>
                <w:szCs w:val="20"/>
              </w:rPr>
              <w:t>准为准</w:t>
            </w:r>
            <w:r>
              <w:rPr>
                <w:rFonts w:ascii="Arial" w:hAnsi="Arial" w:cs="Arial" w:eastAsia="Arial" w:hint="default"/>
                <w:sz w:val="20"/>
                <w:szCs w:val="20"/>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商圈与区域</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吉林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延吉</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西市场或东市场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榆树店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榆树大街商圈</w:t>
            </w:r>
          </w:p>
        </w:tc>
      </w:tr>
      <w:tr>
        <w:trPr>
          <w:trHeight w:val="3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黑龙江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绥化店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北林区核心商圈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绥芬河店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光华路商圈</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山西</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晋城店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新市西街商圈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阳泉店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滨河世纪城商圈</w:t>
            </w:r>
          </w:p>
        </w:tc>
      </w:tr>
      <w:tr>
        <w:trPr>
          <w:trHeight w:val="3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南京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南湖店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南湖商圈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江宁三店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江宁区</w:t>
            </w:r>
          </w:p>
        </w:tc>
      </w:tr>
      <w:tr>
        <w:trPr>
          <w:trHeight w:val="3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无锡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江阴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江阴商圈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盛岸西路店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西北家居城商圈</w:t>
            </w:r>
          </w:p>
        </w:tc>
      </w:tr>
      <w:tr>
        <w:trPr>
          <w:trHeight w:val="368"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市区</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滨湖商圈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中山路店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中山路商圈</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东环店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东环商圈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干将路店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观前商圈</w:t>
            </w:r>
          </w:p>
        </w:tc>
      </w:tr>
      <w:tr>
        <w:trPr>
          <w:trHeight w:val="36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清河泾店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清河泾商圈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共和新路三店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共和新路商圈</w:t>
            </w:r>
          </w:p>
        </w:tc>
      </w:tr>
      <w:tr>
        <w:trPr>
          <w:trHeight w:val="370"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北渔路店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北渔路商圈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新松江路店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松江新城核心商圈</w:t>
            </w:r>
          </w:p>
        </w:tc>
      </w:tr>
    </w:tbl>
    <w:p>
      <w:pPr>
        <w:spacing w:after="0" w:line="240" w:lineRule="auto"/>
        <w:jc w:val="center"/>
        <w:rPr>
          <w:rFonts w:ascii="宋体" w:hAnsi="宋体" w:cs="宋体" w:eastAsia="宋体" w:hint="default"/>
          <w:sz w:val="20"/>
          <w:szCs w:val="20"/>
        </w:rPr>
        <w:sectPr>
          <w:pgSz w:w="11910" w:h="16840"/>
          <w:pgMar w:header="826" w:footer="900" w:top="1100" w:bottom="1100" w:left="1420" w:right="600"/>
        </w:sectPr>
      </w:pPr>
    </w:p>
    <w:p>
      <w:pPr>
        <w:spacing w:line="240" w:lineRule="auto" w:before="1"/>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1080"/>
        <w:gridCol w:w="1980"/>
        <w:gridCol w:w="1620"/>
        <w:gridCol w:w="1980"/>
        <w:gridCol w:w="1980"/>
      </w:tblGrid>
      <w:tr>
        <w:trPr>
          <w:trHeight w:val="3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浙江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临平店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临平市区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良渚店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良渚核心商圈</w:t>
            </w:r>
          </w:p>
        </w:tc>
      </w:tr>
      <w:tr>
        <w:trPr>
          <w:trHeight w:val="368"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温州</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龙湾区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瑞安二店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瑞安商圈</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龙岩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新区店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新区商圈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长汀店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长汀县</w:t>
            </w:r>
          </w:p>
        </w:tc>
      </w:tr>
      <w:tr>
        <w:trPr>
          <w:trHeight w:val="36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广州</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花都</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花都商圈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桥南街店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桥南商圈</w:t>
            </w:r>
          </w:p>
        </w:tc>
      </w:tr>
      <w:tr>
        <w:trPr>
          <w:trHeight w:val="370" w:hRule="exact"/>
        </w:trPr>
        <w:tc>
          <w:tcPr>
            <w:tcW w:w="1080"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黄埔店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黄埔商圈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同德围店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同德围商圈</w:t>
            </w:r>
          </w:p>
        </w:tc>
      </w:tr>
      <w:tr>
        <w:trPr>
          <w:trHeight w:val="368"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农林下路店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0"/>
                <w:szCs w:val="20"/>
              </w:rPr>
            </w:pPr>
            <w:r>
              <w:rPr>
                <w:rFonts w:ascii="宋体" w:hAnsi="宋体" w:cs="宋体" w:eastAsia="宋体" w:hint="default"/>
                <w:sz w:val="20"/>
                <w:szCs w:val="20"/>
              </w:rPr>
              <w:t>农林下路商圈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同和二店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同和商圈</w:t>
            </w:r>
          </w:p>
        </w:tc>
      </w:tr>
      <w:tr>
        <w:trPr>
          <w:trHeight w:val="3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sz w:val="20"/>
                <w:szCs w:val="20"/>
              </w:rPr>
              <w:t>湖南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娄底店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娄星商圈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衡阳三店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河东商圈</w:t>
            </w:r>
          </w:p>
        </w:tc>
      </w:tr>
      <w:tr>
        <w:trPr>
          <w:trHeight w:val="368" w:hRule="exact"/>
        </w:trPr>
        <w:tc>
          <w:tcPr>
            <w:tcW w:w="108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邵阳店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双清区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衡阳四店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晶珠商圈</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河南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周口店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川汇区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hAnsi="宋体" w:cs="宋体" w:eastAsia="宋体" w:hint="default"/>
                <w:sz w:val="20"/>
                <w:szCs w:val="20"/>
              </w:rPr>
              <w:t>南阳店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hAnsi="宋体" w:cs="宋体" w:eastAsia="宋体" w:hint="default"/>
                <w:sz w:val="20"/>
                <w:szCs w:val="20"/>
              </w:rPr>
              <w:t>新华商圈</w:t>
            </w:r>
          </w:p>
        </w:tc>
      </w:tr>
    </w:tbl>
    <w:p>
      <w:pPr>
        <w:pStyle w:val="BodyText"/>
        <w:spacing w:line="293" w:lineRule="exact"/>
        <w:ind w:left="624" w:right="0"/>
        <w:jc w:val="left"/>
      </w:pPr>
      <w:r>
        <w:rPr/>
        <w:t>上述连锁店实施地点变更后，原</w:t>
      </w:r>
      <w:r>
        <w:rPr>
          <w:spacing w:val="-70"/>
        </w:rPr>
        <w:t> </w:t>
      </w:r>
      <w:r>
        <w:rPr>
          <w:rFonts w:ascii="Times New Roman" w:hAnsi="Times New Roman" w:cs="Times New Roman" w:eastAsia="Times New Roman" w:hint="default"/>
        </w:rPr>
        <w:t>250</w:t>
      </w:r>
      <w:r>
        <w:rPr>
          <w:rFonts w:ascii="Times New Roman" w:hAnsi="Times New Roman" w:cs="Times New Roman" w:eastAsia="Times New Roman" w:hint="default"/>
          <w:spacing w:val="-10"/>
        </w:rPr>
        <w:t> </w:t>
      </w:r>
      <w:r>
        <w:rPr/>
        <w:t>家连锁店发展项目的投资方案不变，不会</w:t>
      </w:r>
    </w:p>
    <w:p>
      <w:pPr>
        <w:pStyle w:val="BodyText"/>
        <w:spacing w:line="240" w:lineRule="auto" w:before="135"/>
        <w:ind w:left="693" w:right="101" w:hanging="550"/>
        <w:jc w:val="left"/>
      </w:pPr>
      <w:r>
        <w:rPr/>
        <w:t>对项目的实施进度和盈利水平产生不利的影响。</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343" w:lineRule="auto"/>
        <w:ind w:left="743" w:right="101" w:hanging="51"/>
        <w:jc w:val="left"/>
      </w:pPr>
      <w:r>
        <w:rPr>
          <w:rFonts w:ascii="Arial" w:hAnsi="Arial" w:cs="Arial" w:eastAsia="Arial" w:hint="default"/>
          <w:sz w:val="22"/>
          <w:szCs w:val="22"/>
        </w:rPr>
        <w:t>5</w:t>
      </w:r>
      <w:r>
        <w:rPr/>
        <w:t>、募集资金项目先期投入及置换情况 </w:t>
      </w:r>
      <w:r>
        <w:rPr>
          <w:spacing w:val="-1"/>
        </w:rPr>
        <w:t>截至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日止，公司以自筹资金预先投入募集资金投资项目计人民币</w:t>
      </w:r>
    </w:p>
    <w:p>
      <w:pPr>
        <w:pStyle w:val="BodyText"/>
        <w:spacing w:line="340" w:lineRule="auto" w:before="21"/>
        <w:ind w:right="101"/>
        <w:jc w:val="left"/>
      </w:pPr>
      <w:r>
        <w:rPr>
          <w:rFonts w:ascii="Times New Roman" w:hAnsi="Times New Roman" w:cs="Times New Roman" w:eastAsia="Times New Roman" w:hint="default"/>
        </w:rPr>
        <w:t>1,224,044,375</w:t>
      </w:r>
      <w:r>
        <w:rPr/>
        <w:t>元，业经普华永道中天会计师事务所有限公司予以验证并出具普华永 道中天特审字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724</w:t>
      </w:r>
      <w:r>
        <w:rPr/>
        <w:t>号鉴证报告。根据公司于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日召开的第三届董 </w:t>
      </w:r>
      <w:r>
        <w:rPr>
          <w:spacing w:val="-1"/>
        </w:rPr>
        <w:t>事会第二十次会议通过的《关于以募集资金置换预先已投入募投项目的自筹资金的</w:t>
      </w:r>
      <w:r>
        <w:rPr>
          <w:spacing w:val="-104"/>
        </w:rPr>
        <w:t> </w:t>
      </w:r>
      <w:r>
        <w:rPr>
          <w:spacing w:val="-104"/>
        </w:rPr>
      </w:r>
      <w:r>
        <w:rPr/>
        <w:t>议案》，同意公司以人民币</w:t>
      </w:r>
      <w:r>
        <w:rPr>
          <w:rFonts w:ascii="Times New Roman" w:hAnsi="Times New Roman" w:cs="Times New Roman" w:eastAsia="Times New Roman" w:hint="default"/>
        </w:rPr>
        <w:t>117,175.68</w:t>
      </w:r>
      <w:r>
        <w:rPr/>
        <w:t>万元置换预先已投入募集资金投资项目的自 筹资金。具体情况请参见公司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日《关于以募集资金置换预先已投入募 投项目的自筹资金的公告》。</w:t>
      </w:r>
    </w:p>
    <w:p>
      <w:pPr>
        <w:spacing w:line="240" w:lineRule="auto" w:before="9"/>
        <w:rPr>
          <w:rFonts w:ascii="宋体" w:hAnsi="宋体" w:cs="宋体" w:eastAsia="宋体" w:hint="default"/>
          <w:sz w:val="35"/>
          <w:szCs w:val="35"/>
        </w:rPr>
      </w:pPr>
    </w:p>
    <w:p>
      <w:pPr>
        <w:pStyle w:val="BodyText"/>
        <w:spacing w:line="338" w:lineRule="auto"/>
        <w:ind w:left="683" w:right="121" w:firstLine="60"/>
        <w:jc w:val="left"/>
      </w:pPr>
      <w:r>
        <w:rPr>
          <w:rFonts w:ascii="Times New Roman" w:hAnsi="Times New Roman" w:cs="Times New Roman" w:eastAsia="Times New Roman" w:hint="default"/>
        </w:rPr>
        <w:t>6</w:t>
      </w:r>
      <w:r>
        <w:rPr/>
        <w:t>、募集资金使用的其他情况 公司第二届董事会第二十五次会议通过的《关于公司 </w:t>
      </w:r>
      <w:r>
        <w:rPr>
          <w:rFonts w:ascii="Times New Roman" w:hAnsi="Times New Roman" w:cs="Times New Roman" w:eastAsia="Times New Roman" w:hint="default"/>
        </w:rPr>
        <w:t>2006</w:t>
      </w:r>
      <w:r>
        <w:rPr>
          <w:rFonts w:ascii="Times New Roman" w:hAnsi="Times New Roman" w:cs="Times New Roman" w:eastAsia="Times New Roman" w:hint="default"/>
          <w:spacing w:val="-20"/>
        </w:rPr>
        <w:t> </w:t>
      </w:r>
      <w:r>
        <w:rPr/>
        <w:t>年非公开发行股票</w:t>
      </w:r>
    </w:p>
    <w:p>
      <w:pPr>
        <w:pStyle w:val="BodyText"/>
        <w:spacing w:line="348" w:lineRule="auto" w:before="27"/>
        <w:ind w:right="137"/>
        <w:jc w:val="both"/>
      </w:pPr>
      <w:r>
        <w:rPr/>
        <w:t>方案的议案》并经公司 </w:t>
      </w:r>
      <w:r>
        <w:rPr>
          <w:rFonts w:ascii="Times New Roman" w:hAnsi="Times New Roman" w:cs="Times New Roman" w:eastAsia="Times New Roman" w:hint="default"/>
        </w:rPr>
        <w:t>2006</w:t>
      </w:r>
      <w:r>
        <w:rPr>
          <w:rFonts w:ascii="Times New Roman" w:hAnsi="Times New Roman" w:cs="Times New Roman" w:eastAsia="Times New Roman" w:hint="default"/>
          <w:spacing w:val="40"/>
        </w:rPr>
        <w:t> </w:t>
      </w:r>
      <w:r>
        <w:rPr/>
        <w:t>年第一次临时股东大会决议通过：本次非公开发行股 </w:t>
      </w:r>
      <w:r>
        <w:rPr>
          <w:spacing w:val="-1"/>
        </w:rPr>
        <w:t>票募集的现金超过上述项目计划募集资金投入部分用于补充本公司的流动资金，不</w:t>
      </w:r>
      <w:r>
        <w:rPr>
          <w:spacing w:val="-104"/>
        </w:rPr>
        <w:t> </w:t>
      </w:r>
      <w:r>
        <w:rPr>
          <w:spacing w:val="-104"/>
        </w:rPr>
      </w:r>
      <w:r>
        <w:rPr/>
        <w:t>足部分由本公司自筹解决。</w:t>
      </w:r>
    </w:p>
    <w:p>
      <w:pPr>
        <w:pStyle w:val="BodyText"/>
        <w:spacing w:line="240" w:lineRule="auto" w:before="46"/>
        <w:ind w:left="683" w:right="101"/>
        <w:jc w:val="left"/>
      </w:pPr>
      <w:r>
        <w:rPr>
          <w:spacing w:val="7"/>
        </w:rPr>
        <w:t>公司 </w:t>
      </w:r>
      <w:r>
        <w:rPr>
          <w:rFonts w:ascii="Times New Roman" w:hAnsi="Times New Roman" w:cs="Times New Roman" w:eastAsia="Times New Roman" w:hint="default"/>
        </w:rPr>
        <w:t>2006 </w:t>
      </w:r>
      <w:r>
        <w:rPr>
          <w:rFonts w:ascii="Times New Roman" w:hAnsi="Times New Roman" w:cs="Times New Roman" w:eastAsia="Times New Roman" w:hint="default"/>
          <w:spacing w:val="17"/>
        </w:rPr>
        <w:t> </w:t>
      </w:r>
      <w:r>
        <w:rPr>
          <w:spacing w:val="13"/>
        </w:rPr>
        <w:t>年非公开发行股票募集的现金超过项目计划募集资金投入部分</w:t>
      </w:r>
      <w:r>
        <w:rPr/>
      </w:r>
    </w:p>
    <w:p>
      <w:pPr>
        <w:pStyle w:val="BodyText"/>
        <w:spacing w:line="240" w:lineRule="auto" w:before="135"/>
        <w:ind w:right="101"/>
        <w:jc w:val="left"/>
      </w:pPr>
      <w:r>
        <w:rPr>
          <w:rFonts w:ascii="Times New Roman" w:hAnsi="Times New Roman" w:cs="Times New Roman" w:eastAsia="Times New Roman" w:hint="default"/>
        </w:rPr>
        <w:t>410,201.0 </w:t>
      </w:r>
      <w:r>
        <w:rPr/>
        <w:t>千元，已用于补充流动资金。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338" w:lineRule="auto"/>
        <w:ind w:left="623" w:right="135"/>
        <w:jc w:val="left"/>
      </w:pPr>
      <w:r>
        <w:rPr>
          <w:rFonts w:ascii="Times New Roman" w:hAnsi="Times New Roman" w:cs="Times New Roman" w:eastAsia="Times New Roman" w:hint="default"/>
        </w:rPr>
        <w:t>7</w:t>
      </w:r>
      <w:r>
        <w:rPr/>
        <w:t>、会计师事务所对募集资金年度使用情况专项报告的鉴证意见 </w:t>
      </w:r>
      <w:r>
        <w:rPr>
          <w:spacing w:val="-1"/>
        </w:rPr>
        <w:t>“我们认为，上述募集资金年度使用情况的专项报告已经按照深圳证券交易所</w:t>
      </w:r>
    </w:p>
    <w:p>
      <w:pPr>
        <w:pStyle w:val="BodyText"/>
        <w:spacing w:line="338" w:lineRule="auto" w:before="55"/>
        <w:ind w:right="121"/>
        <w:jc w:val="left"/>
      </w:pPr>
      <w:r>
        <w:rPr>
          <w:spacing w:val="-5"/>
        </w:rPr>
        <w:t>颁布的《中小企业板上市公司募集资金管理细则》（</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53"/>
        </w:rPr>
        <w:t> </w:t>
      </w:r>
      <w:r>
        <w:rPr/>
        <w:t>年修订）及《中小企业板 上市公司临时报告内容与格式指引第</w:t>
      </w:r>
      <w:r>
        <w:rPr>
          <w:spacing w:val="-70"/>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号：募集资金年度使用情况的专项报告》的</w:t>
      </w:r>
    </w:p>
    <w:p>
      <w:pPr>
        <w:spacing w:after="0" w:line="338" w:lineRule="auto"/>
        <w:jc w:val="left"/>
        <w:sectPr>
          <w:pgSz w:w="11910" w:h="16840"/>
          <w:pgMar w:header="826" w:footer="900" w:top="1100" w:bottom="1100" w:left="1500" w:right="1500"/>
        </w:sectPr>
      </w:pPr>
    </w:p>
    <w:p>
      <w:pPr>
        <w:pStyle w:val="BodyText"/>
        <w:spacing w:line="338" w:lineRule="auto" w:before="106"/>
        <w:ind w:right="218"/>
        <w:jc w:val="both"/>
      </w:pPr>
      <w:r>
        <w:rPr/>
        <w:t>通知编制，在所有重大方面如实反映了贵公司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年度募集资金的存放和使用情 </w:t>
      </w:r>
      <w:r>
        <w:rPr>
          <w:spacing w:val="-40"/>
        </w:rPr>
        <w:t>况。”</w:t>
      </w:r>
      <w:r>
        <w:rPr/>
        <w:t> ――引自普华永道中天会计师事务所有限公司普华永道中天特审字（</w:t>
      </w:r>
      <w:r>
        <w:rPr>
          <w:rFonts w:ascii="Times New Roman" w:hAnsi="Times New Roman" w:cs="Times New Roman" w:eastAsia="Times New Roman" w:hint="default"/>
        </w:rPr>
        <w:t>2009</w:t>
      </w:r>
      <w:r>
        <w:rPr/>
        <w:t>） </w:t>
      </w:r>
      <w:r>
        <w:rPr>
          <w:rFonts w:ascii="Times New Roman" w:hAnsi="Times New Roman" w:cs="Times New Roman" w:eastAsia="Times New Roman" w:hint="default"/>
        </w:rPr>
        <w:t>193</w:t>
      </w:r>
      <w:r>
        <w:rPr>
          <w:rFonts w:ascii="Times New Roman" w:hAnsi="Times New Roman" w:cs="Times New Roman" w:eastAsia="Times New Roman" w:hint="default"/>
          <w:spacing w:val="1"/>
        </w:rPr>
        <w:t> </w:t>
      </w:r>
      <w:r>
        <w:rPr>
          <w:spacing w:val="-7"/>
        </w:rPr>
        <w:t>号《苏宁电器股份有限公司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年度募集资金年度使用情况的专项报告及鉴证 </w:t>
      </w:r>
      <w:r>
        <w:rPr>
          <w:spacing w:val="-30"/>
        </w:rPr>
        <w:t>报告》。</w:t>
      </w:r>
    </w:p>
    <w:p>
      <w:pPr>
        <w:spacing w:line="240" w:lineRule="auto" w:before="12"/>
        <w:rPr>
          <w:rFonts w:ascii="宋体" w:hAnsi="宋体" w:cs="宋体" w:eastAsia="宋体" w:hint="default"/>
          <w:sz w:val="31"/>
          <w:szCs w:val="31"/>
        </w:rPr>
      </w:pPr>
    </w:p>
    <w:p>
      <w:pPr>
        <w:pStyle w:val="BodyText"/>
        <w:spacing w:line="240" w:lineRule="auto"/>
        <w:ind w:left="624" w:right="108"/>
        <w:jc w:val="left"/>
      </w:pPr>
      <w:r>
        <w:rPr/>
        <w:t>（二）非募集资金投资情况</w:t>
      </w:r>
    </w:p>
    <w:p>
      <w:pPr>
        <w:pStyle w:val="BodyText"/>
        <w:spacing w:line="338" w:lineRule="auto" w:before="154"/>
        <w:ind w:right="108" w:firstLine="48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22</w:t>
      </w:r>
      <w:r>
        <w:rPr>
          <w:spacing w:val="-1"/>
        </w:rPr>
        <w:t>日，公司出资成立宜宾苏宁电器有限公司，注册资本</w:t>
      </w:r>
      <w:r>
        <w:rPr>
          <w:rFonts w:ascii="Times New Roman" w:hAnsi="Times New Roman" w:cs="Times New Roman" w:eastAsia="Times New Roman" w:hint="default"/>
          <w:spacing w:val="-1"/>
        </w:rPr>
        <w:t>500</w:t>
      </w:r>
      <w:r>
        <w:rPr>
          <w:spacing w:val="-1"/>
        </w:rPr>
        <w:t>万元，</w:t>
      </w:r>
      <w:r>
        <w:rPr/>
        <w:t> 公司出资</w:t>
      </w:r>
      <w:r>
        <w:rPr>
          <w:rFonts w:ascii="Times New Roman" w:hAnsi="Times New Roman" w:cs="Times New Roman" w:eastAsia="Times New Roman" w:hint="default"/>
        </w:rPr>
        <w:t>500</w:t>
      </w:r>
      <w:r>
        <w:rPr/>
        <w:t>万元，占注册资本的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36.10</w:t>
      </w:r>
      <w:r>
        <w:rPr/>
        <w:t>万元。</w:t>
      </w:r>
    </w:p>
    <w:p>
      <w:pPr>
        <w:pStyle w:val="BodyText"/>
        <w:spacing w:line="338" w:lineRule="auto" w:before="27"/>
        <w:ind w:right="236" w:firstLine="48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日，公司与控股子公司—青岛鲁宁苏宁电器有限公司共同出资</w:t>
      </w:r>
      <w:r>
        <w:rPr/>
        <w:t> 组建威海苏宁电器有限公司，注册资本</w:t>
      </w:r>
      <w:r>
        <w:rPr>
          <w:rFonts w:ascii="Times New Roman" w:hAnsi="Times New Roman" w:cs="Times New Roman" w:eastAsia="Times New Roman" w:hint="default"/>
        </w:rPr>
        <w:t>1000</w:t>
      </w:r>
      <w:r>
        <w:rPr/>
        <w:t>万元。其中公司出资</w:t>
      </w:r>
      <w:r>
        <w:rPr>
          <w:rFonts w:ascii="Times New Roman" w:hAnsi="Times New Roman" w:cs="Times New Roman" w:eastAsia="Times New Roman" w:hint="default"/>
        </w:rPr>
        <w:t>900</w:t>
      </w:r>
      <w:r>
        <w:rPr/>
        <w:t>万元，占注册 </w:t>
      </w:r>
      <w:r>
        <w:rPr>
          <w:spacing w:val="-2"/>
        </w:rPr>
        <w:t>资本的</w:t>
      </w:r>
      <w:r>
        <w:rPr>
          <w:rFonts w:ascii="Times New Roman" w:hAnsi="Times New Roman" w:cs="Times New Roman" w:eastAsia="Times New Roman" w:hint="default"/>
          <w:spacing w:val="-2"/>
        </w:rPr>
        <w:t>90%</w:t>
      </w:r>
      <w:r>
        <w:rPr>
          <w:spacing w:val="-2"/>
        </w:rPr>
        <w:t>；青岛鲁宁苏宁电器有限公司出资</w:t>
      </w:r>
      <w:r>
        <w:rPr>
          <w:rFonts w:ascii="Times New Roman" w:hAnsi="Times New Roman" w:cs="Times New Roman" w:eastAsia="Times New Roman" w:hint="default"/>
          <w:spacing w:val="-2"/>
        </w:rPr>
        <w:t>100</w:t>
      </w:r>
      <w:r>
        <w:rPr>
          <w:spacing w:val="-2"/>
        </w:rPr>
        <w:t>万元，占注册资本的</w:t>
      </w:r>
      <w:r>
        <w:rPr>
          <w:rFonts w:ascii="Times New Roman" w:hAnsi="Times New Roman" w:cs="Times New Roman" w:eastAsia="Times New Roman" w:hint="default"/>
          <w:spacing w:val="-2"/>
        </w:rPr>
        <w:t>10%</w:t>
      </w:r>
      <w:r>
        <w:rPr>
          <w:spacing w:val="-2"/>
        </w:rPr>
        <w:t>。该公司</w:t>
      </w:r>
      <w:r>
        <w:rPr>
          <w:spacing w:val="-102"/>
        </w:rPr>
        <w:t> </w:t>
      </w:r>
      <w:r>
        <w:rPr>
          <w:spacing w:val="-102"/>
        </w:rPr>
      </w:r>
      <w:r>
        <w:rPr/>
        <w:t>本报告期实现净利润</w:t>
      </w:r>
      <w:r>
        <w:rPr>
          <w:rFonts w:ascii="Times New Roman" w:hAnsi="Times New Roman" w:cs="Times New Roman" w:eastAsia="Times New Roman" w:hint="default"/>
        </w:rPr>
        <w:t>-4.52</w:t>
      </w:r>
      <w:r>
        <w:rPr/>
        <w:t>万元。</w:t>
      </w:r>
    </w:p>
    <w:p>
      <w:pPr>
        <w:pStyle w:val="BodyText"/>
        <w:spacing w:line="338" w:lineRule="auto" w:before="27"/>
        <w:ind w:right="108"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日，公司控股子公司—云南苏宁电器有限公司与大理滇宁苏宁 电器有限公司共同出资组建景洪苏宁电器有限公司，注册资本</w:t>
      </w:r>
      <w:r>
        <w:rPr>
          <w:rFonts w:ascii="Times New Roman" w:hAnsi="Times New Roman" w:cs="Times New Roman" w:eastAsia="Times New Roman" w:hint="default"/>
        </w:rPr>
        <w:t>500</w:t>
      </w:r>
      <w:r>
        <w:rPr/>
        <w:t>万元。其中，云 </w:t>
      </w:r>
      <w:r>
        <w:rPr>
          <w:spacing w:val="-3"/>
        </w:rPr>
        <w:t>南苏宁电器有限公司出资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；大理滇宁苏宁电器有限公司</w:t>
      </w:r>
      <w:r>
        <w:rPr>
          <w:spacing w:val="-104"/>
        </w:rPr>
        <w:t> </w:t>
      </w:r>
      <w:r>
        <w:rPr>
          <w:spacing w:val="-104"/>
        </w:rPr>
      </w:r>
      <w:r>
        <w:rPr/>
        <w:t>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37.43</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日，公司控股子公司—江西苏宁电器有限公司出资成立九江苏</w:t>
      </w:r>
      <w:r>
        <w:rPr/>
        <w:t> </w:t>
      </w:r>
      <w:r>
        <w:rPr>
          <w:spacing w:val="-1"/>
        </w:rPr>
        <w:t>宁电器有限公司，注册资本</w:t>
      </w:r>
      <w:r>
        <w:rPr>
          <w:rFonts w:ascii="Times New Roman" w:hAnsi="Times New Roman" w:cs="Times New Roman" w:eastAsia="Times New Roman" w:hint="default"/>
          <w:spacing w:val="-1"/>
        </w:rPr>
        <w:t>500</w:t>
      </w:r>
      <w:r>
        <w:rPr>
          <w:spacing w:val="-1"/>
        </w:rPr>
        <w:t>万元。江西苏宁电器有限公司出资</w:t>
      </w:r>
      <w:r>
        <w:rPr>
          <w:rFonts w:ascii="Times New Roman" w:hAnsi="Times New Roman" w:cs="Times New Roman" w:eastAsia="Times New Roman" w:hint="default"/>
          <w:spacing w:val="-1"/>
        </w:rPr>
        <w:t>500</w:t>
      </w:r>
      <w:r>
        <w:rPr>
          <w:spacing w:val="-1"/>
        </w:rPr>
        <w:t>万元，占注册</w:t>
      </w:r>
      <w:r>
        <w:rPr>
          <w:spacing w:val="-99"/>
        </w:rPr>
        <w:t> </w:t>
      </w:r>
      <w:r>
        <w:rPr>
          <w:spacing w:val="-99"/>
        </w:rPr>
      </w:r>
      <w:r>
        <w:rPr/>
        <w:t>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6.25</w:t>
      </w:r>
      <w:r>
        <w:rPr/>
        <w:t>万元。</w:t>
      </w:r>
    </w:p>
    <w:p>
      <w:pPr>
        <w:pStyle w:val="BodyText"/>
        <w:spacing w:line="338" w:lineRule="auto" w:before="27"/>
        <w:ind w:right="108" w:firstLine="48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日，公司控股子公司—四川苏宁电器有限公司与重庆渝宁苏宁 </w:t>
      </w:r>
      <w:r>
        <w:rPr>
          <w:spacing w:val="-1"/>
        </w:rPr>
        <w:t>电器有限公司共同出资组建成都春熙苏宁电器有限公司，注册资本</w:t>
      </w:r>
      <w:r>
        <w:rPr>
          <w:rFonts w:ascii="Times New Roman" w:hAnsi="Times New Roman" w:cs="Times New Roman" w:eastAsia="Times New Roman" w:hint="default"/>
          <w:spacing w:val="-1"/>
        </w:rPr>
        <w:t>500</w:t>
      </w:r>
      <w:r>
        <w:rPr>
          <w:spacing w:val="-1"/>
        </w:rPr>
        <w:t>万元。其中，</w:t>
      </w:r>
      <w:r>
        <w:rPr>
          <w:spacing w:val="-102"/>
        </w:rPr>
        <w:t> </w:t>
      </w:r>
      <w:r>
        <w:rPr>
          <w:spacing w:val="-102"/>
        </w:rPr>
      </w:r>
      <w:r>
        <w:rPr>
          <w:spacing w:val="-3"/>
        </w:rPr>
        <w:t>四川苏宁电器有限公司出资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；重庆渝宁苏宁电器有限公</w:t>
      </w:r>
      <w:r>
        <w:rPr>
          <w:spacing w:val="-103"/>
        </w:rPr>
        <w:t> </w:t>
      </w:r>
      <w:r>
        <w:rPr>
          <w:spacing w:val="-103"/>
        </w:rPr>
      </w:r>
      <w:r>
        <w:rPr/>
        <w:t>司出资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0.59</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日，公司控股子公司—河南苏宁电器有限公司出资组建洛阳苏</w:t>
      </w:r>
      <w:r>
        <w:rPr/>
        <w:t> </w:t>
      </w:r>
      <w:r>
        <w:rPr>
          <w:spacing w:val="-1"/>
        </w:rPr>
        <w:t>宁电器有限公司，注册资本</w:t>
      </w:r>
      <w:r>
        <w:rPr>
          <w:rFonts w:ascii="Times New Roman" w:hAnsi="Times New Roman" w:cs="Times New Roman" w:eastAsia="Times New Roman" w:hint="default"/>
          <w:spacing w:val="-1"/>
        </w:rPr>
        <w:t>500</w:t>
      </w:r>
      <w:r>
        <w:rPr>
          <w:spacing w:val="-1"/>
        </w:rPr>
        <w:t>万元。河南苏宁电器有限公司出资</w:t>
      </w:r>
      <w:r>
        <w:rPr>
          <w:rFonts w:ascii="Times New Roman" w:hAnsi="Times New Roman" w:cs="Times New Roman" w:eastAsia="Times New Roman" w:hint="default"/>
          <w:spacing w:val="-1"/>
        </w:rPr>
        <w:t>500</w:t>
      </w:r>
      <w:r>
        <w:rPr>
          <w:spacing w:val="-1"/>
        </w:rPr>
        <w:t>万元，占注册</w:t>
      </w:r>
      <w:r>
        <w:rPr>
          <w:spacing w:val="-99"/>
        </w:rPr>
        <w:t> </w:t>
      </w:r>
      <w:r>
        <w:rPr>
          <w:spacing w:val="-99"/>
        </w:rPr>
      </w:r>
      <w:r>
        <w:rPr/>
        <w:t>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-9.94</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日，公司控股子公司—武汉苏宁电器有限公司出资成立十堰苏</w:t>
      </w:r>
      <w:r>
        <w:rPr/>
        <w:t> </w:t>
      </w:r>
      <w:r>
        <w:rPr>
          <w:spacing w:val="-1"/>
        </w:rPr>
        <w:t>宁电器有限公司，注册资本</w:t>
      </w:r>
      <w:r>
        <w:rPr>
          <w:rFonts w:ascii="Times New Roman" w:hAnsi="Times New Roman" w:cs="Times New Roman" w:eastAsia="Times New Roman" w:hint="default"/>
          <w:spacing w:val="-1"/>
        </w:rPr>
        <w:t>510</w:t>
      </w:r>
      <w:r>
        <w:rPr>
          <w:spacing w:val="-1"/>
        </w:rPr>
        <w:t>万元。武汉苏宁电器有限公司出资</w:t>
      </w:r>
      <w:r>
        <w:rPr>
          <w:rFonts w:ascii="Times New Roman" w:hAnsi="Times New Roman" w:cs="Times New Roman" w:eastAsia="Times New Roman" w:hint="default"/>
          <w:spacing w:val="-1"/>
        </w:rPr>
        <w:t>510</w:t>
      </w:r>
      <w:r>
        <w:rPr>
          <w:spacing w:val="-1"/>
        </w:rPr>
        <w:t>万元，占注册</w:t>
      </w:r>
      <w:r>
        <w:rPr>
          <w:spacing w:val="-99"/>
        </w:rPr>
        <w:t> </w:t>
      </w:r>
      <w:r>
        <w:rPr>
          <w:spacing w:val="-99"/>
        </w:rPr>
      </w:r>
      <w:r>
        <w:rPr/>
        <w:t>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-45.38</w:t>
      </w:r>
      <w:r>
        <w:rPr/>
        <w:t>万元。</w:t>
      </w:r>
    </w:p>
    <w:p>
      <w:pPr>
        <w:pStyle w:val="BodyText"/>
        <w:spacing w:line="338" w:lineRule="auto" w:before="27"/>
        <w:ind w:right="108" w:firstLine="480"/>
        <w:jc w:val="left"/>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日，公司控股子公司—重庆渝宁苏宁电器有限公司与四川苏宁</w:t>
      </w:r>
      <w:r>
        <w:rPr/>
        <w:t> 电器有限公司共同出资组建达州苏宁电器有限公司，注册资本</w:t>
      </w:r>
      <w:r>
        <w:rPr>
          <w:rFonts w:ascii="Times New Roman" w:hAnsi="Times New Roman" w:cs="Times New Roman" w:eastAsia="Times New Roman" w:hint="default"/>
        </w:rPr>
        <w:t>500</w:t>
      </w:r>
      <w:r>
        <w:rPr/>
        <w:t>万元。其中，重</w:t>
      </w:r>
    </w:p>
    <w:p>
      <w:pPr>
        <w:spacing w:after="0" w:line="338" w:lineRule="auto"/>
        <w:jc w:val="left"/>
        <w:sectPr>
          <w:footerReference w:type="default" r:id="rId14"/>
          <w:pgSz w:w="11910" w:h="16840"/>
          <w:pgMar w:footer="900" w:header="826" w:top="1100" w:bottom="1100" w:left="1500" w:right="1400"/>
          <w:pgNumType w:start="57"/>
        </w:sectPr>
      </w:pPr>
    </w:p>
    <w:p>
      <w:pPr>
        <w:pStyle w:val="BodyText"/>
        <w:spacing w:line="338" w:lineRule="auto" w:before="106"/>
        <w:ind w:right="108"/>
        <w:jc w:val="left"/>
      </w:pPr>
      <w:r>
        <w:rPr>
          <w:spacing w:val="-3"/>
        </w:rPr>
        <w:t>庆渝宁苏宁电器有限公司出资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；四川苏宁电器有限公司</w:t>
      </w:r>
      <w:r>
        <w:rPr>
          <w:spacing w:val="-113"/>
        </w:rPr>
        <w:t> </w:t>
      </w:r>
      <w:r>
        <w:rPr>
          <w:spacing w:val="-113"/>
        </w:rPr>
      </w:r>
      <w:r>
        <w:rPr/>
        <w:t>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9.16</w:t>
      </w:r>
      <w:r>
        <w:rPr/>
        <w:t>万元。</w:t>
      </w:r>
    </w:p>
    <w:p>
      <w:pPr>
        <w:pStyle w:val="BodyText"/>
        <w:spacing w:line="338" w:lineRule="auto" w:before="27"/>
        <w:ind w:left="144" w:right="236" w:firstLine="480"/>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日，公司控股子公司—浙江苏宁电器有限公司出资成立嘉兴苏</w:t>
      </w:r>
      <w:r>
        <w:rPr/>
        <w:t> </w:t>
      </w:r>
      <w:r>
        <w:rPr>
          <w:spacing w:val="-1"/>
        </w:rPr>
        <w:t>宁电器有限公司，注册资本</w:t>
      </w:r>
      <w:r>
        <w:rPr>
          <w:rFonts w:ascii="Times New Roman" w:hAnsi="Times New Roman" w:cs="Times New Roman" w:eastAsia="Times New Roman" w:hint="default"/>
          <w:spacing w:val="-1"/>
        </w:rPr>
        <w:t>1000</w:t>
      </w:r>
      <w:r>
        <w:rPr>
          <w:spacing w:val="-1"/>
        </w:rPr>
        <w:t>万元。浙江苏宁电器有限公司出资</w:t>
      </w:r>
      <w:r>
        <w:rPr>
          <w:rFonts w:ascii="Times New Roman" w:hAnsi="Times New Roman" w:cs="Times New Roman" w:eastAsia="Times New Roman" w:hint="default"/>
          <w:spacing w:val="-1"/>
        </w:rPr>
        <w:t>1000</w:t>
      </w:r>
      <w:r>
        <w:rPr>
          <w:spacing w:val="-1"/>
        </w:rPr>
        <w:t>万元，占注</w:t>
      </w:r>
      <w:r>
        <w:rPr>
          <w:spacing w:val="-98"/>
        </w:rPr>
        <w:t> </w:t>
      </w:r>
      <w:r>
        <w:rPr>
          <w:spacing w:val="-98"/>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263.69</w:t>
      </w:r>
      <w:r>
        <w:rPr/>
        <w:t>万元。</w:t>
      </w:r>
    </w:p>
    <w:p>
      <w:pPr>
        <w:pStyle w:val="BodyText"/>
        <w:spacing w:line="338" w:lineRule="auto" w:before="27"/>
        <w:ind w:left="144" w:right="108" w:firstLine="48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日，公司控股子公司—长春苏宁电器有限公司出资成立松原 </w:t>
      </w:r>
      <w:r>
        <w:rPr>
          <w:spacing w:val="-1"/>
        </w:rPr>
        <w:t>市苏宁电器有限公司，注册资本</w:t>
      </w:r>
      <w:r>
        <w:rPr>
          <w:rFonts w:ascii="Times New Roman" w:hAnsi="Times New Roman" w:cs="Times New Roman" w:eastAsia="Times New Roman" w:hint="default"/>
          <w:spacing w:val="-1"/>
        </w:rPr>
        <w:t>500</w:t>
      </w:r>
      <w:r>
        <w:rPr>
          <w:spacing w:val="-1"/>
        </w:rPr>
        <w:t>万元。长春苏宁电器有限公司出资</w:t>
      </w:r>
      <w:r>
        <w:rPr>
          <w:rFonts w:ascii="Times New Roman" w:hAnsi="Times New Roman" w:cs="Times New Roman" w:eastAsia="Times New Roman" w:hint="default"/>
          <w:spacing w:val="-1"/>
        </w:rPr>
        <w:t>500</w:t>
      </w:r>
      <w:r>
        <w:rPr>
          <w:spacing w:val="-1"/>
        </w:rPr>
        <w:t>万元，占</w:t>
      </w:r>
      <w:r>
        <w:rPr>
          <w:spacing w:val="-99"/>
        </w:rPr>
        <w:t> </w:t>
      </w:r>
      <w:r>
        <w:rPr>
          <w:spacing w:val="-99"/>
        </w:rPr>
      </w:r>
      <w:r>
        <w:rPr/>
        <w:t>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10.78</w:t>
      </w:r>
      <w:r>
        <w:rPr/>
        <w:t>万元。</w:t>
      </w:r>
    </w:p>
    <w:p>
      <w:pPr>
        <w:pStyle w:val="BodyText"/>
        <w:spacing w:line="338" w:lineRule="auto" w:before="27"/>
        <w:ind w:left="144" w:right="236" w:firstLine="480"/>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日，公司控股子公司—广东苏宁电器有限公司出资成立茂名 </w:t>
      </w:r>
      <w:r>
        <w:rPr>
          <w:spacing w:val="-1"/>
        </w:rPr>
        <w:t>苏宁电器有限公司，注册资本</w:t>
      </w:r>
      <w:r>
        <w:rPr>
          <w:rFonts w:ascii="Times New Roman" w:hAnsi="Times New Roman" w:cs="Times New Roman" w:eastAsia="Times New Roman" w:hint="default"/>
          <w:spacing w:val="-1"/>
        </w:rPr>
        <w:t>500</w:t>
      </w:r>
      <w:r>
        <w:rPr>
          <w:spacing w:val="-1"/>
        </w:rPr>
        <w:t>万元。广东苏宁电器有限公司出资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-175.25</w:t>
      </w:r>
      <w:r>
        <w:rPr/>
        <w:t>万元。</w:t>
      </w:r>
    </w:p>
    <w:p>
      <w:pPr>
        <w:pStyle w:val="BodyText"/>
        <w:spacing w:line="338" w:lineRule="auto" w:before="27"/>
        <w:ind w:right="108" w:firstLine="48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日，公司控股子公司—深圳市苏宁电器有限公司出资成立梅 </w:t>
      </w:r>
      <w:r>
        <w:rPr>
          <w:spacing w:val="-4"/>
        </w:rPr>
        <w:t>州市苏宁电器有限公司，注册资本</w:t>
      </w:r>
      <w:r>
        <w:rPr>
          <w:rFonts w:ascii="Times New Roman" w:hAnsi="Times New Roman" w:cs="Times New Roman" w:eastAsia="Times New Roman" w:hint="default"/>
          <w:spacing w:val="-4"/>
        </w:rPr>
        <w:t>500</w:t>
      </w:r>
      <w:r>
        <w:rPr>
          <w:spacing w:val="-4"/>
        </w:rPr>
        <w:t>万元。深圳市苏宁电器有限公司出资</w:t>
      </w:r>
      <w:r>
        <w:rPr>
          <w:rFonts w:ascii="Times New Roman" w:hAnsi="Times New Roman" w:cs="Times New Roman" w:eastAsia="Times New Roman" w:hint="default"/>
          <w:spacing w:val="-4"/>
        </w:rPr>
        <w:t>500</w:t>
      </w:r>
      <w:r>
        <w:rPr>
          <w:spacing w:val="-4"/>
        </w:rPr>
        <w:t>万元，</w:t>
      </w:r>
      <w:r>
        <w:rPr>
          <w:spacing w:val="-100"/>
        </w:rPr>
        <w:t> </w:t>
      </w:r>
      <w:r>
        <w:rPr/>
        <w:t>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57.24</w:t>
      </w:r>
      <w:r>
        <w:rPr/>
        <w:t>万元。</w:t>
      </w:r>
    </w:p>
    <w:p>
      <w:pPr>
        <w:pStyle w:val="BodyText"/>
        <w:spacing w:line="338" w:lineRule="auto" w:before="27"/>
        <w:ind w:right="117" w:firstLine="480"/>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日，公司控股子公司—河南苏宁电器有限公司出资成立平顶 </w:t>
      </w:r>
      <w:r>
        <w:rPr>
          <w:spacing w:val="-4"/>
        </w:rPr>
        <w:t>山兴华苏宁电器有限公司，注册资本</w:t>
      </w:r>
      <w:r>
        <w:rPr>
          <w:rFonts w:ascii="Times New Roman" w:hAnsi="Times New Roman" w:cs="Times New Roman" w:eastAsia="Times New Roman" w:hint="default"/>
          <w:spacing w:val="-4"/>
        </w:rPr>
        <w:t>500</w:t>
      </w:r>
      <w:r>
        <w:rPr>
          <w:spacing w:val="-4"/>
        </w:rPr>
        <w:t>万元。河南苏宁电器有限公司出资</w:t>
      </w:r>
      <w:r>
        <w:rPr>
          <w:rFonts w:ascii="Times New Roman" w:hAnsi="Times New Roman" w:cs="Times New Roman" w:eastAsia="Times New Roman" w:hint="default"/>
          <w:spacing w:val="-4"/>
        </w:rPr>
        <w:t>500</w:t>
      </w:r>
      <w:r>
        <w:rPr>
          <w:spacing w:val="-4"/>
        </w:rPr>
        <w:t>万元，</w:t>
      </w:r>
      <w:r>
        <w:rPr>
          <w:spacing w:val="-100"/>
        </w:rPr>
        <w:t> </w:t>
      </w:r>
      <w:r>
        <w:rPr/>
        <w:t>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-7.70</w:t>
      </w:r>
      <w:r>
        <w:rPr/>
        <w:t>万元。</w:t>
      </w:r>
    </w:p>
    <w:p>
      <w:pPr>
        <w:pStyle w:val="BodyText"/>
        <w:spacing w:line="338" w:lineRule="auto" w:before="27"/>
        <w:ind w:right="108" w:firstLine="480"/>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日，公司控股子公司—湖南苏宁电器有限公司出资成立湘西 </w:t>
      </w:r>
      <w:r>
        <w:rPr>
          <w:spacing w:val="-4"/>
        </w:rPr>
        <w:t>自治州苏宁电器有限公司，注册资本</w:t>
      </w:r>
      <w:r>
        <w:rPr>
          <w:rFonts w:ascii="Times New Roman" w:hAnsi="Times New Roman" w:cs="Times New Roman" w:eastAsia="Times New Roman" w:hint="default"/>
          <w:spacing w:val="-4"/>
        </w:rPr>
        <w:t>500</w:t>
      </w:r>
      <w:r>
        <w:rPr>
          <w:spacing w:val="-4"/>
        </w:rPr>
        <w:t>万元。湖南苏宁电器有限公司出资</w:t>
      </w:r>
      <w:r>
        <w:rPr>
          <w:rFonts w:ascii="Times New Roman" w:hAnsi="Times New Roman" w:cs="Times New Roman" w:eastAsia="Times New Roman" w:hint="default"/>
          <w:spacing w:val="-4"/>
        </w:rPr>
        <w:t>500</w:t>
      </w:r>
      <w:r>
        <w:rPr>
          <w:spacing w:val="-4"/>
        </w:rPr>
        <w:t>万元，</w:t>
      </w:r>
      <w:r>
        <w:rPr>
          <w:spacing w:val="-100"/>
        </w:rPr>
        <w:t> </w:t>
      </w:r>
      <w:r>
        <w:rPr/>
        <w:t>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59.34</w:t>
      </w:r>
      <w:r>
        <w:rPr/>
        <w:t>万元。</w:t>
      </w:r>
    </w:p>
    <w:p>
      <w:pPr>
        <w:pStyle w:val="BodyText"/>
        <w:spacing w:line="338" w:lineRule="auto" w:before="27"/>
        <w:ind w:left="144" w:right="218" w:firstLine="480"/>
        <w:jc w:val="left"/>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日，公司控股子公司—石家庄苏宁电器有限公司出资成立邯 郸苏宁电器有限公司，注册资本</w:t>
      </w:r>
      <w:r>
        <w:rPr>
          <w:rFonts w:ascii="Times New Roman" w:hAnsi="Times New Roman" w:cs="Times New Roman" w:eastAsia="Times New Roman" w:hint="default"/>
        </w:rPr>
        <w:t>500</w:t>
      </w:r>
      <w:r>
        <w:rPr/>
        <w:t>万元。石家庄苏宁电器有限公司出资</w:t>
      </w:r>
      <w:r>
        <w:rPr>
          <w:rFonts w:ascii="Times New Roman" w:hAnsi="Times New Roman" w:cs="Times New Roman" w:eastAsia="Times New Roman" w:hint="default"/>
        </w:rPr>
        <w:t>500</w:t>
      </w:r>
      <w:r>
        <w:rPr/>
        <w:t>万元， 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-10.05</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16</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日，公司控股子公司—山西苏宁电器有限公司出资成立临汾苏</w:t>
      </w:r>
      <w:r>
        <w:rPr/>
        <w:t> </w:t>
      </w:r>
      <w:r>
        <w:rPr>
          <w:spacing w:val="-1"/>
        </w:rPr>
        <w:t>宁电器有限公司，注册资本</w:t>
      </w:r>
      <w:r>
        <w:rPr>
          <w:rFonts w:ascii="Times New Roman" w:hAnsi="Times New Roman" w:cs="Times New Roman" w:eastAsia="Times New Roman" w:hint="default"/>
          <w:spacing w:val="-1"/>
        </w:rPr>
        <w:t>500</w:t>
      </w:r>
      <w:r>
        <w:rPr>
          <w:spacing w:val="-1"/>
        </w:rPr>
        <w:t>万元。山西苏宁电器有限公司出资</w:t>
      </w:r>
      <w:r>
        <w:rPr>
          <w:rFonts w:ascii="Times New Roman" w:hAnsi="Times New Roman" w:cs="Times New Roman" w:eastAsia="Times New Roman" w:hint="default"/>
          <w:spacing w:val="-1"/>
        </w:rPr>
        <w:t>500</w:t>
      </w:r>
      <w:r>
        <w:rPr>
          <w:spacing w:val="-1"/>
        </w:rPr>
        <w:t>万元，占注册</w:t>
      </w:r>
      <w:r>
        <w:rPr>
          <w:spacing w:val="-99"/>
        </w:rPr>
        <w:t> </w:t>
      </w:r>
      <w:r>
        <w:rPr>
          <w:spacing w:val="-99"/>
        </w:rPr>
      </w:r>
      <w:r>
        <w:rPr/>
        <w:t>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-29.82</w:t>
      </w:r>
      <w:r>
        <w:rPr/>
        <w:t>万元。</w:t>
      </w:r>
    </w:p>
    <w:p>
      <w:pPr>
        <w:pStyle w:val="BodyText"/>
        <w:spacing w:line="338" w:lineRule="auto" w:before="27"/>
        <w:ind w:right="108" w:firstLine="480"/>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日，公司控股子公司—山东苏宁电器有限公司与青岛鲁宁苏 宁电器有限公司共同出资组建泰安苏宁电器有限公司，注册资本</w:t>
      </w:r>
      <w:r>
        <w:rPr>
          <w:rFonts w:ascii="Times New Roman" w:hAnsi="Times New Roman" w:cs="Times New Roman" w:eastAsia="Times New Roman" w:hint="default"/>
        </w:rPr>
        <w:t>500</w:t>
      </w:r>
      <w:r>
        <w:rPr/>
        <w:t>万元。其中， </w:t>
      </w:r>
      <w:r>
        <w:rPr>
          <w:spacing w:val="-3"/>
        </w:rPr>
        <w:t>山东苏宁电器有限公司出资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；青岛鲁宁苏宁电器有限公</w:t>
      </w:r>
      <w:r>
        <w:rPr>
          <w:spacing w:val="-103"/>
        </w:rPr>
        <w:t> </w:t>
      </w:r>
      <w:r>
        <w:rPr>
          <w:spacing w:val="-103"/>
        </w:rPr>
      </w:r>
      <w:r>
        <w:rPr/>
        <w:t>司出资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79.21</w:t>
      </w:r>
      <w:r>
        <w:rPr/>
        <w:t>万元。</w:t>
      </w:r>
    </w:p>
    <w:p>
      <w:pPr>
        <w:spacing w:after="0" w:line="338" w:lineRule="auto"/>
        <w:jc w:val="left"/>
        <w:sectPr>
          <w:pgSz w:w="11910" w:h="16840"/>
          <w:pgMar w:header="826" w:footer="900" w:top="1100" w:bottom="1100" w:left="1500" w:right="1400"/>
        </w:sectPr>
      </w:pPr>
    </w:p>
    <w:p>
      <w:pPr>
        <w:pStyle w:val="BodyText"/>
        <w:spacing w:line="338" w:lineRule="auto" w:before="106"/>
        <w:ind w:right="118" w:firstLine="480"/>
        <w:jc w:val="left"/>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日，公司控股子公司—石家庄苏宁电器有限公司出资组建邢 台苏宁电器有限公司，注册资本</w:t>
      </w:r>
      <w:r>
        <w:rPr>
          <w:rFonts w:ascii="Times New Roman" w:hAnsi="Times New Roman" w:cs="Times New Roman" w:eastAsia="Times New Roman" w:hint="default"/>
        </w:rPr>
        <w:t>500</w:t>
      </w:r>
      <w:r>
        <w:rPr/>
        <w:t>万元。石家庄苏宁电器有限公司出资</w:t>
      </w:r>
      <w:r>
        <w:rPr>
          <w:rFonts w:ascii="Times New Roman" w:hAnsi="Times New Roman" w:cs="Times New Roman" w:eastAsia="Times New Roman" w:hint="default"/>
        </w:rPr>
        <w:t>500</w:t>
      </w:r>
      <w:r>
        <w:rPr/>
        <w:t>万元， 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-19.74</w:t>
      </w:r>
      <w:r>
        <w:rPr/>
        <w:t>万元。</w:t>
      </w:r>
    </w:p>
    <w:p>
      <w:pPr>
        <w:pStyle w:val="BodyText"/>
        <w:spacing w:line="338" w:lineRule="auto" w:before="27"/>
        <w:ind w:right="101" w:firstLine="480"/>
        <w:jc w:val="left"/>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日，公司控股子公司—新疆苏宁电器有限公司与江苏苏宁地 铁商业管理有限公司共同出资组建阿克苏苏宁电器有限责任公司，注册资本</w:t>
      </w:r>
      <w:r>
        <w:rPr>
          <w:rFonts w:ascii="Times New Roman" w:hAnsi="Times New Roman" w:cs="Times New Roman" w:eastAsia="Times New Roman" w:hint="default"/>
        </w:rPr>
        <w:t>500</w:t>
      </w:r>
      <w:r>
        <w:rPr/>
        <w:t>万 </w:t>
      </w:r>
      <w:r>
        <w:rPr>
          <w:spacing w:val="-3"/>
        </w:rPr>
        <w:t>元。其中，新疆苏宁电器有限公司出资</w:t>
      </w:r>
      <w:r>
        <w:rPr>
          <w:rFonts w:ascii="Times New Roman" w:hAnsi="Times New Roman" w:cs="Times New Roman" w:eastAsia="Times New Roman" w:hint="default"/>
          <w:spacing w:val="-3"/>
        </w:rPr>
        <w:t>350</w:t>
      </w:r>
      <w:r>
        <w:rPr>
          <w:spacing w:val="-3"/>
        </w:rPr>
        <w:t>万元，占注册资本的</w:t>
      </w:r>
      <w:r>
        <w:rPr>
          <w:rFonts w:ascii="Times New Roman" w:hAnsi="Times New Roman" w:cs="Times New Roman" w:eastAsia="Times New Roman" w:hint="default"/>
          <w:spacing w:val="-3"/>
        </w:rPr>
        <w:t>70%</w:t>
      </w:r>
      <w:r>
        <w:rPr>
          <w:spacing w:val="-3"/>
        </w:rPr>
        <w:t>；江苏苏宁地铁</w:t>
      </w:r>
      <w:r>
        <w:rPr>
          <w:spacing w:val="-105"/>
        </w:rPr>
        <w:t> </w:t>
      </w:r>
      <w:r>
        <w:rPr>
          <w:spacing w:val="-105"/>
        </w:rPr>
      </w:r>
      <w:r>
        <w:rPr/>
        <w:t>商业管理有限公司出资</w:t>
      </w:r>
      <w:r>
        <w:rPr>
          <w:rFonts w:ascii="Times New Roman" w:hAnsi="Times New Roman" w:cs="Times New Roman" w:eastAsia="Times New Roman" w:hint="default"/>
        </w:rPr>
        <w:t>150</w:t>
      </w:r>
      <w:r>
        <w:rPr/>
        <w:t>万元，占注册资本的</w:t>
      </w:r>
      <w:r>
        <w:rPr>
          <w:rFonts w:ascii="Times New Roman" w:hAnsi="Times New Roman" w:cs="Times New Roman" w:eastAsia="Times New Roman" w:hint="default"/>
        </w:rPr>
        <w:t>30%</w:t>
      </w:r>
      <w:r>
        <w:rPr/>
        <w:t>。该公司本报告期实现净利润</w:t>
      </w:r>
    </w:p>
    <w:p>
      <w:pPr>
        <w:pStyle w:val="BodyText"/>
        <w:spacing w:line="240" w:lineRule="auto" w:before="27"/>
        <w:ind w:left="144" w:right="101"/>
        <w:jc w:val="left"/>
      </w:pPr>
      <w:r>
        <w:rPr>
          <w:rFonts w:ascii="Times New Roman" w:hAnsi="Times New Roman" w:cs="Times New Roman" w:eastAsia="Times New Roman" w:hint="default"/>
        </w:rPr>
        <w:t>-25.93</w:t>
      </w:r>
      <w:r>
        <w:rPr/>
        <w:t>万元。</w:t>
      </w:r>
    </w:p>
    <w:p>
      <w:pPr>
        <w:pStyle w:val="BodyText"/>
        <w:spacing w:line="338" w:lineRule="auto" w:before="135"/>
        <w:ind w:left="144" w:right="137" w:firstLine="480"/>
        <w:jc w:val="left"/>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日，公司与控股子公司—江苏苏宁地铁商业管理有限公司共 同出资组建苏宁电器江苏苏南有限公司，注册资本</w:t>
      </w:r>
      <w:r>
        <w:rPr>
          <w:rFonts w:ascii="Times New Roman" w:hAnsi="Times New Roman" w:cs="Times New Roman" w:eastAsia="Times New Roman" w:hint="default"/>
        </w:rPr>
        <w:t>28000</w:t>
      </w:r>
      <w:r>
        <w:rPr/>
        <w:t>万元（实到</w:t>
      </w:r>
      <w:r>
        <w:rPr>
          <w:rFonts w:ascii="Times New Roman" w:hAnsi="Times New Roman" w:cs="Times New Roman" w:eastAsia="Times New Roman" w:hint="default"/>
        </w:rPr>
        <w:t>5600</w:t>
      </w:r>
      <w:r>
        <w:rPr/>
        <w:t>万元）。 </w:t>
      </w:r>
      <w:r>
        <w:rPr>
          <w:spacing w:val="-3"/>
        </w:rPr>
        <w:t>其中，公司出资</w:t>
      </w:r>
      <w:r>
        <w:rPr>
          <w:rFonts w:ascii="Times New Roman" w:hAnsi="Times New Roman" w:cs="Times New Roman" w:eastAsia="Times New Roman" w:hint="default"/>
          <w:spacing w:val="-3"/>
        </w:rPr>
        <w:t>25200</w:t>
      </w:r>
      <w:r>
        <w:rPr>
          <w:spacing w:val="-3"/>
        </w:rPr>
        <w:t>万元（实到</w:t>
      </w:r>
      <w:r>
        <w:rPr>
          <w:rFonts w:ascii="Times New Roman" w:hAnsi="Times New Roman" w:cs="Times New Roman" w:eastAsia="Times New Roman" w:hint="default"/>
          <w:spacing w:val="-3"/>
        </w:rPr>
        <w:t>5040</w:t>
      </w:r>
      <w:r>
        <w:rPr>
          <w:spacing w:val="-3"/>
        </w:rPr>
        <w:t>万元），占注册资本的</w:t>
      </w:r>
      <w:r>
        <w:rPr>
          <w:rFonts w:ascii="Times New Roman" w:hAnsi="Times New Roman" w:cs="Times New Roman" w:eastAsia="Times New Roman" w:hint="default"/>
          <w:spacing w:val="-3"/>
        </w:rPr>
        <w:t>90%</w:t>
      </w:r>
      <w:r>
        <w:rPr>
          <w:spacing w:val="-3"/>
        </w:rPr>
        <w:t>；江苏苏宁地铁商</w:t>
      </w:r>
      <w:r>
        <w:rPr>
          <w:spacing w:val="-112"/>
        </w:rPr>
        <w:t> </w:t>
      </w:r>
      <w:r>
        <w:rPr>
          <w:spacing w:val="-112"/>
        </w:rPr>
      </w:r>
      <w:r>
        <w:rPr>
          <w:spacing w:val="-3"/>
        </w:rPr>
        <w:t>业管理有限公司出资</w:t>
      </w:r>
      <w:r>
        <w:rPr>
          <w:rFonts w:ascii="Times New Roman" w:hAnsi="Times New Roman" w:cs="Times New Roman" w:eastAsia="Times New Roman" w:hint="default"/>
          <w:spacing w:val="-3"/>
        </w:rPr>
        <w:t>2800</w:t>
      </w:r>
      <w:r>
        <w:rPr>
          <w:spacing w:val="-3"/>
        </w:rPr>
        <w:t>万元（实到</w:t>
      </w:r>
      <w:r>
        <w:rPr>
          <w:rFonts w:ascii="Times New Roman" w:hAnsi="Times New Roman" w:cs="Times New Roman" w:eastAsia="Times New Roman" w:hint="default"/>
          <w:spacing w:val="-3"/>
        </w:rPr>
        <w:t>560</w:t>
      </w:r>
      <w:r>
        <w:rPr>
          <w:spacing w:val="-3"/>
        </w:rPr>
        <w:t>万元），占注册资本的</w:t>
      </w:r>
      <w:r>
        <w:rPr>
          <w:rFonts w:ascii="Times New Roman" w:hAnsi="Times New Roman" w:cs="Times New Roman" w:eastAsia="Times New Roman" w:hint="default"/>
          <w:spacing w:val="-3"/>
        </w:rPr>
        <w:t>10%</w:t>
      </w:r>
      <w:r>
        <w:rPr>
          <w:spacing w:val="-3"/>
        </w:rPr>
        <w:t>。该公司本报告</w:t>
      </w:r>
      <w:r>
        <w:rPr>
          <w:spacing w:val="-101"/>
        </w:rPr>
        <w:t> </w:t>
      </w:r>
      <w:r>
        <w:rPr>
          <w:spacing w:val="-101"/>
        </w:rPr>
      </w:r>
      <w:r>
        <w:rPr/>
        <w:t>期实现净利润</w:t>
      </w:r>
      <w:r>
        <w:rPr>
          <w:rFonts w:ascii="Times New Roman" w:hAnsi="Times New Roman" w:cs="Times New Roman" w:eastAsia="Times New Roman" w:hint="default"/>
        </w:rPr>
        <w:t>-28.86</w:t>
      </w:r>
      <w:r>
        <w:rPr/>
        <w:t>万元。</w:t>
      </w:r>
    </w:p>
    <w:p>
      <w:pPr>
        <w:pStyle w:val="BodyText"/>
        <w:spacing w:line="338" w:lineRule="auto" w:before="27"/>
        <w:ind w:left="144" w:right="101" w:firstLine="480"/>
        <w:jc w:val="left"/>
      </w:pPr>
      <w:r>
        <w:rPr>
          <w:rFonts w:ascii="Times New Roman" w:hAnsi="Times New Roman" w:cs="Times New Roman" w:eastAsia="Times New Roman" w:hint="default"/>
        </w:rPr>
        <w:t>21</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日，公司控股子公司—河南苏宁电器有限公司出资成立商丘 </w:t>
      </w:r>
      <w:r>
        <w:rPr>
          <w:spacing w:val="-1"/>
        </w:rPr>
        <w:t>苏宁电器有限公司，注册资本</w:t>
      </w:r>
      <w:r>
        <w:rPr>
          <w:rFonts w:ascii="Times New Roman" w:hAnsi="Times New Roman" w:cs="Times New Roman" w:eastAsia="Times New Roman" w:hint="default"/>
          <w:spacing w:val="-1"/>
        </w:rPr>
        <w:t>500</w:t>
      </w:r>
      <w:r>
        <w:rPr>
          <w:spacing w:val="-1"/>
        </w:rPr>
        <w:t>万元。河南苏宁电器有限公司出资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5.19</w:t>
      </w:r>
      <w:r>
        <w:rPr/>
        <w:t>万元。</w:t>
      </w:r>
    </w:p>
    <w:p>
      <w:pPr>
        <w:pStyle w:val="BodyText"/>
        <w:spacing w:line="338" w:lineRule="auto" w:before="27"/>
        <w:ind w:right="136" w:firstLine="480"/>
        <w:jc w:val="left"/>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日，公司控股子公司—四川苏宁电器有限公司与德阳旌城苏 宁电器有限公司共同出资组建广安苏宁电器有限公司，注册资本</w:t>
      </w:r>
      <w:r>
        <w:rPr>
          <w:rFonts w:ascii="Times New Roman" w:hAnsi="Times New Roman" w:cs="Times New Roman" w:eastAsia="Times New Roman" w:hint="default"/>
        </w:rPr>
        <w:t>500</w:t>
      </w:r>
      <w:r>
        <w:rPr/>
        <w:t>万元。其中， </w:t>
      </w:r>
      <w:r>
        <w:rPr>
          <w:spacing w:val="-3"/>
        </w:rPr>
        <w:t>四川苏宁电器有限公司出资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；德阳旌城苏宁电器有限公</w:t>
      </w:r>
      <w:r>
        <w:rPr>
          <w:spacing w:val="-103"/>
        </w:rPr>
        <w:t> </w:t>
      </w:r>
      <w:r>
        <w:rPr>
          <w:spacing w:val="-103"/>
        </w:rPr>
      </w:r>
      <w:r>
        <w:rPr/>
        <w:t>司出资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-34.07</w:t>
      </w:r>
      <w:r>
        <w:rPr/>
        <w:t>万元。</w:t>
      </w:r>
    </w:p>
    <w:p>
      <w:pPr>
        <w:pStyle w:val="BodyText"/>
        <w:spacing w:line="338" w:lineRule="auto" w:before="27"/>
        <w:ind w:right="136" w:firstLine="480"/>
        <w:jc w:val="left"/>
      </w:pPr>
      <w:r>
        <w:rPr>
          <w:rFonts w:ascii="Times New Roman" w:hAnsi="Times New Roman" w:cs="Times New Roman" w:eastAsia="Times New Roman" w:hint="default"/>
        </w:rPr>
        <w:t>23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日，公司控股子公司—山西苏宁电器有限公司出资成立阳泉 </w:t>
      </w:r>
      <w:r>
        <w:rPr>
          <w:spacing w:val="-1"/>
        </w:rPr>
        <w:t>苏宁电器有限公司，注册资本</w:t>
      </w:r>
      <w:r>
        <w:rPr>
          <w:rFonts w:ascii="Times New Roman" w:hAnsi="Times New Roman" w:cs="Times New Roman" w:eastAsia="Times New Roman" w:hint="default"/>
          <w:spacing w:val="-1"/>
        </w:rPr>
        <w:t>500</w:t>
      </w:r>
      <w:r>
        <w:rPr>
          <w:spacing w:val="-1"/>
        </w:rPr>
        <w:t>万元。山西苏宁电器有限公司出资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-0.57</w:t>
      </w:r>
      <w:r>
        <w:rPr/>
        <w:t>万元。</w:t>
      </w:r>
    </w:p>
    <w:p>
      <w:pPr>
        <w:pStyle w:val="BodyText"/>
        <w:spacing w:line="338" w:lineRule="auto" w:before="27"/>
        <w:ind w:right="136" w:firstLine="480"/>
        <w:jc w:val="left"/>
      </w:pPr>
      <w:r>
        <w:rPr>
          <w:rFonts w:ascii="Times New Roman" w:hAnsi="Times New Roman" w:cs="Times New Roman" w:eastAsia="Times New Roman" w:hint="default"/>
        </w:rPr>
        <w:t>24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日，公司控股子公司—沈阳苏宁电器有限公司出资成立盘锦 </w:t>
      </w:r>
      <w:r>
        <w:rPr>
          <w:spacing w:val="-1"/>
        </w:rPr>
        <w:t>苏宁电器有限公司，注册资本</w:t>
      </w:r>
      <w:r>
        <w:rPr>
          <w:rFonts w:ascii="Times New Roman" w:hAnsi="Times New Roman" w:cs="Times New Roman" w:eastAsia="Times New Roman" w:hint="default"/>
          <w:spacing w:val="-1"/>
        </w:rPr>
        <w:t>500</w:t>
      </w:r>
      <w:r>
        <w:rPr>
          <w:spacing w:val="-1"/>
        </w:rPr>
        <w:t>万元。沈阳苏宁电器有限公司出资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-26.01</w:t>
      </w:r>
      <w:r>
        <w:rPr/>
        <w:t>万元。</w:t>
      </w:r>
    </w:p>
    <w:p>
      <w:pPr>
        <w:pStyle w:val="BodyText"/>
        <w:spacing w:line="338" w:lineRule="auto" w:before="27"/>
        <w:ind w:right="101" w:firstLine="480"/>
        <w:jc w:val="left"/>
      </w:pPr>
      <w:r>
        <w:rPr>
          <w:rFonts w:ascii="Times New Roman" w:hAnsi="Times New Roman" w:cs="Times New Roman" w:eastAsia="Times New Roman" w:hint="default"/>
        </w:rPr>
        <w:t>25</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日，公司与控股子公司—江苏苏宁地铁商业管理有限公司共 </w:t>
      </w:r>
      <w:r>
        <w:rPr>
          <w:spacing w:val="-1"/>
        </w:rPr>
        <w:t>同出资组建南京苏宁中央空调销售有限公司，注册资本</w:t>
      </w:r>
      <w:r>
        <w:rPr>
          <w:rFonts w:ascii="Times New Roman" w:hAnsi="Times New Roman" w:cs="Times New Roman" w:eastAsia="Times New Roman" w:hint="default"/>
          <w:spacing w:val="-1"/>
        </w:rPr>
        <w:t>500</w:t>
      </w:r>
      <w:r>
        <w:rPr>
          <w:spacing w:val="-1"/>
        </w:rPr>
        <w:t>万元。其中公司出资</w:t>
      </w:r>
      <w:r>
        <w:rPr>
          <w:rFonts w:ascii="Times New Roman" w:hAnsi="Times New Roman" w:cs="Times New Roman" w:eastAsia="Times New Roman" w:hint="default"/>
          <w:spacing w:val="-1"/>
        </w:rPr>
        <w:t>450</w:t>
      </w:r>
      <w:r>
        <w:rPr>
          <w:rFonts w:ascii="Times New Roman" w:hAnsi="Times New Roman" w:cs="Times New Roman" w:eastAsia="Times New Roman" w:hint="default"/>
          <w:spacing w:val="-41"/>
        </w:rPr>
        <w:t> </w:t>
      </w:r>
      <w:r>
        <w:rPr/>
        <w:t>万元，占注册资本的</w:t>
      </w:r>
      <w:r>
        <w:rPr>
          <w:rFonts w:ascii="Times New Roman" w:hAnsi="Times New Roman" w:cs="Times New Roman" w:eastAsia="Times New Roman" w:hint="default"/>
        </w:rPr>
        <w:t>90%</w:t>
      </w:r>
      <w:r>
        <w:rPr/>
        <w:t>；江苏苏宁地铁商业管理有限公司出资</w:t>
      </w:r>
      <w:r>
        <w:rPr>
          <w:rFonts w:ascii="Times New Roman" w:hAnsi="Times New Roman" w:cs="Times New Roman" w:eastAsia="Times New Roman" w:hint="default"/>
        </w:rPr>
        <w:t>50</w:t>
      </w:r>
      <w:r>
        <w:rPr/>
        <w:t>万元，占注册资 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962.03</w:t>
      </w:r>
      <w:r>
        <w:rPr/>
        <w:t>万元。</w:t>
      </w:r>
    </w:p>
    <w:p>
      <w:pPr>
        <w:spacing w:after="0" w:line="338" w:lineRule="auto"/>
        <w:jc w:val="left"/>
        <w:sectPr>
          <w:pgSz w:w="11910" w:h="16840"/>
          <w:pgMar w:header="826" w:footer="900" w:top="1100" w:bottom="1100" w:left="1500" w:right="1500"/>
        </w:sectPr>
      </w:pPr>
    </w:p>
    <w:p>
      <w:pPr>
        <w:pStyle w:val="BodyText"/>
        <w:spacing w:line="338" w:lineRule="auto" w:before="106"/>
        <w:ind w:right="237" w:firstLine="480"/>
        <w:jc w:val="left"/>
      </w:pPr>
      <w:r>
        <w:rPr>
          <w:rFonts w:ascii="Times New Roman" w:hAnsi="Times New Roman" w:cs="Times New Roman" w:eastAsia="Times New Roman" w:hint="default"/>
          <w:spacing w:val="-1"/>
        </w:rPr>
        <w:t>26</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日，公司控股子公司—苏宁电器江苏苏南有限公司出资成立</w:t>
      </w:r>
      <w:r>
        <w:rPr/>
        <w:t> 无锡苏宁软件信息技术有限公司，注册资本</w:t>
      </w:r>
      <w:r>
        <w:rPr>
          <w:rFonts w:ascii="Times New Roman" w:hAnsi="Times New Roman" w:cs="Times New Roman" w:eastAsia="Times New Roman" w:hint="default"/>
        </w:rPr>
        <w:t>500</w:t>
      </w:r>
      <w:r>
        <w:rPr/>
        <w:t>万元。苏宁电器江苏苏南有限公司 出资</w:t>
      </w:r>
      <w:r>
        <w:rPr>
          <w:rFonts w:ascii="Times New Roman" w:hAnsi="Times New Roman" w:cs="Times New Roman" w:eastAsia="Times New Roman" w:hint="default"/>
        </w:rPr>
        <w:t>500</w:t>
      </w:r>
      <w:r>
        <w:rPr/>
        <w:t>万元，占注册资本的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-0.2</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27</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日，公司控股子公司—广东苏宁电器有限公司出资成立阳江</w:t>
      </w:r>
      <w:r>
        <w:rPr/>
        <w:t> </w:t>
      </w:r>
      <w:r>
        <w:rPr>
          <w:spacing w:val="-1"/>
        </w:rPr>
        <w:t>苏宁电器有限公司，注册资本</w:t>
      </w:r>
      <w:r>
        <w:rPr>
          <w:rFonts w:ascii="Times New Roman" w:hAnsi="Times New Roman" w:cs="Times New Roman" w:eastAsia="Times New Roman" w:hint="default"/>
          <w:spacing w:val="-1"/>
        </w:rPr>
        <w:t>500</w:t>
      </w:r>
      <w:r>
        <w:rPr>
          <w:spacing w:val="-1"/>
        </w:rPr>
        <w:t>万元。广东苏宁电器有限公司出资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0.23</w:t>
      </w:r>
      <w:r>
        <w:rPr/>
        <w:t>万元。</w:t>
      </w:r>
    </w:p>
    <w:p>
      <w:pPr>
        <w:pStyle w:val="BodyText"/>
        <w:spacing w:line="338" w:lineRule="auto" w:before="27"/>
        <w:ind w:right="201" w:firstLine="480"/>
        <w:jc w:val="left"/>
      </w:pPr>
      <w:r>
        <w:rPr>
          <w:rFonts w:ascii="Times New Roman" w:hAnsi="Times New Roman" w:cs="Times New Roman" w:eastAsia="Times New Roman" w:hint="default"/>
        </w:rPr>
        <w:t>28</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日，公司控股子公司—浙江苏宁电器有限公司与杭州苏宁电 器有限公司共同出资组建杭州城西苏宁电器有限公司，注册资本</w:t>
      </w:r>
      <w:r>
        <w:rPr>
          <w:rFonts w:ascii="Times New Roman" w:hAnsi="Times New Roman" w:cs="Times New Roman" w:eastAsia="Times New Roman" w:hint="default"/>
        </w:rPr>
        <w:t>1000</w:t>
      </w:r>
      <w:r>
        <w:rPr/>
        <w:t>万元。其中， </w:t>
      </w:r>
      <w:r>
        <w:rPr>
          <w:spacing w:val="-3"/>
        </w:rPr>
        <w:t>浙江苏宁电器有限公司出资</w:t>
      </w:r>
      <w:r>
        <w:rPr>
          <w:rFonts w:ascii="Times New Roman" w:hAnsi="Times New Roman" w:cs="Times New Roman" w:eastAsia="Times New Roman" w:hint="default"/>
          <w:spacing w:val="-3"/>
        </w:rPr>
        <w:t>900</w:t>
      </w:r>
      <w:r>
        <w:rPr>
          <w:spacing w:val="-3"/>
        </w:rPr>
        <w:t>万元，占注册资本的</w:t>
      </w:r>
      <w:r>
        <w:rPr>
          <w:rFonts w:ascii="Times New Roman" w:hAnsi="Times New Roman" w:cs="Times New Roman" w:eastAsia="Times New Roman" w:hint="default"/>
          <w:spacing w:val="-3"/>
        </w:rPr>
        <w:t>90%</w:t>
      </w:r>
      <w:r>
        <w:rPr>
          <w:spacing w:val="-3"/>
        </w:rPr>
        <w:t>；杭州苏宁电器有限公司出</w:t>
      </w:r>
      <w:r>
        <w:rPr>
          <w:spacing w:val="-103"/>
        </w:rPr>
        <w:t> </w:t>
      </w:r>
      <w:r>
        <w:rPr>
          <w:spacing w:val="-103"/>
        </w:rPr>
      </w:r>
      <w:r>
        <w:rPr/>
        <w:t>资</w:t>
      </w:r>
      <w:r>
        <w:rPr>
          <w:rFonts w:ascii="Times New Roman" w:hAnsi="Times New Roman" w:cs="Times New Roman" w:eastAsia="Times New Roman" w:hint="default"/>
        </w:rPr>
        <w:t>100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28.62</w:t>
      </w:r>
      <w:r>
        <w:rPr/>
        <w:t>万元。</w:t>
      </w:r>
    </w:p>
    <w:p>
      <w:pPr>
        <w:pStyle w:val="BodyText"/>
        <w:spacing w:line="338" w:lineRule="auto" w:before="27"/>
        <w:ind w:right="237" w:firstLine="480"/>
        <w:jc w:val="left"/>
      </w:pPr>
      <w:r>
        <w:rPr>
          <w:rFonts w:ascii="Times New Roman" w:hAnsi="Times New Roman" w:cs="Times New Roman" w:eastAsia="Times New Roman" w:hint="default"/>
        </w:rPr>
        <w:t>29</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日，公司控股子公司—武汉苏宁电器有限公司与荆州苏宁电 器有限公司共同出资组建宜昌苏宁电器有限公司，注册资本</w:t>
      </w:r>
      <w:r>
        <w:rPr>
          <w:rFonts w:ascii="Times New Roman" w:hAnsi="Times New Roman" w:cs="Times New Roman" w:eastAsia="Times New Roman" w:hint="default"/>
        </w:rPr>
        <w:t>510</w:t>
      </w:r>
      <w:r>
        <w:rPr/>
        <w:t>万元。其中，武汉 </w:t>
      </w:r>
      <w:r>
        <w:rPr>
          <w:spacing w:val="-3"/>
        </w:rPr>
        <w:t>苏宁电器有限公司出资</w:t>
      </w:r>
      <w:r>
        <w:rPr>
          <w:rFonts w:ascii="Times New Roman" w:hAnsi="Times New Roman" w:cs="Times New Roman" w:eastAsia="Times New Roman" w:hint="default"/>
          <w:spacing w:val="-3"/>
        </w:rPr>
        <w:t>459</w:t>
      </w:r>
      <w:r>
        <w:rPr>
          <w:spacing w:val="-3"/>
        </w:rPr>
        <w:t>万元，占注册资本的</w:t>
      </w:r>
      <w:r>
        <w:rPr>
          <w:rFonts w:ascii="Times New Roman" w:hAnsi="Times New Roman" w:cs="Times New Roman" w:eastAsia="Times New Roman" w:hint="default"/>
          <w:spacing w:val="-3"/>
        </w:rPr>
        <w:t>90%</w:t>
      </w:r>
      <w:r>
        <w:rPr>
          <w:spacing w:val="-3"/>
        </w:rPr>
        <w:t>；荆州苏宁电器有限公司出资</w:t>
      </w:r>
      <w:r>
        <w:rPr>
          <w:rFonts w:ascii="Times New Roman" w:hAnsi="Times New Roman" w:cs="Times New Roman" w:eastAsia="Times New Roman" w:hint="default"/>
          <w:spacing w:val="-3"/>
        </w:rPr>
        <w:t>51</w:t>
      </w:r>
      <w:r>
        <w:rPr>
          <w:rFonts w:ascii="Times New Roman" w:hAnsi="Times New Roman" w:cs="Times New Roman" w:eastAsia="Times New Roman" w:hint="default"/>
          <w:spacing w:val="-42"/>
        </w:rPr>
        <w:t> </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-2.26</w:t>
      </w:r>
      <w:r>
        <w:rPr/>
        <w:t>万元。</w:t>
      </w:r>
    </w:p>
    <w:p>
      <w:pPr>
        <w:pStyle w:val="BodyText"/>
        <w:spacing w:line="338" w:lineRule="auto" w:before="27"/>
        <w:ind w:right="236" w:firstLine="480"/>
        <w:jc w:val="both"/>
      </w:pPr>
      <w:r>
        <w:rPr>
          <w:rFonts w:ascii="Times New Roman" w:hAnsi="Times New Roman" w:cs="Times New Roman" w:eastAsia="Times New Roman" w:hint="default"/>
          <w:spacing w:val="-1"/>
        </w:rPr>
        <w:t>30</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日，公司控股子公司—沈阳苏宁电器有限公司出资成立朝阳</w:t>
      </w:r>
      <w:r>
        <w:rPr/>
        <w:t> </w:t>
      </w:r>
      <w:r>
        <w:rPr>
          <w:spacing w:val="-1"/>
        </w:rPr>
        <w:t>苏宁电器有限公司，注册资本</w:t>
      </w:r>
      <w:r>
        <w:rPr>
          <w:rFonts w:ascii="Times New Roman" w:hAnsi="Times New Roman" w:cs="Times New Roman" w:eastAsia="Times New Roman" w:hint="default"/>
          <w:spacing w:val="-1"/>
        </w:rPr>
        <w:t>500</w:t>
      </w:r>
      <w:r>
        <w:rPr>
          <w:spacing w:val="-1"/>
        </w:rPr>
        <w:t>万元。沈阳苏宁电器有限公司出资</w:t>
      </w:r>
      <w:r>
        <w:rPr>
          <w:rFonts w:ascii="Times New Roman" w:hAnsi="Times New Roman" w:cs="Times New Roman" w:eastAsia="Times New Roman" w:hint="default"/>
          <w:spacing w:val="-1"/>
        </w:rPr>
        <w:t>500</w:t>
      </w:r>
      <w:r>
        <w:rPr>
          <w:spacing w:val="-1"/>
        </w:rPr>
        <w:t>万元，占注</w:t>
      </w:r>
      <w:r>
        <w:rPr>
          <w:spacing w:val="-99"/>
        </w:rPr>
        <w:t> </w:t>
      </w:r>
      <w:r>
        <w:rPr>
          <w:spacing w:val="-99"/>
        </w:rPr>
      </w:r>
      <w:r>
        <w:rPr/>
        <w:t>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-2.47</w:t>
      </w:r>
      <w:r>
        <w:rPr/>
        <w:t>万元。</w:t>
      </w:r>
    </w:p>
    <w:p>
      <w:pPr>
        <w:pStyle w:val="BodyText"/>
        <w:spacing w:line="338" w:lineRule="auto" w:before="27"/>
        <w:ind w:right="108" w:firstLine="480"/>
        <w:jc w:val="left"/>
      </w:pPr>
      <w:r>
        <w:rPr>
          <w:rFonts w:ascii="Times New Roman" w:hAnsi="Times New Roman" w:cs="Times New Roman" w:eastAsia="Times New Roman" w:hint="default"/>
          <w:spacing w:val="-1"/>
        </w:rPr>
        <w:t>31</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日，公司出资成立江苏松桥电器有限公司，注册资本</w:t>
      </w:r>
      <w:r>
        <w:rPr>
          <w:rFonts w:ascii="Times New Roman" w:hAnsi="Times New Roman" w:cs="Times New Roman" w:eastAsia="Times New Roman" w:hint="default"/>
          <w:spacing w:val="-1"/>
        </w:rPr>
        <w:t>1000</w:t>
      </w:r>
      <w:r>
        <w:rPr>
          <w:spacing w:val="-1"/>
        </w:rPr>
        <w:t>万</w:t>
      </w:r>
      <w:r>
        <w:rPr/>
        <w:t> 元，公司出资</w:t>
      </w:r>
      <w:r>
        <w:rPr>
          <w:rFonts w:ascii="Times New Roman" w:hAnsi="Times New Roman" w:cs="Times New Roman" w:eastAsia="Times New Roman" w:hint="default"/>
        </w:rPr>
        <w:t>1000</w:t>
      </w:r>
      <w:r>
        <w:rPr/>
        <w:t>万元，占注册资本的</w:t>
      </w:r>
      <w:r>
        <w:rPr>
          <w:rFonts w:ascii="Times New Roman" w:hAnsi="Times New Roman" w:cs="Times New Roman" w:eastAsia="Times New Roman" w:hint="default"/>
        </w:rPr>
        <w:t>100%</w:t>
      </w:r>
      <w:r>
        <w:rPr/>
        <w:t>。该公司本报告期内未投入运营。</w:t>
      </w:r>
    </w:p>
    <w:p>
      <w:pPr>
        <w:pStyle w:val="BodyText"/>
        <w:spacing w:line="338" w:lineRule="auto" w:before="27"/>
        <w:ind w:right="108" w:firstLine="480"/>
        <w:jc w:val="left"/>
      </w:pPr>
      <w:r>
        <w:rPr>
          <w:rFonts w:ascii="Times New Roman" w:hAnsi="Times New Roman" w:cs="Times New Roman" w:eastAsia="Times New Roman" w:hint="default"/>
          <w:spacing w:val="-1"/>
        </w:rPr>
        <w:t>32</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日，公司控股子公司—四川苏宁电器有限公司与德阳旌城苏</w:t>
      </w:r>
      <w:r>
        <w:rPr/>
        <w:t> 宁电器有限公司共同出资组建内江苏宁电器有限公司，注册资本</w:t>
      </w:r>
      <w:r>
        <w:rPr>
          <w:rFonts w:ascii="Times New Roman" w:hAnsi="Times New Roman" w:cs="Times New Roman" w:eastAsia="Times New Roman" w:hint="default"/>
        </w:rPr>
        <w:t>500</w:t>
      </w:r>
      <w:r>
        <w:rPr/>
        <w:t>万元。其中， </w:t>
      </w:r>
      <w:r>
        <w:rPr>
          <w:spacing w:val="-3"/>
        </w:rPr>
        <w:t>四川苏宁电器有限公司出资</w:t>
      </w:r>
      <w:r>
        <w:rPr>
          <w:rFonts w:ascii="Times New Roman" w:hAnsi="Times New Roman" w:cs="Times New Roman" w:eastAsia="Times New Roman" w:hint="default"/>
          <w:spacing w:val="-3"/>
        </w:rPr>
        <w:t>450</w:t>
      </w:r>
      <w:r>
        <w:rPr>
          <w:spacing w:val="-3"/>
        </w:rPr>
        <w:t>万元，占注册资本的</w:t>
      </w:r>
      <w:r>
        <w:rPr>
          <w:rFonts w:ascii="Times New Roman" w:hAnsi="Times New Roman" w:cs="Times New Roman" w:eastAsia="Times New Roman" w:hint="default"/>
          <w:spacing w:val="-3"/>
        </w:rPr>
        <w:t>90%</w:t>
      </w:r>
      <w:r>
        <w:rPr>
          <w:spacing w:val="-3"/>
        </w:rPr>
        <w:t>；德阳旌城苏宁电器有限公</w:t>
      </w:r>
      <w:r>
        <w:rPr>
          <w:spacing w:val="-103"/>
        </w:rPr>
        <w:t> </w:t>
      </w:r>
      <w:r>
        <w:rPr>
          <w:spacing w:val="-103"/>
        </w:rPr>
      </w:r>
      <w:r>
        <w:rPr/>
        <w:t>司出资</w:t>
      </w:r>
      <w:r>
        <w:rPr>
          <w:rFonts w:ascii="Times New Roman" w:hAnsi="Times New Roman" w:cs="Times New Roman" w:eastAsia="Times New Roman" w:hint="default"/>
        </w:rPr>
        <w:t>50</w:t>
      </w:r>
      <w:r>
        <w:rPr/>
        <w:t>万元，占注册资本的</w:t>
      </w:r>
      <w:r>
        <w:rPr>
          <w:rFonts w:ascii="Times New Roman" w:hAnsi="Times New Roman" w:cs="Times New Roman" w:eastAsia="Times New Roman" w:hint="default"/>
        </w:rPr>
        <w:t>10%</w:t>
      </w:r>
      <w:r>
        <w:rPr/>
        <w:t>。该公司本报告期内未投入运营。</w:t>
      </w:r>
    </w:p>
    <w:p>
      <w:pPr>
        <w:pStyle w:val="BodyText"/>
        <w:spacing w:line="338" w:lineRule="auto" w:before="27"/>
        <w:ind w:right="108" w:firstLine="480"/>
        <w:jc w:val="left"/>
      </w:pPr>
      <w:r>
        <w:rPr>
          <w:rFonts w:ascii="Times New Roman" w:hAnsi="Times New Roman" w:cs="Times New Roman" w:eastAsia="Times New Roman" w:hint="default"/>
        </w:rPr>
        <w:t>33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日，公司与控股子公司—天津天宁苏宁电器有限公司共同出 </w:t>
      </w:r>
      <w:r>
        <w:rPr>
          <w:spacing w:val="-1"/>
        </w:rPr>
        <w:t>资组建天津渤海苏宁电器有限公司，注册资本</w:t>
      </w:r>
      <w:r>
        <w:rPr>
          <w:rFonts w:ascii="Times New Roman" w:hAnsi="Times New Roman" w:cs="Times New Roman" w:eastAsia="Times New Roman" w:hint="default"/>
          <w:spacing w:val="-1"/>
        </w:rPr>
        <w:t>10000</w:t>
      </w:r>
      <w:r>
        <w:rPr>
          <w:spacing w:val="-1"/>
        </w:rPr>
        <w:t>万元（实到</w:t>
      </w:r>
      <w:r>
        <w:rPr>
          <w:rFonts w:ascii="Times New Roman" w:hAnsi="Times New Roman" w:cs="Times New Roman" w:eastAsia="Times New Roman" w:hint="default"/>
          <w:spacing w:val="-1"/>
        </w:rPr>
        <w:t>2000</w:t>
      </w:r>
      <w:r>
        <w:rPr>
          <w:spacing w:val="-1"/>
        </w:rPr>
        <w:t>万元）。其中，</w:t>
      </w:r>
      <w:r>
        <w:rPr>
          <w:spacing w:val="-99"/>
        </w:rPr>
        <w:t> </w:t>
      </w:r>
      <w:r>
        <w:rPr>
          <w:spacing w:val="-99"/>
        </w:rPr>
      </w:r>
      <w:r>
        <w:rPr/>
        <w:t>公司出资</w:t>
      </w:r>
      <w:r>
        <w:rPr>
          <w:rFonts w:ascii="Times New Roman" w:hAnsi="Times New Roman" w:cs="Times New Roman" w:eastAsia="Times New Roman" w:hint="default"/>
        </w:rPr>
        <w:t>9000</w:t>
      </w:r>
      <w:r>
        <w:rPr/>
        <w:t>万元（实到</w:t>
      </w:r>
      <w:r>
        <w:rPr>
          <w:rFonts w:ascii="Times New Roman" w:hAnsi="Times New Roman" w:cs="Times New Roman" w:eastAsia="Times New Roman" w:hint="default"/>
        </w:rPr>
        <w:t>1800</w:t>
      </w:r>
      <w:r>
        <w:rPr/>
        <w:t>万元），占注册资本的</w:t>
      </w:r>
      <w:r>
        <w:rPr>
          <w:rFonts w:ascii="Times New Roman" w:hAnsi="Times New Roman" w:cs="Times New Roman" w:eastAsia="Times New Roman" w:hint="default"/>
        </w:rPr>
        <w:t>90%</w:t>
      </w:r>
      <w:r>
        <w:rPr/>
        <w:t>；天津天宁苏宁电器有限 </w:t>
      </w:r>
      <w:r>
        <w:rPr>
          <w:spacing w:val="-3"/>
        </w:rPr>
        <w:t>公司出资</w:t>
      </w:r>
      <w:r>
        <w:rPr>
          <w:rFonts w:ascii="Times New Roman" w:hAnsi="Times New Roman" w:cs="Times New Roman" w:eastAsia="Times New Roman" w:hint="default"/>
          <w:spacing w:val="-3"/>
        </w:rPr>
        <w:t>1000</w:t>
      </w:r>
      <w:r>
        <w:rPr>
          <w:spacing w:val="-3"/>
        </w:rPr>
        <w:t>万元（实到</w:t>
      </w:r>
      <w:r>
        <w:rPr>
          <w:rFonts w:ascii="Times New Roman" w:hAnsi="Times New Roman" w:cs="Times New Roman" w:eastAsia="Times New Roman" w:hint="default"/>
          <w:spacing w:val="-3"/>
        </w:rPr>
        <w:t>200</w:t>
      </w:r>
      <w:r>
        <w:rPr>
          <w:spacing w:val="-3"/>
        </w:rPr>
        <w:t>万元），占注册资本的</w:t>
      </w:r>
      <w:r>
        <w:rPr>
          <w:rFonts w:ascii="Times New Roman" w:hAnsi="Times New Roman" w:cs="Times New Roman" w:eastAsia="Times New Roman" w:hint="default"/>
          <w:spacing w:val="-3"/>
        </w:rPr>
        <w:t>10%</w:t>
      </w:r>
      <w:r>
        <w:rPr>
          <w:spacing w:val="-3"/>
        </w:rPr>
        <w:t>。该公司本报告期内未投入</w:t>
      </w:r>
      <w:r>
        <w:rPr>
          <w:spacing w:val="-101"/>
        </w:rPr>
        <w:t> </w:t>
      </w:r>
      <w:r>
        <w:rPr>
          <w:spacing w:val="-101"/>
        </w:rPr>
      </w:r>
      <w:r>
        <w:rPr/>
        <w:t>运营。</w:t>
      </w:r>
    </w:p>
    <w:p>
      <w:pPr>
        <w:pStyle w:val="BodyText"/>
        <w:spacing w:line="338" w:lineRule="auto" w:before="55"/>
        <w:ind w:left="144" w:right="108" w:firstLine="480"/>
        <w:jc w:val="left"/>
      </w:pPr>
      <w:r>
        <w:rPr>
          <w:rFonts w:ascii="Times New Roman" w:hAnsi="Times New Roman" w:cs="Times New Roman" w:eastAsia="Times New Roman" w:hint="default"/>
        </w:rPr>
        <w:t>34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日，公司控股子公司—青岛鲁宁苏宁电器有限公司与山东苏 </w:t>
      </w:r>
      <w:r>
        <w:rPr>
          <w:spacing w:val="-1"/>
        </w:rPr>
        <w:t>宁电器有限公司共同出资组建青岛鲁宁苏宁电器售后服务有限公司，注册资本</w:t>
      </w:r>
      <w:r>
        <w:rPr>
          <w:rFonts w:ascii="Times New Roman" w:hAnsi="Times New Roman" w:cs="Times New Roman" w:eastAsia="Times New Roman" w:hint="default"/>
          <w:spacing w:val="-1"/>
        </w:rPr>
        <w:t>50</w:t>
      </w:r>
      <w:r>
        <w:rPr>
          <w:spacing w:val="-1"/>
        </w:rPr>
        <w:t>万</w:t>
      </w:r>
    </w:p>
    <w:p>
      <w:pPr>
        <w:spacing w:after="0" w:line="338" w:lineRule="auto"/>
        <w:jc w:val="left"/>
        <w:sectPr>
          <w:pgSz w:w="11910" w:h="16840"/>
          <w:pgMar w:header="826" w:footer="900" w:top="1100" w:bottom="1100" w:left="1500" w:right="1400"/>
        </w:sectPr>
      </w:pPr>
    </w:p>
    <w:p>
      <w:pPr>
        <w:pStyle w:val="BodyText"/>
        <w:spacing w:line="338" w:lineRule="auto" w:before="106"/>
        <w:ind w:right="159"/>
        <w:jc w:val="both"/>
      </w:pPr>
      <w:r>
        <w:rPr/>
        <w:t>元。其中，青岛鲁宁苏宁电器有限公司出资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；山东苏宁 电器有限公司出资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56.82</w:t>
      </w:r>
      <w:r>
        <w:rPr/>
        <w:t>万 元。</w:t>
      </w:r>
    </w:p>
    <w:p>
      <w:pPr>
        <w:pStyle w:val="BodyText"/>
        <w:spacing w:line="338" w:lineRule="auto" w:before="55"/>
        <w:ind w:right="101" w:firstLine="480"/>
        <w:jc w:val="left"/>
      </w:pPr>
      <w:r>
        <w:rPr>
          <w:rFonts w:ascii="Times New Roman" w:hAnsi="Times New Roman" w:cs="Times New Roman" w:eastAsia="Times New Roman" w:hint="default"/>
        </w:rPr>
        <w:t>35</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日，公司控股子公司—烟台烟宁苏宁电器有限公司与山东苏 </w:t>
      </w:r>
      <w:r>
        <w:rPr>
          <w:spacing w:val="-1"/>
        </w:rPr>
        <w:t>宁电器有限公司共同出资组建烟台烟宁苏宁电器售后服务有限公司，注册资本</w:t>
      </w:r>
      <w:r>
        <w:rPr>
          <w:rFonts w:ascii="Times New Roman" w:hAnsi="Times New Roman" w:cs="Times New Roman" w:eastAsia="Times New Roman" w:hint="default"/>
          <w:spacing w:val="-1"/>
        </w:rPr>
        <w:t>50</w:t>
      </w:r>
      <w:r>
        <w:rPr>
          <w:spacing w:val="-1"/>
        </w:rPr>
        <w:t>万</w:t>
      </w:r>
      <w:r>
        <w:rPr>
          <w:spacing w:val="-103"/>
        </w:rPr>
        <w:t> </w:t>
      </w:r>
      <w:r>
        <w:rPr/>
        <w:t>元。其中，烟台烟宁苏宁电器有限公司出资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；山东苏宁 电器有限公司出资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25.04</w:t>
      </w:r>
      <w:r>
        <w:rPr/>
        <w:t>万 元。</w:t>
      </w:r>
    </w:p>
    <w:p>
      <w:pPr>
        <w:pStyle w:val="BodyText"/>
        <w:spacing w:line="343" w:lineRule="auto" w:before="55"/>
        <w:ind w:right="135" w:firstLine="480"/>
        <w:jc w:val="left"/>
      </w:pPr>
      <w:r>
        <w:rPr>
          <w:rFonts w:ascii="Times New Roman" w:hAnsi="Times New Roman" w:cs="Times New Roman" w:eastAsia="Times New Roman" w:hint="default"/>
        </w:rPr>
        <w:t>36</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日，公司控股子公司—石家庄苏宁电器有限公司与江苏苏宁 </w:t>
      </w:r>
      <w:r>
        <w:rPr>
          <w:spacing w:val="-1"/>
        </w:rPr>
        <w:t>地铁商业管理有限公司共同出资组建石家庄石宁苏宁电器售后服务有限公司，注册</w:t>
      </w:r>
      <w:r>
        <w:rPr>
          <w:spacing w:val="-104"/>
        </w:rPr>
        <w:t> </w:t>
      </w:r>
      <w:r>
        <w:rPr>
          <w:spacing w:val="-104"/>
        </w:rPr>
      </w:r>
      <w:r>
        <w:rPr/>
        <w:t>资本</w:t>
      </w:r>
      <w:r>
        <w:rPr>
          <w:rFonts w:ascii="Times New Roman" w:hAnsi="Times New Roman" w:cs="Times New Roman" w:eastAsia="Times New Roman" w:hint="default"/>
        </w:rPr>
        <w:t>50</w:t>
      </w:r>
      <w:r>
        <w:rPr/>
        <w:t>万元。其中，石家庄苏宁电器有限公司出资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；江 </w:t>
      </w:r>
      <w:r>
        <w:rPr>
          <w:spacing w:val="-3"/>
        </w:rPr>
        <w:t>苏苏宁地铁商业管理有限公司出资</w:t>
      </w:r>
      <w:r>
        <w:rPr>
          <w:rFonts w:ascii="Times New Roman" w:hAnsi="Times New Roman" w:cs="Times New Roman" w:eastAsia="Times New Roman" w:hint="default"/>
          <w:spacing w:val="-3"/>
        </w:rPr>
        <w:t>5</w:t>
      </w:r>
      <w:r>
        <w:rPr>
          <w:spacing w:val="-3"/>
        </w:rPr>
        <w:t>万元，占注册资本的</w:t>
      </w:r>
      <w:r>
        <w:rPr>
          <w:rFonts w:ascii="Times New Roman" w:hAnsi="Times New Roman" w:cs="Times New Roman" w:eastAsia="Times New Roman" w:hint="default"/>
          <w:spacing w:val="-3"/>
        </w:rPr>
        <w:t>10%</w:t>
      </w:r>
      <w:r>
        <w:rPr>
          <w:spacing w:val="-3"/>
        </w:rPr>
        <w:t>。该公司本报告期实现</w:t>
      </w:r>
      <w:r>
        <w:rPr>
          <w:spacing w:val="-114"/>
        </w:rPr>
        <w:t> </w:t>
      </w:r>
      <w:r>
        <w:rPr>
          <w:spacing w:val="-114"/>
        </w:rPr>
      </w:r>
      <w:r>
        <w:rPr/>
        <w:t>净利润</w:t>
      </w:r>
      <w:r>
        <w:rPr>
          <w:rFonts w:ascii="Times New Roman" w:hAnsi="Times New Roman" w:cs="Times New Roman" w:eastAsia="Times New Roman" w:hint="default"/>
        </w:rPr>
        <w:t>58.31</w:t>
      </w:r>
      <w:r>
        <w:rPr/>
        <w:t>万元。</w:t>
      </w:r>
    </w:p>
    <w:p>
      <w:pPr>
        <w:pStyle w:val="BodyText"/>
        <w:spacing w:line="338" w:lineRule="auto" w:before="21"/>
        <w:ind w:right="101" w:firstLine="480"/>
        <w:jc w:val="left"/>
      </w:pPr>
      <w:r>
        <w:rPr>
          <w:rFonts w:ascii="Times New Roman" w:hAnsi="Times New Roman" w:cs="Times New Roman" w:eastAsia="Times New Roman" w:hint="default"/>
        </w:rPr>
        <w:t>37</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日，公司控股子公司—泸州泸宁苏宁电器有限公司与四川苏 </w:t>
      </w:r>
      <w:r>
        <w:rPr>
          <w:spacing w:val="-1"/>
        </w:rPr>
        <w:t>宁电器有限公司共同出资组建泸州泸宁苏宁电器售后服务有限公司，注册资本</w:t>
      </w:r>
      <w:r>
        <w:rPr>
          <w:rFonts w:ascii="Times New Roman" w:hAnsi="Times New Roman" w:cs="Times New Roman" w:eastAsia="Times New Roman" w:hint="default"/>
          <w:spacing w:val="-1"/>
        </w:rPr>
        <w:t>50</w:t>
      </w:r>
      <w:r>
        <w:rPr>
          <w:spacing w:val="-1"/>
        </w:rPr>
        <w:t>万</w:t>
      </w:r>
      <w:r>
        <w:rPr>
          <w:spacing w:val="-103"/>
        </w:rPr>
        <w:t> </w:t>
      </w:r>
      <w:r>
        <w:rPr/>
        <w:t>元。其中，泸州泸宁苏宁电器有限公司出资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；四川苏宁 电器有限公司出资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15.07</w:t>
      </w:r>
      <w:r>
        <w:rPr/>
        <w:t>万 元。</w:t>
      </w:r>
    </w:p>
    <w:p>
      <w:pPr>
        <w:pStyle w:val="BodyText"/>
        <w:spacing w:line="338" w:lineRule="auto" w:before="55"/>
        <w:ind w:right="137" w:firstLine="480"/>
        <w:jc w:val="left"/>
      </w:pPr>
      <w:r>
        <w:rPr>
          <w:rFonts w:ascii="Times New Roman" w:hAnsi="Times New Roman" w:cs="Times New Roman" w:eastAsia="Times New Roman" w:hint="default"/>
          <w:spacing w:val="-1"/>
        </w:rPr>
        <w:t>38</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日，公司控股子公司—云南苏宁电器有限公司与江苏苏宁地铁</w:t>
      </w:r>
      <w:r>
        <w:rPr/>
        <w:t> 商业管理有限公司共同出资组建云南苏宁电器售后服务有限公司，注册资本</w:t>
      </w:r>
      <w:r>
        <w:rPr>
          <w:rFonts w:ascii="Times New Roman" w:hAnsi="Times New Roman" w:cs="Times New Roman" w:eastAsia="Times New Roman" w:hint="default"/>
        </w:rPr>
        <w:t>100</w:t>
      </w:r>
      <w:r>
        <w:rPr/>
        <w:t>万 元。其中，云南苏宁电器有限公司出资</w:t>
      </w:r>
      <w:r>
        <w:rPr>
          <w:rFonts w:ascii="Times New Roman" w:hAnsi="Times New Roman" w:cs="Times New Roman" w:eastAsia="Times New Roman" w:hint="default"/>
        </w:rPr>
        <w:t>90</w:t>
      </w:r>
      <w:r>
        <w:rPr/>
        <w:t>万元，占注册资本的</w:t>
      </w:r>
      <w:r>
        <w:rPr>
          <w:rFonts w:ascii="Times New Roman" w:hAnsi="Times New Roman" w:cs="Times New Roman" w:eastAsia="Times New Roman" w:hint="default"/>
        </w:rPr>
        <w:t>90%</w:t>
      </w:r>
      <w:r>
        <w:rPr/>
        <w:t>；江苏苏宁地铁 </w:t>
      </w:r>
      <w:r>
        <w:rPr>
          <w:spacing w:val="-6"/>
        </w:rPr>
        <w:t>商业管理有限公司出资</w:t>
      </w:r>
      <w:r>
        <w:rPr>
          <w:rFonts w:ascii="Times New Roman" w:hAnsi="Times New Roman" w:cs="Times New Roman" w:eastAsia="Times New Roman" w:hint="default"/>
          <w:spacing w:val="-6"/>
        </w:rPr>
        <w:t>10</w:t>
      </w:r>
      <w:r>
        <w:rPr>
          <w:spacing w:val="-6"/>
        </w:rPr>
        <w:t>万元，占注册资本的</w:t>
      </w:r>
      <w:r>
        <w:rPr>
          <w:rFonts w:ascii="Times New Roman" w:hAnsi="Times New Roman" w:cs="Times New Roman" w:eastAsia="Times New Roman" w:hint="default"/>
          <w:spacing w:val="-6"/>
        </w:rPr>
        <w:t>10%</w:t>
      </w:r>
      <w:r>
        <w:rPr>
          <w:spacing w:val="-6"/>
        </w:rPr>
        <w:t>。该公司本报告期实现净利润</w:t>
      </w:r>
      <w:r>
        <w:rPr>
          <w:rFonts w:ascii="Times New Roman" w:hAnsi="Times New Roman" w:cs="Times New Roman" w:eastAsia="Times New Roman" w:hint="default"/>
          <w:spacing w:val="-6"/>
        </w:rPr>
        <w:t>-1.91</w:t>
      </w:r>
      <w:r>
        <w:rPr>
          <w:rFonts w:ascii="Times New Roman" w:hAnsi="Times New Roman" w:cs="Times New Roman" w:eastAsia="Times New Roman" w:hint="default"/>
          <w:spacing w:val="-48"/>
        </w:rPr>
        <w:t> </w:t>
      </w:r>
      <w:r>
        <w:rPr/>
        <w:t>万元。</w:t>
      </w:r>
    </w:p>
    <w:p>
      <w:pPr>
        <w:pStyle w:val="BodyText"/>
        <w:spacing w:line="338" w:lineRule="auto" w:before="55"/>
        <w:ind w:right="101" w:firstLine="480"/>
        <w:jc w:val="left"/>
      </w:pPr>
      <w:r>
        <w:rPr>
          <w:rFonts w:ascii="Times New Roman" w:hAnsi="Times New Roman" w:cs="Times New Roman" w:eastAsia="Times New Roman" w:hint="default"/>
          <w:spacing w:val="-1"/>
        </w:rPr>
        <w:t>39</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日，公司控股子公司—山东苏宁电器有限公司与江苏苏宁地铁</w:t>
      </w:r>
      <w:r>
        <w:rPr/>
        <w:t> 商业管理有限公司共同出资组建济南苏宁电器售后服务有限公司，注册资本</w:t>
      </w:r>
      <w:r>
        <w:rPr>
          <w:rFonts w:ascii="Times New Roman" w:hAnsi="Times New Roman" w:cs="Times New Roman" w:eastAsia="Times New Roman" w:hint="default"/>
        </w:rPr>
        <w:t>50</w:t>
      </w:r>
      <w:r>
        <w:rPr/>
        <w:t>万 元。其中，山东苏宁电器有限公司出资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；江苏苏宁地铁 商业管理有限公司出资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10%</w:t>
      </w:r>
      <w:r>
        <w:rPr/>
        <w:t>。该公司本报告期实现净利润 </w:t>
      </w:r>
      <w:r>
        <w:rPr>
          <w:rFonts w:ascii="Times New Roman" w:hAnsi="Times New Roman" w:cs="Times New Roman" w:eastAsia="Times New Roman" w:hint="default"/>
        </w:rPr>
        <w:t>184.67</w:t>
      </w:r>
      <w:r>
        <w:rPr/>
        <w:t>万元。</w:t>
      </w:r>
    </w:p>
    <w:p>
      <w:pPr>
        <w:pStyle w:val="BodyText"/>
        <w:spacing w:line="338" w:lineRule="auto" w:before="27"/>
        <w:ind w:right="101" w:firstLine="480"/>
        <w:jc w:val="left"/>
      </w:pPr>
      <w:r>
        <w:rPr>
          <w:rFonts w:ascii="Times New Roman" w:hAnsi="Times New Roman" w:cs="Times New Roman" w:eastAsia="Times New Roman" w:hint="default"/>
        </w:rPr>
        <w:t>40</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日，公司控股子公司—宁波甬宁苏宁电器有限公司与江苏苏 宁地铁商业管理有限公司共同出资组建宁波江东甬宁苏宁电器售后服务有限公司，</w:t>
      </w:r>
    </w:p>
    <w:p>
      <w:pPr>
        <w:spacing w:after="0" w:line="338" w:lineRule="auto"/>
        <w:jc w:val="left"/>
        <w:sectPr>
          <w:pgSz w:w="11910" w:h="16840"/>
          <w:pgMar w:header="826" w:footer="900" w:top="1100" w:bottom="1100" w:left="1500" w:right="1500"/>
        </w:sectPr>
      </w:pPr>
    </w:p>
    <w:p>
      <w:pPr>
        <w:pStyle w:val="BodyText"/>
        <w:spacing w:line="338" w:lineRule="auto" w:before="106"/>
        <w:ind w:right="108"/>
        <w:jc w:val="left"/>
      </w:pPr>
      <w:r>
        <w:rPr>
          <w:spacing w:val="-9"/>
        </w:rPr>
        <w:t>注册资本</w:t>
      </w:r>
      <w:r>
        <w:rPr>
          <w:rFonts w:ascii="Times New Roman" w:hAnsi="Times New Roman" w:cs="Times New Roman" w:eastAsia="Times New Roman" w:hint="default"/>
          <w:spacing w:val="-9"/>
        </w:rPr>
        <w:t>50</w:t>
      </w:r>
      <w:r>
        <w:rPr>
          <w:spacing w:val="-9"/>
        </w:rPr>
        <w:t>万元。其中，宁波甬宁苏宁电器有限公司出资</w:t>
      </w:r>
      <w:r>
        <w:rPr>
          <w:rFonts w:ascii="Times New Roman" w:hAnsi="Times New Roman" w:cs="Times New Roman" w:eastAsia="Times New Roman" w:hint="default"/>
          <w:spacing w:val="-9"/>
        </w:rPr>
        <w:t>45</w:t>
      </w:r>
      <w:r>
        <w:rPr>
          <w:spacing w:val="-9"/>
        </w:rPr>
        <w:t>万元，占注册资本的</w:t>
      </w:r>
      <w:r>
        <w:rPr>
          <w:rFonts w:ascii="Times New Roman" w:hAnsi="Times New Roman" w:cs="Times New Roman" w:eastAsia="Times New Roman" w:hint="default"/>
          <w:spacing w:val="-9"/>
        </w:rPr>
        <w:t>90%</w:t>
      </w:r>
      <w:r>
        <w:rPr>
          <w:spacing w:val="-9"/>
        </w:rPr>
        <w:t>；</w:t>
      </w:r>
      <w:r>
        <w:rPr>
          <w:spacing w:val="-90"/>
        </w:rPr>
        <w:t> </w:t>
      </w:r>
      <w:r>
        <w:rPr>
          <w:spacing w:val="-3"/>
        </w:rPr>
        <w:t>江苏苏宁地铁商业管理有限公司出资</w:t>
      </w:r>
      <w:r>
        <w:rPr>
          <w:rFonts w:ascii="Times New Roman" w:hAnsi="Times New Roman" w:cs="Times New Roman" w:eastAsia="Times New Roman" w:hint="default"/>
          <w:spacing w:val="-3"/>
        </w:rPr>
        <w:t>5</w:t>
      </w:r>
      <w:r>
        <w:rPr>
          <w:spacing w:val="-3"/>
        </w:rPr>
        <w:t>万元，占注册资本的</w:t>
      </w:r>
      <w:r>
        <w:rPr>
          <w:rFonts w:ascii="Times New Roman" w:hAnsi="Times New Roman" w:cs="Times New Roman" w:eastAsia="Times New Roman" w:hint="default"/>
          <w:spacing w:val="-3"/>
        </w:rPr>
        <w:t>10%</w:t>
      </w:r>
      <w:r>
        <w:rPr>
          <w:spacing w:val="-3"/>
        </w:rPr>
        <w:t>。该公司本报告期实</w:t>
      </w:r>
      <w:r>
        <w:rPr>
          <w:spacing w:val="-108"/>
        </w:rPr>
        <w:t> </w:t>
      </w:r>
      <w:r>
        <w:rPr>
          <w:spacing w:val="-108"/>
        </w:rPr>
      </w:r>
      <w:r>
        <w:rPr/>
        <w:t>现净利润</w:t>
      </w:r>
      <w:r>
        <w:rPr>
          <w:rFonts w:ascii="Times New Roman" w:hAnsi="Times New Roman" w:cs="Times New Roman" w:eastAsia="Times New Roman" w:hint="default"/>
        </w:rPr>
        <w:t>76.66</w:t>
      </w:r>
      <w:r>
        <w:rPr/>
        <w:t>万元。</w:t>
      </w:r>
    </w:p>
    <w:p>
      <w:pPr>
        <w:pStyle w:val="BodyText"/>
        <w:spacing w:line="338" w:lineRule="auto" w:before="27"/>
        <w:ind w:right="102" w:firstLine="480"/>
        <w:jc w:val="left"/>
      </w:pPr>
      <w:r>
        <w:rPr>
          <w:rFonts w:ascii="Times New Roman" w:hAnsi="Times New Roman" w:cs="Times New Roman" w:eastAsia="Times New Roman" w:hint="default"/>
        </w:rPr>
        <w:t>41</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日，公司控股子公司—四川苏宁电器有限公司与江苏苏宁地 铁商业管理有限公司共同出资组建四川苏宁物流有限公司，注册资本</w:t>
      </w:r>
      <w:r>
        <w:rPr>
          <w:rFonts w:ascii="Times New Roman" w:hAnsi="Times New Roman" w:cs="Times New Roman" w:eastAsia="Times New Roman" w:hint="default"/>
        </w:rPr>
        <w:t>500</w:t>
      </w:r>
      <w:r>
        <w:rPr/>
        <w:t>万元。其 </w:t>
      </w:r>
      <w:r>
        <w:rPr>
          <w:spacing w:val="-4"/>
        </w:rPr>
        <w:t>中，四川苏宁电器有限公司出资</w:t>
      </w:r>
      <w:r>
        <w:rPr>
          <w:rFonts w:ascii="Times New Roman" w:hAnsi="Times New Roman" w:cs="Times New Roman" w:eastAsia="Times New Roman" w:hint="default"/>
          <w:spacing w:val="-4"/>
        </w:rPr>
        <w:t>450</w:t>
      </w:r>
      <w:r>
        <w:rPr>
          <w:spacing w:val="-4"/>
        </w:rPr>
        <w:t>万元，占注册资本的</w:t>
      </w:r>
      <w:r>
        <w:rPr>
          <w:rFonts w:ascii="Times New Roman" w:hAnsi="Times New Roman" w:cs="Times New Roman" w:eastAsia="Times New Roman" w:hint="default"/>
          <w:spacing w:val="-4"/>
        </w:rPr>
        <w:t>90%</w:t>
      </w:r>
      <w:r>
        <w:rPr>
          <w:spacing w:val="-4"/>
        </w:rPr>
        <w:t>；江苏苏宁地铁商业管</w:t>
      </w:r>
      <w:r>
        <w:rPr>
          <w:spacing w:val="-92"/>
        </w:rPr>
        <w:t> </w:t>
      </w:r>
      <w:r>
        <w:rPr>
          <w:spacing w:val="-92"/>
        </w:rPr>
      </w:r>
      <w:r>
        <w:rPr>
          <w:spacing w:val="-1"/>
        </w:rPr>
        <w:t>理有限公司出资</w:t>
      </w:r>
      <w:r>
        <w:rPr>
          <w:rFonts w:ascii="Times New Roman" w:hAnsi="Times New Roman" w:cs="Times New Roman" w:eastAsia="Times New Roman" w:hint="default"/>
          <w:spacing w:val="-1"/>
        </w:rPr>
        <w:t>50</w:t>
      </w:r>
      <w:r>
        <w:rPr>
          <w:spacing w:val="-1"/>
        </w:rPr>
        <w:t>万元，占注册资本的</w:t>
      </w:r>
      <w:r>
        <w:rPr>
          <w:rFonts w:ascii="Times New Roman" w:hAnsi="Times New Roman" w:cs="Times New Roman" w:eastAsia="Times New Roman" w:hint="default"/>
          <w:spacing w:val="-1"/>
        </w:rPr>
        <w:t>10%</w:t>
      </w:r>
      <w:r>
        <w:rPr>
          <w:spacing w:val="-1"/>
        </w:rPr>
        <w:t>。该公司本报告期实现净利润</w:t>
      </w:r>
      <w:r>
        <w:rPr>
          <w:rFonts w:ascii="Times New Roman" w:hAnsi="Times New Roman" w:cs="Times New Roman" w:eastAsia="Times New Roman" w:hint="default"/>
          <w:spacing w:val="-1"/>
        </w:rPr>
        <w:t>0.41</w:t>
      </w:r>
      <w:r>
        <w:rPr>
          <w:spacing w:val="-1"/>
        </w:rPr>
        <w:t>万元。</w:t>
      </w:r>
    </w:p>
    <w:p>
      <w:pPr>
        <w:pStyle w:val="BodyText"/>
        <w:spacing w:line="338" w:lineRule="auto" w:before="27"/>
        <w:ind w:right="105" w:firstLine="480"/>
        <w:jc w:val="left"/>
      </w:pPr>
      <w:r>
        <w:rPr>
          <w:rFonts w:ascii="Times New Roman" w:hAnsi="Times New Roman" w:cs="Times New Roman" w:eastAsia="Times New Roman" w:hint="default"/>
        </w:rPr>
        <w:t>42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日，公司控股子公司—绵阳绵宁苏宁电器有限公司与四川苏 宁电器有限公司共同出资组建绵阳绵宁苏宁电器售后服务有限公司，注册资本</w:t>
      </w:r>
      <w:r>
        <w:rPr>
          <w:rFonts w:ascii="Times New Roman" w:hAnsi="Times New Roman" w:cs="Times New Roman" w:eastAsia="Times New Roman" w:hint="default"/>
        </w:rPr>
        <w:t>50</w:t>
      </w:r>
      <w:r>
        <w:rPr/>
        <w:t>万 元。其中，绵阳绵宁苏宁电器有限公司出资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；四川苏宁 </w:t>
      </w:r>
      <w:r>
        <w:rPr>
          <w:spacing w:val="-4"/>
        </w:rPr>
        <w:t>电器有限公司出资</w:t>
      </w:r>
      <w:r>
        <w:rPr>
          <w:rFonts w:ascii="Times New Roman" w:hAnsi="Times New Roman" w:cs="Times New Roman" w:eastAsia="Times New Roman" w:hint="default"/>
          <w:spacing w:val="-4"/>
        </w:rPr>
        <w:t>5</w:t>
      </w:r>
      <w:r>
        <w:rPr>
          <w:spacing w:val="-4"/>
        </w:rPr>
        <w:t>万元，占注册资本的</w:t>
      </w:r>
      <w:r>
        <w:rPr>
          <w:rFonts w:ascii="Times New Roman" w:hAnsi="Times New Roman" w:cs="Times New Roman" w:eastAsia="Times New Roman" w:hint="default"/>
          <w:spacing w:val="-4"/>
        </w:rPr>
        <w:t>10%</w:t>
      </w:r>
      <w:r>
        <w:rPr>
          <w:spacing w:val="-4"/>
        </w:rPr>
        <w:t>。该公司本报告期实现净利润</w:t>
      </w:r>
      <w:r>
        <w:rPr>
          <w:rFonts w:ascii="Times New Roman" w:hAnsi="Times New Roman" w:cs="Times New Roman" w:eastAsia="Times New Roman" w:hint="default"/>
          <w:spacing w:val="-4"/>
        </w:rPr>
        <w:t>0.52</w:t>
      </w:r>
      <w:r>
        <w:rPr>
          <w:spacing w:val="-4"/>
        </w:rPr>
        <w:t>万元。</w:t>
      </w:r>
    </w:p>
    <w:p>
      <w:pPr>
        <w:pStyle w:val="BodyText"/>
        <w:spacing w:line="343" w:lineRule="auto" w:before="27"/>
        <w:ind w:right="235" w:firstLine="480"/>
        <w:jc w:val="left"/>
      </w:pPr>
      <w:r>
        <w:rPr>
          <w:rFonts w:ascii="Times New Roman" w:hAnsi="Times New Roman" w:cs="Times New Roman" w:eastAsia="Times New Roman" w:hint="default"/>
        </w:rPr>
        <w:t>43</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日，公司控股子公司—天津天宁苏宁电器有限公司与江苏苏 </w:t>
      </w:r>
      <w:r>
        <w:rPr>
          <w:spacing w:val="-1"/>
        </w:rPr>
        <w:t>宁地铁商业管理有限公司共同出资组建天津天宁苏宁电器售后服务有限公司，注册</w:t>
      </w:r>
      <w:r>
        <w:rPr>
          <w:spacing w:val="-104"/>
        </w:rPr>
        <w:t> </w:t>
      </w:r>
      <w:r>
        <w:rPr>
          <w:spacing w:val="-104"/>
        </w:rPr>
      </w:r>
      <w:r>
        <w:rPr/>
        <w:t>资本</w:t>
      </w:r>
      <w:r>
        <w:rPr>
          <w:rFonts w:ascii="Times New Roman" w:hAnsi="Times New Roman" w:cs="Times New Roman" w:eastAsia="Times New Roman" w:hint="default"/>
        </w:rPr>
        <w:t>50</w:t>
      </w:r>
      <w:r>
        <w:rPr/>
        <w:t>万元。其中，天津天宁苏宁电器有限公司出资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 </w:t>
      </w:r>
      <w:r>
        <w:rPr>
          <w:spacing w:val="-3"/>
        </w:rPr>
        <w:t>江苏苏宁地铁商业管理有限公司出资</w:t>
      </w:r>
      <w:r>
        <w:rPr>
          <w:rFonts w:ascii="Times New Roman" w:hAnsi="Times New Roman" w:cs="Times New Roman" w:eastAsia="Times New Roman" w:hint="default"/>
          <w:spacing w:val="-3"/>
        </w:rPr>
        <w:t>5</w:t>
      </w:r>
      <w:r>
        <w:rPr>
          <w:spacing w:val="-3"/>
        </w:rPr>
        <w:t>万元，占注册资本的</w:t>
      </w:r>
      <w:r>
        <w:rPr>
          <w:rFonts w:ascii="Times New Roman" w:hAnsi="Times New Roman" w:cs="Times New Roman" w:eastAsia="Times New Roman" w:hint="default"/>
          <w:spacing w:val="-3"/>
        </w:rPr>
        <w:t>10%</w:t>
      </w:r>
      <w:r>
        <w:rPr>
          <w:spacing w:val="-3"/>
        </w:rPr>
        <w:t>。该公司本报告期实</w:t>
      </w:r>
      <w:r>
        <w:rPr>
          <w:spacing w:val="-108"/>
        </w:rPr>
        <w:t> </w:t>
      </w:r>
      <w:r>
        <w:rPr>
          <w:spacing w:val="-108"/>
        </w:rPr>
      </w:r>
      <w:r>
        <w:rPr/>
        <w:t>现净利润</w:t>
      </w:r>
      <w:r>
        <w:rPr>
          <w:rFonts w:ascii="Times New Roman" w:hAnsi="Times New Roman" w:cs="Times New Roman" w:eastAsia="Times New Roman" w:hint="default"/>
        </w:rPr>
        <w:t>111.45</w:t>
      </w:r>
      <w:r>
        <w:rPr/>
        <w:t>万元。</w:t>
      </w:r>
    </w:p>
    <w:p>
      <w:pPr>
        <w:pStyle w:val="BodyText"/>
        <w:spacing w:line="338" w:lineRule="auto" w:before="21"/>
        <w:ind w:right="108" w:firstLine="480"/>
        <w:jc w:val="left"/>
      </w:pPr>
      <w:r>
        <w:rPr>
          <w:rFonts w:ascii="Times New Roman" w:hAnsi="Times New Roman" w:cs="Times New Roman" w:eastAsia="Times New Roman" w:hint="default"/>
        </w:rPr>
        <w:t>44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日，公司控股子公司—四川苏宁电器有限公司与江苏苏宁地 </w:t>
      </w:r>
      <w:r>
        <w:rPr>
          <w:spacing w:val="-1"/>
        </w:rPr>
        <w:t>铁商业管理有限公司共同出资组建四川苏宁电器服务有限公司，注册资本</w:t>
      </w:r>
      <w:r>
        <w:rPr>
          <w:rFonts w:ascii="Times New Roman" w:hAnsi="Times New Roman" w:cs="Times New Roman" w:eastAsia="Times New Roman" w:hint="default"/>
          <w:spacing w:val="-1"/>
        </w:rPr>
        <w:t>100</w:t>
      </w:r>
      <w:r>
        <w:rPr>
          <w:spacing w:val="-1"/>
        </w:rPr>
        <w:t>万元。</w:t>
      </w:r>
      <w:r>
        <w:rPr>
          <w:spacing w:val="-102"/>
        </w:rPr>
        <w:t> </w:t>
      </w:r>
      <w:r>
        <w:rPr/>
        <w:t>其中，四川苏宁电器有限公司出资</w:t>
      </w:r>
      <w:r>
        <w:rPr>
          <w:rFonts w:ascii="Times New Roman" w:hAnsi="Times New Roman" w:cs="Times New Roman" w:eastAsia="Times New Roman" w:hint="default"/>
        </w:rPr>
        <w:t>90</w:t>
      </w:r>
      <w:r>
        <w:rPr/>
        <w:t>万元，占注册资本的</w:t>
      </w:r>
      <w:r>
        <w:rPr>
          <w:rFonts w:ascii="Times New Roman" w:hAnsi="Times New Roman" w:cs="Times New Roman" w:eastAsia="Times New Roman" w:hint="default"/>
        </w:rPr>
        <w:t>90%</w:t>
      </w:r>
      <w:r>
        <w:rPr/>
        <w:t>；江苏苏宁地铁商业 管理有限公司出资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409.23 </w:t>
      </w:r>
      <w:r>
        <w:rPr/>
        <w:t>万元。</w:t>
      </w:r>
    </w:p>
    <w:p>
      <w:pPr>
        <w:pStyle w:val="BodyText"/>
        <w:spacing w:line="343" w:lineRule="auto" w:before="55"/>
        <w:ind w:right="237" w:firstLine="480"/>
        <w:jc w:val="both"/>
      </w:pPr>
      <w:r>
        <w:rPr>
          <w:rFonts w:ascii="Times New Roman" w:hAnsi="Times New Roman" w:cs="Times New Roman" w:eastAsia="Times New Roman" w:hint="default"/>
          <w:spacing w:val="-1"/>
        </w:rPr>
        <w:t>45</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日，公司控股子公司—重庆渝宁苏宁电器有限公司与江苏苏宁</w:t>
      </w:r>
      <w:r>
        <w:rPr/>
        <w:t> </w:t>
      </w:r>
      <w:r>
        <w:rPr>
          <w:spacing w:val="-1"/>
        </w:rPr>
        <w:t>地铁商业管理有限公司共同出资组建重庆渝宁苏宁电器售后服务有限公司，注册资</w:t>
      </w:r>
      <w:r>
        <w:rPr>
          <w:spacing w:val="-104"/>
        </w:rPr>
        <w:t> </w:t>
      </w:r>
      <w:r>
        <w:rPr>
          <w:spacing w:val="-104"/>
        </w:rPr>
      </w:r>
      <w:r>
        <w:rPr/>
        <w:t>本</w:t>
      </w:r>
      <w:r>
        <w:rPr>
          <w:rFonts w:ascii="Times New Roman" w:hAnsi="Times New Roman" w:cs="Times New Roman" w:eastAsia="Times New Roman" w:hint="default"/>
        </w:rPr>
        <w:t>50</w:t>
      </w:r>
      <w:r>
        <w:rPr/>
        <w:t>万元。其中，重庆渝宁苏宁电器有限公司出资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；江 </w:t>
      </w:r>
      <w:r>
        <w:rPr>
          <w:spacing w:val="-3"/>
        </w:rPr>
        <w:t>苏苏宁地铁商业管理有限公司出资</w:t>
      </w:r>
      <w:r>
        <w:rPr>
          <w:rFonts w:ascii="Times New Roman" w:hAnsi="Times New Roman" w:cs="Times New Roman" w:eastAsia="Times New Roman" w:hint="default"/>
          <w:spacing w:val="-3"/>
        </w:rPr>
        <w:t>5</w:t>
      </w:r>
      <w:r>
        <w:rPr>
          <w:spacing w:val="-3"/>
        </w:rPr>
        <w:t>万元，占注册资本的</w:t>
      </w:r>
      <w:r>
        <w:rPr>
          <w:rFonts w:ascii="Times New Roman" w:hAnsi="Times New Roman" w:cs="Times New Roman" w:eastAsia="Times New Roman" w:hint="default"/>
          <w:spacing w:val="-3"/>
        </w:rPr>
        <w:t>10%</w:t>
      </w:r>
      <w:r>
        <w:rPr>
          <w:spacing w:val="-3"/>
        </w:rPr>
        <w:t>。该公司本报告期实现</w:t>
      </w:r>
      <w:r>
        <w:rPr>
          <w:spacing w:val="-114"/>
        </w:rPr>
        <w:t> </w:t>
      </w:r>
      <w:r>
        <w:rPr>
          <w:spacing w:val="-114"/>
        </w:rPr>
      </w:r>
      <w:r>
        <w:rPr/>
        <w:t>净利润</w:t>
      </w:r>
      <w:r>
        <w:rPr>
          <w:rFonts w:ascii="Times New Roman" w:hAnsi="Times New Roman" w:cs="Times New Roman" w:eastAsia="Times New Roman" w:hint="default"/>
        </w:rPr>
        <w:t>274.68</w:t>
      </w:r>
      <w:r>
        <w:rPr/>
        <w:t>万元。</w:t>
      </w:r>
    </w:p>
    <w:p>
      <w:pPr>
        <w:pStyle w:val="BodyText"/>
        <w:spacing w:line="338" w:lineRule="auto" w:before="21"/>
        <w:ind w:right="237" w:firstLine="480"/>
        <w:jc w:val="both"/>
      </w:pPr>
      <w:r>
        <w:rPr>
          <w:rFonts w:ascii="Times New Roman" w:hAnsi="Times New Roman" w:cs="Times New Roman" w:eastAsia="Times New Roman" w:hint="default"/>
          <w:spacing w:val="-1"/>
        </w:rPr>
        <w:t>46</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日，公司控股子公司—唐山唐宁苏宁电器有限公司与天津天宁</w:t>
      </w:r>
      <w:r>
        <w:rPr/>
        <w:t> </w:t>
      </w:r>
      <w:r>
        <w:rPr>
          <w:spacing w:val="-1"/>
        </w:rPr>
        <w:t>苏宁电器有限公司共同出资组建唐山唐宁苏宁电器售后服务有限公司，注册资本</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43"/>
        </w:rPr>
        <w:t> </w:t>
      </w:r>
      <w:r>
        <w:rPr/>
        <w:t>万元。其中，唐山唐宁苏宁电器有限公司出资</w:t>
      </w:r>
      <w:r>
        <w:rPr>
          <w:rFonts w:ascii="Times New Roman" w:hAnsi="Times New Roman" w:cs="Times New Roman" w:eastAsia="Times New Roman" w:hint="default"/>
        </w:rPr>
        <w:t>45</w:t>
      </w:r>
      <w:r>
        <w:rPr/>
        <w:t>万元，占注册资本的</w:t>
      </w:r>
      <w:r>
        <w:rPr>
          <w:rFonts w:ascii="Times New Roman" w:hAnsi="Times New Roman" w:cs="Times New Roman" w:eastAsia="Times New Roman" w:hint="default"/>
        </w:rPr>
        <w:t>90%</w:t>
      </w:r>
      <w:r>
        <w:rPr/>
        <w:t>；天津天</w:t>
      </w:r>
    </w:p>
    <w:p>
      <w:pPr>
        <w:spacing w:after="0" w:line="338" w:lineRule="auto"/>
        <w:jc w:val="both"/>
        <w:sectPr>
          <w:pgSz w:w="11910" w:h="16840"/>
          <w:pgMar w:header="826" w:footer="900" w:top="1100" w:bottom="1100" w:left="1500" w:right="1400"/>
        </w:sectPr>
      </w:pPr>
    </w:p>
    <w:p>
      <w:pPr>
        <w:pStyle w:val="BodyText"/>
        <w:spacing w:line="240" w:lineRule="auto" w:before="106"/>
        <w:ind w:left="144" w:right="0"/>
        <w:jc w:val="both"/>
      </w:pPr>
      <w:r>
        <w:rPr/>
        <w:t>宁苏宁电器有限公司出资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10%</w:t>
      </w:r>
      <w:r>
        <w:rPr/>
        <w:t>。该公司本报告期实现净利润</w:t>
      </w:r>
    </w:p>
    <w:p>
      <w:pPr>
        <w:pStyle w:val="BodyText"/>
        <w:spacing w:line="240" w:lineRule="auto" w:before="135"/>
        <w:ind w:right="0"/>
        <w:jc w:val="both"/>
      </w:pPr>
      <w:r>
        <w:rPr>
          <w:rFonts w:ascii="Times New Roman" w:hAnsi="Times New Roman" w:cs="Times New Roman" w:eastAsia="Times New Roman" w:hint="default"/>
        </w:rPr>
        <w:t>25.6</w:t>
      </w:r>
      <w:r>
        <w:rPr/>
        <w:t>万元。</w:t>
      </w:r>
    </w:p>
    <w:p>
      <w:pPr>
        <w:pStyle w:val="BodyText"/>
        <w:spacing w:line="338" w:lineRule="auto" w:before="135"/>
        <w:ind w:right="158" w:firstLine="480"/>
        <w:jc w:val="both"/>
      </w:pPr>
      <w:r>
        <w:rPr>
          <w:rFonts w:ascii="Times New Roman" w:hAnsi="Times New Roman" w:cs="Times New Roman" w:eastAsia="Times New Roman" w:hint="default"/>
          <w:spacing w:val="-1"/>
        </w:rPr>
        <w:t>47</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日，公司控股子公司—湛江苏宁电器有限公司出资成立湛江苏</w:t>
      </w:r>
      <w:r>
        <w:rPr/>
        <w:t> 宁电器售后服务有限公司，注册资本</w:t>
      </w:r>
      <w:r>
        <w:rPr>
          <w:rFonts w:ascii="Times New Roman" w:hAnsi="Times New Roman" w:cs="Times New Roman" w:eastAsia="Times New Roman" w:hint="default"/>
        </w:rPr>
        <w:t>50</w:t>
      </w:r>
      <w:r>
        <w:rPr/>
        <w:t>万元。湛江苏宁电器有限公司出资</w:t>
      </w:r>
      <w:r>
        <w:rPr>
          <w:rFonts w:ascii="Times New Roman" w:hAnsi="Times New Roman" w:cs="Times New Roman" w:eastAsia="Times New Roman" w:hint="default"/>
        </w:rPr>
        <w:t>50</w:t>
      </w:r>
      <w:r>
        <w:rPr/>
        <w:t>万元， 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56.22</w:t>
      </w:r>
      <w:r>
        <w:rPr/>
        <w:t>万元。</w:t>
      </w:r>
    </w:p>
    <w:p>
      <w:pPr>
        <w:pStyle w:val="BodyText"/>
        <w:spacing w:line="338" w:lineRule="auto" w:before="27"/>
        <w:ind w:left="144" w:right="0" w:firstLine="480"/>
        <w:jc w:val="left"/>
      </w:pPr>
      <w:r>
        <w:rPr>
          <w:rFonts w:ascii="Times New Roman" w:hAnsi="Times New Roman" w:cs="Times New Roman" w:eastAsia="Times New Roman" w:hint="default"/>
        </w:rPr>
        <w:t>48</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日，公司控股子公司—郑州苏宁电器售后服务有限公司出资 </w:t>
      </w:r>
      <w:r>
        <w:rPr>
          <w:spacing w:val="-1"/>
        </w:rPr>
        <w:t>成立洛阳苏宁电器售后服务有限公司，注册资本</w:t>
      </w:r>
      <w:r>
        <w:rPr>
          <w:rFonts w:ascii="Times New Roman" w:hAnsi="Times New Roman" w:cs="Times New Roman" w:eastAsia="Times New Roman" w:hint="default"/>
          <w:spacing w:val="-1"/>
        </w:rPr>
        <w:t>10</w:t>
      </w:r>
      <w:r>
        <w:rPr>
          <w:spacing w:val="-1"/>
        </w:rPr>
        <w:t>万元。郑州苏宁电器售后服务有</w:t>
      </w:r>
      <w:r>
        <w:rPr>
          <w:spacing w:val="-103"/>
        </w:rPr>
        <w:t> </w:t>
      </w:r>
      <w:r>
        <w:rPr>
          <w:spacing w:val="-103"/>
        </w:rPr>
      </w:r>
      <w:r>
        <w:rPr/>
        <w:t>限公司出资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1.18</w:t>
      </w:r>
      <w:r>
        <w:rPr/>
        <w:t>万元。</w:t>
      </w:r>
    </w:p>
    <w:p>
      <w:pPr>
        <w:spacing w:line="240" w:lineRule="auto" w:before="9"/>
        <w:rPr>
          <w:rFonts w:ascii="宋体" w:hAnsi="宋体" w:cs="宋体" w:eastAsia="宋体" w:hint="default"/>
          <w:sz w:val="33"/>
          <w:szCs w:val="33"/>
        </w:rPr>
      </w:pPr>
    </w:p>
    <w:p>
      <w:pPr>
        <w:pStyle w:val="BodyText"/>
        <w:spacing w:line="240" w:lineRule="auto"/>
        <w:ind w:left="624" w:right="0"/>
        <w:jc w:val="left"/>
      </w:pPr>
      <w:r>
        <w:rPr/>
        <w:t>五、董事会日常工作情况：</w:t>
      </w:r>
    </w:p>
    <w:p>
      <w:pPr>
        <w:pStyle w:val="BodyText"/>
        <w:spacing w:line="345" w:lineRule="auto" w:before="154"/>
        <w:ind w:right="172" w:firstLine="480"/>
        <w:jc w:val="both"/>
      </w:pPr>
      <w:r>
        <w:rPr>
          <w:rFonts w:ascii="Times New Roman" w:hAnsi="Times New Roman" w:cs="Times New Roman" w:eastAsia="Times New Roman" w:hint="default"/>
          <w:spacing w:val="2"/>
        </w:rPr>
        <w:t>1</w:t>
      </w:r>
      <w:r>
        <w:rPr>
          <w:spacing w:val="2"/>
        </w:rPr>
        <w:t>、报告期内董事会认真履行工作职责，审慎行使公司《章程》和股东大会赋</w:t>
      </w:r>
      <w:r>
        <w:rPr>
          <w:spacing w:val="3"/>
        </w:rPr>
        <w:t> </w:t>
      </w:r>
      <w:r>
        <w:rPr/>
        <w:t>予的职权，结合公司经营需要，共召开 </w:t>
      </w:r>
      <w:r>
        <w:rPr>
          <w:rFonts w:ascii="Times New Roman" w:hAnsi="Times New Roman" w:cs="Times New Roman" w:eastAsia="Times New Roman" w:hint="default"/>
        </w:rPr>
        <w:t>16</w:t>
      </w:r>
      <w:r>
        <w:rPr>
          <w:rFonts w:ascii="Times New Roman" w:hAnsi="Times New Roman" w:cs="Times New Roman" w:eastAsia="Times New Roman" w:hint="default"/>
          <w:spacing w:val="40"/>
        </w:rPr>
        <w:t> </w:t>
      </w:r>
      <w:r>
        <w:rPr/>
        <w:t>次董事会会议，会议的通知、召开、表 </w:t>
      </w:r>
      <w:r>
        <w:rPr>
          <w:spacing w:val="-8"/>
        </w:rPr>
        <w:t>决程序符合《公司法》、公司《章程》、《董事会议事规则》等各项法律、法规及监</w:t>
      </w:r>
      <w:r>
        <w:rPr>
          <w:spacing w:val="-110"/>
        </w:rPr>
        <w:t> </w:t>
      </w:r>
      <w:r>
        <w:rPr>
          <w:spacing w:val="-110"/>
        </w:rPr>
      </w:r>
      <w:r>
        <w:rPr/>
        <w:t>管部门的要求，会议情况及决议内容如下：</w:t>
      </w:r>
    </w:p>
    <w:p>
      <w:pPr>
        <w:pStyle w:val="BodyText"/>
        <w:spacing w:line="240" w:lineRule="auto" w:before="48"/>
        <w:ind w:left="624" w:right="0"/>
        <w:jc w:val="left"/>
      </w:pPr>
      <w:r>
        <w:rPr/>
        <w:t>（</w:t>
      </w:r>
      <w:r>
        <w:rPr>
          <w:rFonts w:ascii="Times New Roman" w:hAnsi="Times New Roman" w:cs="Times New Roman" w:eastAsia="Times New Roman" w:hint="default"/>
        </w:rPr>
        <w:t>1</w:t>
      </w:r>
      <w:r>
        <w:rPr/>
        <w:t>）公司于</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日召开第三届董事会第十次会议，审议通过了《关</w:t>
      </w:r>
    </w:p>
    <w:p>
      <w:pPr>
        <w:pStyle w:val="BodyText"/>
        <w:spacing w:line="240" w:lineRule="auto" w:before="135"/>
        <w:ind w:left="144" w:right="0"/>
        <w:jc w:val="both"/>
      </w:pPr>
      <w:r>
        <w:rPr/>
        <w:t>于购买重庆嘉年华大厦部分楼层的议案</w:t>
      </w:r>
      <w:r>
        <w:rPr>
          <w:spacing w:val="-120"/>
        </w:rPr>
        <w:t>》</w:t>
      </w:r>
      <w:r>
        <w:rPr>
          <w:spacing w:val="-20"/>
        </w:rPr>
        <w:t>，</w:t>
      </w:r>
      <w:r>
        <w:rPr/>
        <w:t>本次董事会决议公告刊登在</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 </w:t>
      </w:r>
      <w:r>
        <w:rPr/>
        <w:t>月</w:t>
      </w:r>
    </w:p>
    <w:p>
      <w:pPr>
        <w:pStyle w:val="BodyText"/>
        <w:spacing w:line="240" w:lineRule="auto" w:before="135"/>
        <w:ind w:right="0"/>
        <w:jc w:val="both"/>
      </w:pPr>
      <w:r>
        <w:rPr>
          <w:rFonts w:ascii="Times New Roman" w:hAnsi="Times New Roman" w:cs="Times New Roman" w:eastAsia="Times New Roman" w:hint="default"/>
        </w:rPr>
        <w:t>8 </w:t>
      </w: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135"/>
        <w:ind w:left="623" w:right="0"/>
        <w:jc w:val="left"/>
      </w:pPr>
      <w:r>
        <w:rPr/>
        <w:t>（</w:t>
      </w:r>
      <w:r>
        <w:rPr>
          <w:rFonts w:ascii="Times New Roman" w:hAnsi="Times New Roman" w:cs="Times New Roman" w:eastAsia="Times New Roman" w:hint="default"/>
        </w:rPr>
        <w:t>2</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日召开第三届董事会第十一次会议，审议通过了</w:t>
      </w:r>
    </w:p>
    <w:p>
      <w:pPr>
        <w:pStyle w:val="BodyText"/>
        <w:spacing w:line="348" w:lineRule="auto" w:before="135"/>
        <w:ind w:right="172"/>
        <w:jc w:val="both"/>
      </w:pPr>
      <w:r>
        <w:rPr>
          <w:spacing w:val="6"/>
        </w:rPr>
        <w:t>《苏宁电器股份有限公司审计委员会年报工作规则</w:t>
      </w:r>
      <w:r>
        <w:rPr>
          <w:spacing w:val="-114"/>
        </w:rPr>
        <w:t>》、</w:t>
      </w:r>
      <w:r>
        <w:rPr>
          <w:spacing w:val="6"/>
        </w:rPr>
        <w:t>《苏宁电器股份有限公司独</w:t>
      </w:r>
      <w:r>
        <w:rPr>
          <w:spacing w:val="6"/>
        </w:rPr>
        <w:t> </w:t>
      </w:r>
      <w:r>
        <w:rPr/>
        <w:t>立董事年报工作制度</w:t>
      </w:r>
      <w:r>
        <w:rPr>
          <w:spacing w:val="-120"/>
        </w:rPr>
        <w:t>》</w:t>
      </w:r>
      <w:r>
        <w:rPr/>
        <w:t>，本次董事会决议公告刊登在</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日的巨潮资讯 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46"/>
        <w:ind w:left="623" w:right="0"/>
        <w:jc w:val="left"/>
      </w:pPr>
      <w:r>
        <w:rPr/>
        <w:t>（</w:t>
      </w:r>
      <w:r>
        <w:rPr>
          <w:rFonts w:ascii="Times New Roman" w:hAnsi="Times New Roman" w:cs="Times New Roman" w:eastAsia="Times New Roman" w:hint="default"/>
        </w:rPr>
        <w:t>3</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日召开第三届董事会第十二次会议，审议通过了</w:t>
      </w:r>
    </w:p>
    <w:p>
      <w:pPr>
        <w:pStyle w:val="BodyText"/>
        <w:spacing w:line="338" w:lineRule="auto" w:before="135"/>
        <w:ind w:right="98"/>
        <w:jc w:val="both"/>
      </w:pP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年度总裁工作报告</w:t>
      </w:r>
      <w:r>
        <w:rPr>
          <w:spacing w:val="-120"/>
        </w:rPr>
        <w:t>》、</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年度董事会工作报告</w:t>
      </w:r>
      <w:r>
        <w:rPr>
          <w:spacing w:val="-120"/>
        </w:rPr>
        <w:t>》、</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年度财务决算报 告</w:t>
      </w:r>
      <w:r>
        <w:rPr>
          <w:spacing w:val="-120"/>
        </w:rPr>
        <w:t>》、</w:t>
      </w:r>
      <w:r>
        <w:rPr/>
        <w:t>《</w:t>
      </w:r>
      <w:r>
        <w:rPr>
          <w:rFonts w:ascii="Times New Roman" w:hAnsi="Times New Roman" w:cs="Times New Roman" w:eastAsia="Times New Roman" w:hint="default"/>
        </w:rPr>
        <w:t>2007 </w:t>
      </w:r>
      <w:r>
        <w:rPr/>
        <w:t>年年度报告》及《</w:t>
      </w:r>
      <w:r>
        <w:rPr>
          <w:rFonts w:ascii="Times New Roman" w:hAnsi="Times New Roman" w:cs="Times New Roman" w:eastAsia="Times New Roman" w:hint="default"/>
        </w:rPr>
        <w:t>2007 </w:t>
      </w:r>
      <w:r>
        <w:rPr/>
        <w:t>年年度报告摘要</w:t>
      </w:r>
      <w:r>
        <w:rPr>
          <w:spacing w:val="-120"/>
        </w:rPr>
        <w:t>》、</w:t>
      </w:r>
      <w:r>
        <w:rPr/>
        <w:t>《</w:t>
      </w:r>
      <w:r>
        <w:rPr>
          <w:rFonts w:ascii="Times New Roman" w:hAnsi="Times New Roman" w:cs="Times New Roman" w:eastAsia="Times New Roman" w:hint="default"/>
        </w:rPr>
        <w:t>2007 </w:t>
      </w:r>
      <w:r>
        <w:rPr/>
        <w:t>年度利润分配预案</w:t>
      </w:r>
      <w:r>
        <w:rPr>
          <w:spacing w:val="-120"/>
        </w:rPr>
        <w:t>》</w:t>
      </w:r>
      <w:r>
        <w:rPr/>
        <w:t>、</w:t>
      </w:r>
    </w:p>
    <w:p>
      <w:pPr>
        <w:pStyle w:val="BodyText"/>
        <w:spacing w:line="348" w:lineRule="auto" w:before="27"/>
        <w:ind w:right="170"/>
        <w:jc w:val="both"/>
      </w:pPr>
      <w:r>
        <w:rPr/>
        <w:t>《关于调整公司</w:t>
      </w:r>
      <w:r>
        <w:rPr>
          <w:spacing w:val="-60"/>
        </w:rPr>
        <w:t> </w:t>
      </w:r>
      <w:r>
        <w:rPr>
          <w:rFonts w:ascii="Times New Roman" w:hAnsi="Times New Roman" w:cs="Times New Roman" w:eastAsia="Times New Roman" w:hint="default"/>
        </w:rPr>
        <w:t>2007 </w:t>
      </w:r>
      <w:r>
        <w:rPr/>
        <w:t>年期初资产负债表的议案</w:t>
      </w:r>
      <w:r>
        <w:rPr>
          <w:spacing w:val="-120"/>
        </w:rPr>
        <w:t>》</w:t>
      </w:r>
      <w:r>
        <w:rPr>
          <w:spacing w:val="-190"/>
        </w:rPr>
        <w:t>、</w:t>
      </w:r>
      <w:r>
        <w:rPr/>
        <w:t>《关于前期会计调整的议案</w:t>
      </w:r>
      <w:r>
        <w:rPr>
          <w:spacing w:val="-120"/>
        </w:rPr>
        <w:t>》</w:t>
      </w:r>
      <w:r>
        <w:rPr>
          <w:spacing w:val="-190"/>
        </w:rPr>
        <w:t>、</w:t>
      </w:r>
      <w:r>
        <w:rPr/>
        <w:t>《董</w:t>
      </w:r>
      <w:r>
        <w:rPr/>
        <w:t> </w:t>
      </w:r>
      <w:r>
        <w:rPr>
          <w:spacing w:val="6"/>
        </w:rPr>
        <w:t>事会关于募集资金年度使用情况的专项报告</w:t>
      </w:r>
      <w:r>
        <w:rPr>
          <w:spacing w:val="-114"/>
        </w:rPr>
        <w:t>》</w:t>
      </w:r>
      <w:r>
        <w:rPr>
          <w:spacing w:val="-113"/>
        </w:rPr>
        <w:t>、</w:t>
      </w:r>
      <w:r>
        <w:rPr>
          <w:spacing w:val="6"/>
        </w:rPr>
        <w:t>《关于前次募集资金使用情况的报</w:t>
      </w:r>
      <w:r>
        <w:rPr>
          <w:spacing w:val="6"/>
        </w:rPr>
        <w:t> </w:t>
      </w:r>
      <w:r>
        <w:rPr/>
        <w:t>告</w:t>
      </w:r>
      <w:r>
        <w:rPr>
          <w:spacing w:val="-120"/>
        </w:rPr>
        <w:t>》、</w:t>
      </w:r>
      <w:r>
        <w:rPr/>
        <w:t>《关于公司</w:t>
      </w:r>
      <w:r>
        <w:rPr>
          <w:spacing w:val="-10"/>
        </w:rPr>
        <w:t> </w:t>
      </w:r>
      <w:r>
        <w:rPr>
          <w:rFonts w:ascii="Times New Roman" w:hAnsi="Times New Roman" w:cs="Times New Roman" w:eastAsia="Times New Roman" w:hint="default"/>
        </w:rPr>
        <w:t>2007 </w:t>
      </w:r>
      <w:r>
        <w:rPr>
          <w:rFonts w:ascii="Times New Roman" w:hAnsi="Times New Roman" w:cs="Times New Roman" w:eastAsia="Times New Roman" w:hint="default"/>
          <w:spacing w:val="-10"/>
        </w:rPr>
        <w:t> </w:t>
      </w:r>
      <w:r>
        <w:rPr/>
        <w:t>年年度关联交易情况说明的议案</w:t>
      </w:r>
      <w:r>
        <w:rPr>
          <w:spacing w:val="-120"/>
        </w:rPr>
        <w:t>》、</w:t>
      </w:r>
      <w:r>
        <w:rPr/>
        <w:t>《关于续聘会计师事务所</w:t>
      </w:r>
      <w:r>
        <w:rPr/>
        <w:t> </w:t>
      </w:r>
      <w:r>
        <w:rPr>
          <w:spacing w:val="6"/>
        </w:rPr>
        <w:t>的议案</w:t>
      </w:r>
      <w:r>
        <w:rPr>
          <w:spacing w:val="-114"/>
        </w:rPr>
        <w:t>》、</w:t>
      </w:r>
      <w:r>
        <w:rPr>
          <w:spacing w:val="6"/>
        </w:rPr>
        <w:t>《关于商标使用许可的议案</w:t>
      </w:r>
      <w:r>
        <w:rPr>
          <w:spacing w:val="-114"/>
        </w:rPr>
        <w:t>》、</w:t>
      </w:r>
      <w:r>
        <w:rPr>
          <w:spacing w:val="6"/>
        </w:rPr>
        <w:t>《关于增加公司经营范围的议案</w:t>
      </w:r>
      <w:r>
        <w:rPr>
          <w:spacing w:val="-114"/>
        </w:rPr>
        <w:t>》、</w:t>
      </w:r>
      <w:r>
        <w:rPr>
          <w:spacing w:val="6"/>
        </w:rPr>
        <w:t>《关于</w:t>
      </w:r>
      <w:r>
        <w:rPr>
          <w:spacing w:val="6"/>
        </w:rPr>
        <w:t> </w:t>
      </w:r>
      <w:r>
        <w:rPr/>
        <w:t>修</w:t>
      </w:r>
      <w:r>
        <w:rPr>
          <w:spacing w:val="-6"/>
        </w:rPr>
        <w:t>改</w:t>
      </w:r>
      <w:r>
        <w:rPr/>
        <w:t>〈公司章程</w:t>
      </w:r>
      <w:r>
        <w:rPr>
          <w:spacing w:val="-6"/>
        </w:rPr>
        <w:t>〉</w:t>
      </w:r>
      <w:r>
        <w:rPr/>
        <w:t>的议案</w:t>
      </w:r>
      <w:r>
        <w:rPr>
          <w:spacing w:val="-120"/>
        </w:rPr>
        <w:t>》、</w:t>
      </w:r>
      <w:r>
        <w:rPr/>
        <w:t>《关于召开</w:t>
      </w:r>
      <w:r>
        <w:rPr>
          <w:spacing w:val="-60"/>
        </w:rPr>
        <w:t> </w:t>
      </w:r>
      <w:r>
        <w:rPr>
          <w:rFonts w:ascii="Times New Roman" w:hAnsi="Times New Roman" w:cs="Times New Roman" w:eastAsia="Times New Roman" w:hint="default"/>
        </w:rPr>
        <w:t>2007 </w:t>
      </w:r>
      <w:r>
        <w:rPr/>
        <w:t>年年度股东大会的议案</w:t>
      </w:r>
      <w:r>
        <w:rPr>
          <w:spacing w:val="-120"/>
        </w:rPr>
        <w:t>》</w:t>
      </w:r>
      <w:r>
        <w:rPr>
          <w:spacing w:val="-6"/>
        </w:rPr>
        <w:t>，</w:t>
      </w:r>
      <w:r>
        <w:rPr/>
        <w:t>本次董事会</w:t>
      </w:r>
    </w:p>
    <w:p>
      <w:pPr>
        <w:pStyle w:val="BodyText"/>
        <w:spacing w:line="338" w:lineRule="auto" w:before="16"/>
        <w:ind w:right="177"/>
        <w:jc w:val="both"/>
      </w:pPr>
      <w:r>
        <w:rPr/>
        <w:t>决议公告刊登在</w:t>
      </w:r>
      <w:r>
        <w:rPr>
          <w:spacing w:val="-8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w:t>
      </w:r>
      <w:r>
        <w:rPr>
          <w:spacing w:val="-83"/>
        </w:rPr>
        <w:t>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月</w:t>
      </w:r>
      <w:r>
        <w:rPr>
          <w:spacing w:val="-83"/>
        </w:rPr>
        <w:t> </w:t>
      </w:r>
      <w:r>
        <w:rPr>
          <w:rFonts w:ascii="Times New Roman" w:hAnsi="Times New Roman" w:cs="Times New Roman" w:eastAsia="Times New Roman" w:hint="default"/>
        </w:rPr>
        <w:t>29</w:t>
      </w:r>
      <w:r>
        <w:rPr>
          <w:rFonts w:ascii="Times New Roman" w:hAnsi="Times New Roman" w:cs="Times New Roman" w:eastAsia="Times New Roman" w:hint="default"/>
          <w:spacing w:val="-23"/>
        </w:rPr>
        <w:t> </w:t>
      </w:r>
      <w:r>
        <w:rPr>
          <w:spacing w:val="-1"/>
        </w:rPr>
        <w:t>日的巨潮资讯网</w:t>
      </w:r>
      <w:r>
        <w:rPr>
          <w:spacing w:val="-121"/>
        </w:rPr>
        <w:t>、</w:t>
      </w:r>
      <w:r>
        <w:rPr/>
        <w:t>《证券时报</w:t>
      </w:r>
      <w:r>
        <w:rPr>
          <w:spacing w:val="-120"/>
        </w:rPr>
        <w:t>》、</w:t>
      </w:r>
      <w:r>
        <w:rPr/>
        <w:t>《中国证券报</w:t>
      </w:r>
      <w:r>
        <w:rPr>
          <w:spacing w:val="-120"/>
        </w:rPr>
        <w:t>》、</w:t>
      </w:r>
      <w:r>
        <w:rPr/>
        <w:t>《上</w:t>
      </w:r>
      <w:r>
        <w:rPr/>
        <w:t> 海证券报</w:t>
      </w:r>
      <w:r>
        <w:rPr>
          <w:spacing w:val="-120"/>
        </w:rPr>
        <w:t>》、</w:t>
      </w:r>
      <w:r>
        <w:rPr/>
        <w:t>《证券日报》上；</w:t>
      </w:r>
    </w:p>
    <w:p>
      <w:pPr>
        <w:spacing w:after="0" w:line="338" w:lineRule="auto"/>
        <w:jc w:val="both"/>
        <w:sectPr>
          <w:pgSz w:w="11910" w:h="16840"/>
          <w:pgMar w:header="826" w:footer="900" w:top="1100" w:bottom="1100" w:left="1500" w:right="1460"/>
        </w:sectPr>
      </w:pPr>
    </w:p>
    <w:p>
      <w:pPr>
        <w:pStyle w:val="BodyText"/>
        <w:spacing w:line="240" w:lineRule="auto" w:before="106"/>
        <w:ind w:left="624" w:right="108"/>
        <w:jc w:val="left"/>
      </w:pPr>
      <w:r>
        <w:rPr/>
        <w:t>（</w:t>
      </w:r>
      <w:r>
        <w:rPr>
          <w:rFonts w:ascii="Times New Roman" w:hAnsi="Times New Roman" w:cs="Times New Roman" w:eastAsia="Times New Roman" w:hint="default"/>
        </w:rPr>
        <w:t>4</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日召开第三届董事会第十三次会议，审议通过了</w:t>
      </w:r>
    </w:p>
    <w:p>
      <w:pPr>
        <w:pStyle w:val="BodyText"/>
        <w:spacing w:line="240" w:lineRule="auto" w:before="135"/>
        <w:ind w:left="144" w:right="0"/>
        <w:jc w:val="both"/>
        <w:rPr>
          <w:rFonts w:ascii="Times New Roman" w:hAnsi="Times New Roman" w:cs="Times New Roman" w:eastAsia="Times New Roman" w:hint="default"/>
        </w:rPr>
      </w:pPr>
      <w:r>
        <w:rPr/>
        <w:t>《关于为上海</w:t>
      </w:r>
      <w:r>
        <w:rPr>
          <w:spacing w:val="-100"/>
        </w:rPr>
        <w:t>、</w:t>
      </w:r>
      <w:r>
        <w:rPr/>
        <w:t>北京控股子公司提供担保的议案</w:t>
      </w:r>
      <w:r>
        <w:rPr>
          <w:spacing w:val="-120"/>
        </w:rPr>
        <w:t>》</w:t>
      </w:r>
      <w:r>
        <w:rPr>
          <w:spacing w:val="-100"/>
        </w:rPr>
        <w:t>，</w:t>
      </w:r>
      <w:r>
        <w:rPr/>
        <w:t>本次董事会决议公告刊登在</w:t>
      </w:r>
      <w:r>
        <w:rPr>
          <w:spacing w:val="-60"/>
        </w:rPr>
        <w:t> </w:t>
      </w:r>
      <w:r>
        <w:rPr>
          <w:rFonts w:ascii="Times New Roman" w:hAnsi="Times New Roman" w:cs="Times New Roman" w:eastAsia="Times New Roman" w:hint="default"/>
        </w:rPr>
        <w:t>2008</w:t>
      </w:r>
    </w:p>
    <w:p>
      <w:pPr>
        <w:pStyle w:val="BodyText"/>
        <w:spacing w:line="338" w:lineRule="auto" w:before="135"/>
        <w:ind w:right="221"/>
        <w:jc w:val="left"/>
      </w:pP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24"/>
        </w:rPr>
        <w:t>日的巨潮资讯网、《证券时报》、《中国证券报》、《上海证券报》、《证券日</w:t>
      </w:r>
      <w:r>
        <w:rPr/>
        <w:t> 报》上；</w:t>
      </w:r>
    </w:p>
    <w:p>
      <w:pPr>
        <w:pStyle w:val="BodyText"/>
        <w:spacing w:line="240" w:lineRule="auto" w:before="55"/>
        <w:ind w:left="623" w:right="108"/>
        <w:jc w:val="left"/>
      </w:pPr>
      <w:r>
        <w:rPr/>
        <w:t>（</w:t>
      </w:r>
      <w:r>
        <w:rPr>
          <w:rFonts w:ascii="Times New Roman" w:hAnsi="Times New Roman" w:cs="Times New Roman" w:eastAsia="Times New Roman" w:hint="default"/>
        </w:rPr>
        <w:t>5</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日召开第三届董事会第十四次会议，审议通过了</w:t>
      </w:r>
    </w:p>
    <w:p>
      <w:pPr>
        <w:pStyle w:val="BodyText"/>
        <w:spacing w:line="357" w:lineRule="auto" w:before="135"/>
        <w:ind w:left="144" w:right="220"/>
        <w:jc w:val="left"/>
      </w:pPr>
      <w:r>
        <w:rPr/>
        <w:t>《苏宁电器股份有限公司 2008</w:t>
      </w:r>
      <w:r>
        <w:rPr>
          <w:spacing w:val="-20"/>
        </w:rPr>
        <w:t> </w:t>
      </w:r>
      <w:r>
        <w:rPr/>
        <w:t>年第一季度报告》，本次董事会决议报送深圳证券</w:t>
      </w:r>
      <w:r>
        <w:rPr/>
        <w:t> 交易所备案；</w:t>
      </w:r>
    </w:p>
    <w:p>
      <w:pPr>
        <w:pStyle w:val="BodyText"/>
        <w:spacing w:line="240" w:lineRule="auto" w:before="36"/>
        <w:ind w:left="624" w:right="108"/>
        <w:jc w:val="left"/>
      </w:pPr>
      <w:r>
        <w:rPr/>
        <w:t>（</w:t>
      </w:r>
      <w:r>
        <w:rPr>
          <w:rFonts w:ascii="Times New Roman" w:hAnsi="Times New Roman" w:cs="Times New Roman" w:eastAsia="Times New Roman" w:hint="default"/>
        </w:rPr>
        <w:t>6</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日召开第三届董事会第十五次会议，审议通过了</w:t>
      </w:r>
    </w:p>
    <w:p>
      <w:pPr>
        <w:pStyle w:val="BodyText"/>
        <w:spacing w:line="240" w:lineRule="auto" w:before="135"/>
        <w:ind w:left="144" w:right="0"/>
        <w:jc w:val="both"/>
        <w:rPr>
          <w:rFonts w:ascii="Times New Roman" w:hAnsi="Times New Roman" w:cs="Times New Roman" w:eastAsia="Times New Roman" w:hint="default"/>
        </w:rPr>
      </w:pPr>
      <w:r>
        <w:rPr/>
        <w:t>《关于设立募集资金专项账户的议案</w:t>
      </w:r>
      <w:r>
        <w:rPr>
          <w:spacing w:val="-120"/>
        </w:rPr>
        <w:t>》</w:t>
      </w:r>
      <w:r>
        <w:rPr>
          <w:spacing w:val="-80"/>
        </w:rPr>
        <w:t>，</w:t>
      </w:r>
      <w:r>
        <w:rPr/>
        <w:t>本次董事会决议公告刊登在</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w:t>
      </w:r>
    </w:p>
    <w:p>
      <w:pPr>
        <w:pStyle w:val="BodyText"/>
        <w:spacing w:line="240" w:lineRule="auto" w:before="135"/>
        <w:ind w:left="144" w:right="0"/>
        <w:jc w:val="both"/>
      </w:pP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154"/>
        <w:ind w:left="624" w:right="108"/>
        <w:jc w:val="left"/>
      </w:pPr>
      <w:r>
        <w:rPr/>
        <w:t>（</w:t>
      </w:r>
      <w:r>
        <w:rPr>
          <w:rFonts w:ascii="Times New Roman" w:hAnsi="Times New Roman" w:cs="Times New Roman" w:eastAsia="Times New Roman" w:hint="default"/>
        </w:rPr>
        <w:t>7</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日召开第三届董事会第十六次会议，审议通过了</w:t>
      </w:r>
    </w:p>
    <w:p>
      <w:pPr>
        <w:pStyle w:val="BodyText"/>
        <w:spacing w:line="357" w:lineRule="auto" w:before="135"/>
        <w:ind w:right="101"/>
        <w:jc w:val="left"/>
      </w:pPr>
      <w:r>
        <w:rPr/>
        <w:t>《关于为佛山</w:t>
      </w:r>
      <w:r>
        <w:rPr>
          <w:spacing w:val="-41"/>
        </w:rPr>
        <w:t>、</w:t>
      </w:r>
      <w:r>
        <w:rPr/>
        <w:t>福建</w:t>
      </w:r>
      <w:r>
        <w:rPr>
          <w:spacing w:val="-42"/>
        </w:rPr>
        <w:t>、</w:t>
      </w:r>
      <w:r>
        <w:rPr/>
        <w:t>陕西控股子公司提供担保的议案</w:t>
      </w:r>
      <w:r>
        <w:rPr>
          <w:spacing w:val="-120"/>
        </w:rPr>
        <w:t>》</w:t>
      </w:r>
      <w:r>
        <w:rPr>
          <w:spacing w:val="-27"/>
          <w:sz w:val="21"/>
          <w:szCs w:val="21"/>
        </w:rPr>
        <w:t>，</w:t>
      </w:r>
      <w:r>
        <w:rPr/>
        <w:t>本次董事会决议公告刊登</w:t>
      </w:r>
      <w:r>
        <w:rPr/>
        <w:t> 在</w:t>
      </w:r>
      <w:r>
        <w:rPr>
          <w:spacing w:val="-23"/>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24"/>
        </w:rPr>
        <w:t> </w:t>
      </w:r>
      <w:r>
        <w:rPr/>
        <w:t>年</w:t>
      </w:r>
      <w:r>
        <w:rPr>
          <w:spacing w:val="-23"/>
        </w:rPr>
        <w:t> </w:t>
      </w:r>
      <w:r>
        <w:rPr>
          <w:rFonts w:ascii="Times New Roman" w:hAnsi="Times New Roman" w:cs="Times New Roman" w:eastAsia="Times New Roman" w:hint="default"/>
        </w:rPr>
        <w:t>7 </w:t>
      </w:r>
      <w:r>
        <w:rPr>
          <w:rFonts w:ascii="Times New Roman" w:hAnsi="Times New Roman" w:cs="Times New Roman" w:eastAsia="Times New Roman" w:hint="default"/>
          <w:spacing w:val="-23"/>
        </w:rPr>
        <w:t> </w:t>
      </w:r>
      <w:r>
        <w:rPr/>
        <w:t>月</w:t>
      </w:r>
      <w:r>
        <w:rPr>
          <w:spacing w:val="-23"/>
        </w:rPr>
        <w:t> </w:t>
      </w: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w:t>
      </w:r>
    </w:p>
    <w:p>
      <w:pPr>
        <w:pStyle w:val="BodyText"/>
        <w:spacing w:line="240" w:lineRule="auto" w:before="5"/>
        <w:ind w:right="0"/>
        <w:jc w:val="both"/>
      </w:pPr>
      <w:r>
        <w:rPr/>
        <w:t>《证券日报》上；</w:t>
      </w:r>
    </w:p>
    <w:p>
      <w:pPr>
        <w:pStyle w:val="BodyText"/>
        <w:spacing w:line="240" w:lineRule="auto" w:before="154"/>
        <w:ind w:left="623" w:right="108"/>
        <w:jc w:val="left"/>
      </w:pPr>
      <w:r>
        <w:rPr/>
        <w:t>（</w:t>
      </w:r>
      <w:r>
        <w:rPr>
          <w:rFonts w:ascii="Times New Roman" w:hAnsi="Times New Roman" w:cs="Times New Roman" w:eastAsia="Times New Roman" w:hint="default"/>
        </w:rPr>
        <w:t>8</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t>日召开第三届董事会第十七次会议，审议通过了</w:t>
      </w:r>
    </w:p>
    <w:p>
      <w:pPr>
        <w:pStyle w:val="BodyText"/>
        <w:spacing w:line="345" w:lineRule="auto" w:before="135"/>
        <w:ind w:left="144" w:right="117"/>
        <w:jc w:val="both"/>
      </w:pPr>
      <w:r>
        <w:rPr/>
        <w:t>《苏宁电器股份有限公司董事、监事和高级管理人员所持公司股份及其变动管理规 则》、《关于修改</w:t>
      </w:r>
      <w:r>
        <w:rPr>
          <w:rFonts w:ascii="Times New Roman" w:hAnsi="Times New Roman" w:cs="Times New Roman" w:eastAsia="Times New Roman" w:hint="default"/>
        </w:rPr>
        <w:t>&lt;</w:t>
      </w:r>
      <w:r>
        <w:rPr/>
        <w:t>苏宁电器股份有限公司信息披露管理制度</w:t>
      </w:r>
      <w:r>
        <w:rPr>
          <w:rFonts w:ascii="Times New Roman" w:hAnsi="Times New Roman" w:cs="Times New Roman" w:eastAsia="Times New Roman" w:hint="default"/>
        </w:rPr>
        <w:t>&gt;</w:t>
      </w:r>
      <w:r>
        <w:rPr/>
        <w:t>的议案》、《关于修</w:t>
      </w:r>
      <w:r>
        <w:rPr>
          <w:spacing w:val="-1"/>
        </w:rPr>
        <w:t> </w:t>
      </w:r>
      <w:r>
        <w:rPr/>
        <w:t>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的议案》、《苏宁电器股份有限公司关于公司治理整改情况说明的报 </w:t>
      </w:r>
      <w:r>
        <w:rPr>
          <w:spacing w:val="-5"/>
        </w:rPr>
        <w:t>告》，本次董事会决议公告刊登在</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5"/>
        </w:rPr>
        <w:t>日的巨潮资讯网、《证券时报》、</w:t>
      </w:r>
    </w:p>
    <w:p>
      <w:pPr>
        <w:pStyle w:val="BodyText"/>
        <w:spacing w:line="240" w:lineRule="auto" w:before="19"/>
        <w:ind w:left="144" w:right="0"/>
        <w:jc w:val="both"/>
      </w:pPr>
      <w:r>
        <w:rPr/>
        <w:t>《中国证券报》、《上海证券报》、《证券日报》上；</w:t>
      </w:r>
    </w:p>
    <w:p>
      <w:pPr>
        <w:pStyle w:val="BodyText"/>
        <w:spacing w:line="240" w:lineRule="auto" w:before="154"/>
        <w:ind w:left="624" w:right="108"/>
        <w:jc w:val="left"/>
      </w:pPr>
      <w:r>
        <w:rPr/>
        <w:t>（</w:t>
      </w:r>
      <w:r>
        <w:rPr>
          <w:rFonts w:ascii="Times New Roman" w:hAnsi="Times New Roman" w:cs="Times New Roman" w:eastAsia="Times New Roman" w:hint="default"/>
        </w:rPr>
        <w:t>9</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日召开第三届董事会第十八次会议，审议通过了</w:t>
      </w:r>
    </w:p>
    <w:p>
      <w:pPr>
        <w:pStyle w:val="BodyText"/>
        <w:spacing w:line="240" w:lineRule="auto" w:before="135"/>
        <w:ind w:left="144" w:right="0"/>
        <w:jc w:val="both"/>
      </w:pPr>
      <w:r>
        <w:rPr/>
        <w:t>《苏宁电器股份有限公司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年股票期权激励计划（草案）》及其摘要、《苏宁</w:t>
      </w:r>
    </w:p>
    <w:p>
      <w:pPr>
        <w:pStyle w:val="BodyText"/>
        <w:spacing w:line="240" w:lineRule="auto" w:before="135"/>
        <w:ind w:left="144" w:right="0"/>
        <w:jc w:val="both"/>
      </w:pPr>
      <w:r>
        <w:rPr/>
        <w:t>电器股份有限公司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年股票期权激励计划实施考核办法》、《关于授权董事会</w:t>
      </w:r>
    </w:p>
    <w:p>
      <w:pPr>
        <w:pStyle w:val="BodyText"/>
        <w:spacing w:line="240" w:lineRule="auto" w:before="135"/>
        <w:ind w:left="144" w:right="0"/>
        <w:jc w:val="both"/>
        <w:rPr>
          <w:rFonts w:ascii="Times New Roman" w:hAnsi="Times New Roman" w:cs="Times New Roman" w:eastAsia="Times New Roman" w:hint="default"/>
        </w:rPr>
      </w:pPr>
      <w:r>
        <w:rPr/>
        <w:t>办理股票期权激励计划相关事宜的议案》，本次董事会决议公告刊登在 </w:t>
      </w:r>
      <w:r>
        <w:rPr>
          <w:rFonts w:ascii="Times New Roman" w:hAnsi="Times New Roman" w:cs="Times New Roman" w:eastAsia="Times New Roman" w:hint="default"/>
        </w:rPr>
        <w:t>2008  </w:t>
      </w:r>
      <w:r>
        <w:rPr/>
        <w:t>年</w:t>
      </w:r>
      <w:r>
        <w:rPr>
          <w:spacing w:val="-20"/>
        </w:rPr>
        <w:t> </w:t>
      </w:r>
      <w:r>
        <w:rPr>
          <w:rFonts w:ascii="Times New Roman" w:hAnsi="Times New Roman" w:cs="Times New Roman" w:eastAsia="Times New Roman" w:hint="default"/>
        </w:rPr>
        <w:t>7</w:t>
      </w:r>
    </w:p>
    <w:p>
      <w:pPr>
        <w:pStyle w:val="BodyText"/>
        <w:spacing w:line="338" w:lineRule="auto" w:before="135"/>
        <w:ind w:left="144" w:right="220"/>
        <w:jc w:val="left"/>
      </w:pP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40"/>
        </w:rPr>
        <w:t> </w:t>
      </w:r>
      <w:r>
        <w:rPr/>
        <w:t>日的巨潮资讯网、《证券时报》、《中国证券报》、《上海证券报》、《证 券日报》上；</w:t>
      </w:r>
    </w:p>
    <w:p>
      <w:pPr>
        <w:pStyle w:val="BodyText"/>
        <w:spacing w:line="240" w:lineRule="auto" w:before="55"/>
        <w:ind w:left="624" w:right="108"/>
        <w:jc w:val="left"/>
      </w:pPr>
      <w:r>
        <w:rPr/>
        <w:t>（</w:t>
      </w:r>
      <w:r>
        <w:rPr>
          <w:rFonts w:ascii="Times New Roman" w:hAnsi="Times New Roman" w:cs="Times New Roman" w:eastAsia="Times New Roman" w:hint="default"/>
        </w:rPr>
        <w:t>10</w:t>
      </w:r>
      <w:r>
        <w:rPr/>
        <w:t>）公司于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日召开第三届董事会第十九次会议，审议通过了</w:t>
      </w:r>
    </w:p>
    <w:p>
      <w:pPr>
        <w:pStyle w:val="BodyText"/>
        <w:spacing w:line="348" w:lineRule="auto" w:before="135"/>
        <w:ind w:left="144" w:right="218"/>
        <w:jc w:val="both"/>
      </w:pPr>
      <w:r>
        <w:rPr/>
        <w:t>《苏宁电器股份有限公司关于控股股东及其他关联方资金占用问题的自查报告》， 本次董事会决议公告刊登在</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9"/>
        </w:rPr>
        <w:t>日的巨潮资讯网、《证券时报》、《中国证</w:t>
      </w:r>
      <w:r>
        <w:rPr/>
        <w:t> </w:t>
      </w:r>
      <w:r>
        <w:rPr>
          <w:spacing w:val="-24"/>
        </w:rPr>
        <w:t>券报》、《上海证券报》、《证券日报》上；</w:t>
      </w:r>
    </w:p>
    <w:p>
      <w:pPr>
        <w:spacing w:after="0" w:line="348" w:lineRule="auto"/>
        <w:jc w:val="both"/>
        <w:sectPr>
          <w:pgSz w:w="11910" w:h="16840"/>
          <w:pgMar w:header="826" w:footer="900" w:top="1100" w:bottom="1100" w:left="1500" w:right="1400"/>
        </w:sectPr>
      </w:pPr>
    </w:p>
    <w:p>
      <w:pPr>
        <w:pStyle w:val="BodyText"/>
        <w:spacing w:line="240" w:lineRule="auto" w:before="106"/>
        <w:ind w:left="624" w:right="108"/>
        <w:jc w:val="left"/>
      </w:pPr>
      <w:r>
        <w:rPr/>
        <w:t>（</w:t>
      </w:r>
      <w:r>
        <w:rPr>
          <w:rFonts w:ascii="Times New Roman" w:hAnsi="Times New Roman" w:cs="Times New Roman" w:eastAsia="Times New Roman" w:hint="default"/>
        </w:rPr>
        <w:t>11</w:t>
      </w:r>
      <w:r>
        <w:rPr/>
        <w:t>）公司于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日召开第三届董事会第二十次会议，审议通过了</w:t>
      </w:r>
    </w:p>
    <w:p>
      <w:pPr>
        <w:pStyle w:val="BodyText"/>
        <w:spacing w:line="348" w:lineRule="auto" w:before="135"/>
        <w:ind w:right="234"/>
        <w:jc w:val="both"/>
      </w:pPr>
      <w:r>
        <w:rPr>
          <w:spacing w:val="2"/>
        </w:rPr>
        <w:t>《关于以募集资金置换预先已投</w:t>
      </w:r>
      <w:r>
        <w:rPr>
          <w:spacing w:val="3"/>
        </w:rPr>
        <w:t>入</w:t>
      </w:r>
      <w:r>
        <w:rPr>
          <w:spacing w:val="2"/>
        </w:rPr>
        <w:t>募投项目的自筹资金的议案</w:t>
      </w:r>
      <w:r>
        <w:rPr>
          <w:spacing w:val="-116"/>
        </w:rPr>
        <w:t>》</w:t>
      </w:r>
      <w:r>
        <w:rPr>
          <w:spacing w:val="2"/>
        </w:rPr>
        <w:t>，本次董事会决议</w:t>
      </w:r>
      <w:r>
        <w:rPr>
          <w:spacing w:val="2"/>
        </w:rPr>
        <w:t> </w:t>
      </w:r>
      <w:r>
        <w:rPr/>
        <w:t>公告刊登在</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日的巨潮资讯网</w:t>
      </w:r>
      <w:r>
        <w:rPr>
          <w:spacing w:val="-120"/>
        </w:rPr>
        <w:t>、</w:t>
      </w:r>
      <w:r>
        <w:rPr/>
        <w:t>《证券时报</w:t>
      </w:r>
      <w:r>
        <w:rPr>
          <w:spacing w:val="-120"/>
        </w:rPr>
        <w:t>》、</w:t>
      </w:r>
      <w:r>
        <w:rPr/>
        <w:t>《中国证券报</w:t>
      </w:r>
      <w:r>
        <w:rPr>
          <w:spacing w:val="-120"/>
        </w:rPr>
        <w:t>》、</w:t>
      </w:r>
      <w:r>
        <w:rPr/>
        <w:t>《上海</w:t>
      </w:r>
      <w:r>
        <w:rPr/>
        <w:t> 证券报</w:t>
      </w:r>
      <w:r>
        <w:rPr>
          <w:spacing w:val="-120"/>
        </w:rPr>
        <w:t>》、</w:t>
      </w:r>
      <w:r>
        <w:rPr/>
        <w:t>《证券日报》上；</w:t>
      </w:r>
    </w:p>
    <w:p>
      <w:pPr>
        <w:pStyle w:val="BodyText"/>
        <w:spacing w:line="338" w:lineRule="auto" w:before="46"/>
        <w:ind w:right="237" w:firstLine="480"/>
        <w:jc w:val="both"/>
      </w:pPr>
      <w:r>
        <w:rPr/>
        <w:t>（</w:t>
      </w:r>
      <w:r>
        <w:rPr>
          <w:rFonts w:ascii="Times New Roman" w:hAnsi="Times New Roman" w:cs="Times New Roman" w:eastAsia="Times New Roman" w:hint="default"/>
        </w:rPr>
        <w:t>12</w:t>
      </w:r>
      <w:r>
        <w:rPr/>
        <w:t>）公司于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日召开第三届董事会第二十一次会议，审议通过 了《</w:t>
      </w:r>
      <w:r>
        <w:rPr>
          <w:rFonts w:ascii="Times New Roman" w:hAnsi="Times New Roman" w:cs="Times New Roman" w:eastAsia="Times New Roman" w:hint="default"/>
        </w:rPr>
        <w:t>2008 </w:t>
      </w:r>
      <w:r>
        <w:rPr/>
        <w:t>年半年度报告》及《</w:t>
      </w:r>
      <w:r>
        <w:rPr>
          <w:rFonts w:ascii="Times New Roman" w:hAnsi="Times New Roman" w:cs="Times New Roman" w:eastAsia="Times New Roman" w:hint="default"/>
        </w:rPr>
        <w:t>2008 </w:t>
      </w:r>
      <w:r>
        <w:rPr>
          <w:spacing w:val="-16"/>
        </w:rPr>
        <w:t>年半年度报告摘要》、《</w:t>
      </w:r>
      <w:r>
        <w:rPr>
          <w:rFonts w:ascii="Times New Roman" w:hAnsi="Times New Roman" w:cs="Times New Roman" w:eastAsia="Times New Roman" w:hint="default"/>
          <w:spacing w:val="-16"/>
        </w:rPr>
        <w:t>2008</w:t>
      </w:r>
      <w:r>
        <w:rPr>
          <w:rFonts w:ascii="Times New Roman" w:hAnsi="Times New Roman" w:cs="Times New Roman" w:eastAsia="Times New Roman" w:hint="default"/>
          <w:spacing w:val="38"/>
        </w:rPr>
        <w:t> </w:t>
      </w:r>
      <w:r>
        <w:rPr/>
        <w:t>年半年度利润分配 </w:t>
      </w:r>
      <w:r>
        <w:rPr>
          <w:spacing w:val="-30"/>
        </w:rPr>
        <w:t>预案》、《关于对</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11"/>
        </w:rPr>
        <w:t>年半年度比较财务报表调整的议案》、《关于召开</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年第一</w:t>
      </w:r>
    </w:p>
    <w:p>
      <w:pPr>
        <w:pStyle w:val="BodyText"/>
        <w:spacing w:line="338" w:lineRule="auto" w:before="27"/>
        <w:ind w:right="225"/>
        <w:jc w:val="left"/>
      </w:pPr>
      <w:r>
        <w:rPr/>
        <w:t>次临时股东大会的议案</w:t>
      </w:r>
      <w:r>
        <w:rPr>
          <w:spacing w:val="-120"/>
        </w:rPr>
        <w:t>》</w:t>
      </w:r>
      <w:r>
        <w:rPr/>
        <w:t>，本次董事会决议公告刊登在</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日的巨潮资 讯网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55"/>
        <w:ind w:left="623" w:right="108"/>
        <w:jc w:val="left"/>
      </w:pPr>
      <w:r>
        <w:rPr/>
        <w:t>（</w:t>
      </w:r>
      <w:r>
        <w:rPr>
          <w:rFonts w:ascii="Times New Roman" w:hAnsi="Times New Roman" w:cs="Times New Roman" w:eastAsia="Times New Roman" w:hint="default"/>
        </w:rPr>
        <w:t>13</w:t>
      </w:r>
      <w:r>
        <w:rPr/>
        <w:t>）公司于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日召开第三届董事会第二十二次会议，审议通过</w:t>
      </w:r>
    </w:p>
    <w:p>
      <w:pPr>
        <w:pStyle w:val="BodyText"/>
        <w:spacing w:line="240" w:lineRule="auto" w:before="135"/>
        <w:ind w:right="0"/>
        <w:jc w:val="both"/>
        <w:rPr>
          <w:rFonts w:ascii="Times New Roman" w:hAnsi="Times New Roman" w:cs="Times New Roman" w:eastAsia="Times New Roman" w:hint="default"/>
        </w:rPr>
      </w:pPr>
      <w:r>
        <w:rPr/>
        <w:t>了《关于修改公司＜章程＞的议案</w:t>
      </w:r>
      <w:r>
        <w:rPr>
          <w:spacing w:val="-120"/>
        </w:rPr>
        <w:t>》</w:t>
      </w:r>
      <w:r>
        <w:rPr>
          <w:sz w:val="21"/>
          <w:szCs w:val="21"/>
        </w:rPr>
        <w:t>，</w:t>
      </w:r>
      <w:r>
        <w:rPr/>
        <w:t>本次董事会决议公告刊登在</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6"/>
        </w:rPr>
        <w:t> </w:t>
      </w:r>
      <w:r>
        <w:rPr>
          <w:rFonts w:ascii="Times New Roman" w:hAnsi="Times New Roman" w:cs="Times New Roman" w:eastAsia="Times New Roman" w:hint="default"/>
        </w:rPr>
        <w:t>10</w:t>
      </w:r>
    </w:p>
    <w:p>
      <w:pPr>
        <w:pStyle w:val="BodyText"/>
        <w:spacing w:line="240" w:lineRule="auto" w:before="135"/>
        <w:ind w:left="144" w:right="0"/>
        <w:jc w:val="both"/>
      </w:pP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154"/>
        <w:ind w:left="624" w:right="108"/>
        <w:jc w:val="left"/>
      </w:pPr>
      <w:r>
        <w:rPr/>
        <w:t>（</w:t>
      </w:r>
      <w:r>
        <w:rPr>
          <w:rFonts w:ascii="Times New Roman" w:hAnsi="Times New Roman" w:cs="Times New Roman" w:eastAsia="Times New Roman" w:hint="default"/>
        </w:rPr>
        <w:t>14</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日召开第三届董事会第二十三次会议，审议通</w:t>
      </w:r>
    </w:p>
    <w:p>
      <w:pPr>
        <w:pStyle w:val="BodyText"/>
        <w:spacing w:line="357" w:lineRule="auto" w:before="135"/>
        <w:ind w:left="144" w:right="220"/>
        <w:jc w:val="left"/>
      </w:pPr>
      <w:r>
        <w:rPr/>
        <w:t>过了《苏宁电器股份有限公司 2008</w:t>
      </w:r>
      <w:r>
        <w:rPr>
          <w:spacing w:val="-20"/>
        </w:rPr>
        <w:t> </w:t>
      </w:r>
      <w:r>
        <w:rPr/>
        <w:t>年第三季度报告》，本次董事会决议报送深圳</w:t>
      </w:r>
      <w:r>
        <w:rPr/>
        <w:t> 证券交易所备案；</w:t>
      </w:r>
    </w:p>
    <w:p>
      <w:pPr>
        <w:pStyle w:val="BodyText"/>
        <w:spacing w:line="240" w:lineRule="auto" w:before="36"/>
        <w:ind w:left="624" w:right="108"/>
        <w:jc w:val="left"/>
      </w:pPr>
      <w:r>
        <w:rPr/>
        <w:t>（</w:t>
      </w:r>
      <w:r>
        <w:rPr>
          <w:rFonts w:ascii="Times New Roman" w:hAnsi="Times New Roman" w:cs="Times New Roman" w:eastAsia="Times New Roman" w:hint="default"/>
        </w:rPr>
        <w:t>15</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16"/>
        </w:rPr>
        <w:t> </w:t>
      </w:r>
      <w:r>
        <w:rPr/>
        <w:t>日召开第三届董事会第二十四次会议，审议通</w:t>
      </w:r>
    </w:p>
    <w:p>
      <w:pPr>
        <w:pStyle w:val="BodyText"/>
        <w:spacing w:line="240" w:lineRule="auto" w:before="135"/>
        <w:ind w:left="144" w:right="0"/>
        <w:jc w:val="both"/>
      </w:pPr>
      <w:r>
        <w:rPr/>
        <w:t>过了《关于</w:t>
      </w:r>
      <w:r>
        <w:rPr>
          <w:spacing w:val="-10"/>
        </w:rPr>
        <w:t> </w:t>
      </w:r>
      <w:r>
        <w:rPr>
          <w:rFonts w:ascii="Times New Roman" w:hAnsi="Times New Roman" w:cs="Times New Roman" w:eastAsia="Times New Roman" w:hint="default"/>
        </w:rPr>
        <w:t>250 </w:t>
      </w:r>
      <w:r>
        <w:rPr>
          <w:rFonts w:ascii="Times New Roman" w:hAnsi="Times New Roman" w:cs="Times New Roman" w:eastAsia="Times New Roman" w:hint="default"/>
          <w:spacing w:val="-10"/>
        </w:rPr>
        <w:t> </w:t>
      </w:r>
      <w:r>
        <w:rPr/>
        <w:t>家连锁店发展项目中部分连锁店实施地点变更的议案</w:t>
      </w:r>
      <w:r>
        <w:rPr>
          <w:spacing w:val="-120"/>
        </w:rPr>
        <w:t>》</w:t>
      </w:r>
      <w:r>
        <w:rPr/>
        <w:t>，本次董事</w:t>
      </w:r>
    </w:p>
    <w:p>
      <w:pPr>
        <w:pStyle w:val="BodyText"/>
        <w:spacing w:line="240" w:lineRule="auto" w:before="135"/>
        <w:ind w:right="0"/>
        <w:jc w:val="both"/>
      </w:pPr>
      <w:r>
        <w:rPr/>
        <w:t>会决议公告刊登在</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日的巨潮资讯网</w:t>
      </w:r>
      <w:r>
        <w:rPr>
          <w:spacing w:val="-120"/>
        </w:rPr>
        <w:t>、</w:t>
      </w:r>
      <w:r>
        <w:rPr/>
        <w:t>《证券时报</w:t>
      </w:r>
      <w:r>
        <w:rPr>
          <w:spacing w:val="-120"/>
        </w:rPr>
        <w:t>》、</w:t>
      </w:r>
      <w:r>
        <w:rPr/>
        <w:t>《中国证券报</w:t>
      </w:r>
      <w:r>
        <w:rPr>
          <w:spacing w:val="-120"/>
        </w:rPr>
        <w:t>》</w:t>
      </w:r>
      <w:r>
        <w:rPr/>
        <w:t>、</w:t>
      </w:r>
    </w:p>
    <w:p>
      <w:pPr>
        <w:pStyle w:val="BodyText"/>
        <w:spacing w:line="240" w:lineRule="auto" w:before="135"/>
        <w:ind w:left="144" w:right="0"/>
        <w:jc w:val="both"/>
      </w:pPr>
      <w:r>
        <w:rPr/>
        <w:t>《上海证券报</w:t>
      </w:r>
      <w:r>
        <w:rPr>
          <w:spacing w:val="-120"/>
        </w:rPr>
        <w:t>》、</w:t>
      </w:r>
      <w:r>
        <w:rPr/>
        <w:t>《证券日报》上；</w:t>
      </w:r>
    </w:p>
    <w:p>
      <w:pPr>
        <w:pStyle w:val="BodyText"/>
        <w:spacing w:line="338" w:lineRule="auto" w:before="154"/>
        <w:ind w:left="144" w:right="236" w:firstLine="480"/>
        <w:jc w:val="both"/>
      </w:pPr>
      <w:r>
        <w:rPr/>
        <w:t>（</w:t>
      </w:r>
      <w:r>
        <w:rPr>
          <w:rFonts w:ascii="Times New Roman" w:hAnsi="Times New Roman" w:cs="Times New Roman" w:eastAsia="Times New Roman" w:hint="default"/>
        </w:rPr>
        <w:t>16</w:t>
      </w:r>
      <w:r>
        <w:rPr/>
        <w:t>）公司于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日召开第三届董事会第二十五次会议，审议通 </w:t>
      </w:r>
      <w:r>
        <w:rPr>
          <w:spacing w:val="-5"/>
        </w:rPr>
        <w:t>过了《关于为佛山、安徽、广西、湖南控股子公司提供担保的议案》、《关于终止</w:t>
      </w:r>
      <w:r>
        <w:rPr>
          <w:rFonts w:ascii="Times New Roman" w:hAnsi="Times New Roman" w:cs="Times New Roman" w:eastAsia="Times New Roman" w:hint="default"/>
          <w:spacing w:val="-5"/>
        </w:rPr>
        <w:t>&lt;</w:t>
      </w:r>
      <w:r>
        <w:rPr>
          <w:rFonts w:ascii="Times New Roman" w:hAnsi="Times New Roman" w:cs="Times New Roman" w:eastAsia="Times New Roman" w:hint="default"/>
          <w:spacing w:val="-44"/>
        </w:rPr>
        <w:t> </w:t>
      </w:r>
      <w:r>
        <w:rPr/>
        <w:t>苏宁电器股份有限公司 </w:t>
      </w:r>
      <w:r>
        <w:rPr>
          <w:rFonts w:ascii="Times New Roman" w:hAnsi="Times New Roman" w:cs="Times New Roman" w:eastAsia="Times New Roman" w:hint="default"/>
        </w:rPr>
        <w:t>2008</w:t>
      </w:r>
      <w:r>
        <w:rPr>
          <w:rFonts w:ascii="Times New Roman" w:hAnsi="Times New Roman" w:cs="Times New Roman" w:eastAsia="Times New Roman" w:hint="default"/>
          <w:spacing w:val="37"/>
        </w:rPr>
        <w:t> </w:t>
      </w:r>
      <w:r>
        <w:rPr>
          <w:spacing w:val="-6"/>
        </w:rPr>
        <w:t>年股票期权激励计划（草案）</w:t>
      </w:r>
      <w:r>
        <w:rPr>
          <w:rFonts w:ascii="Times New Roman" w:hAnsi="Times New Roman" w:cs="Times New Roman" w:eastAsia="Times New Roman" w:hint="default"/>
          <w:spacing w:val="-6"/>
        </w:rPr>
        <w:t>&gt;</w:t>
      </w:r>
      <w:r>
        <w:rPr>
          <w:spacing w:val="-6"/>
        </w:rPr>
        <w:t>的议案》，本次董事会</w:t>
      </w:r>
    </w:p>
    <w:p>
      <w:pPr>
        <w:pStyle w:val="BodyText"/>
        <w:spacing w:line="240" w:lineRule="auto" w:before="27"/>
        <w:ind w:left="144" w:right="0"/>
        <w:jc w:val="both"/>
      </w:pPr>
      <w:r>
        <w:rPr/>
        <w:t>决议公告刊登在</w:t>
      </w:r>
      <w:r>
        <w:rPr>
          <w:spacing w:val="-23"/>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24"/>
        </w:rPr>
        <w:t> </w:t>
      </w:r>
      <w:r>
        <w:rPr/>
        <w:t>年</w:t>
      </w:r>
      <w:r>
        <w:rPr>
          <w:spacing w:val="-23"/>
        </w:rPr>
        <w:t> </w:t>
      </w:r>
      <w:r>
        <w:rPr>
          <w:rFonts w:ascii="Times New Roman" w:hAnsi="Times New Roman" w:cs="Times New Roman" w:eastAsia="Times New Roman" w:hint="default"/>
        </w:rPr>
        <w:t>12 </w:t>
      </w:r>
      <w:r>
        <w:rPr>
          <w:rFonts w:ascii="Times New Roman" w:hAnsi="Times New Roman" w:cs="Times New Roman" w:eastAsia="Times New Roman" w:hint="default"/>
          <w:spacing w:val="-23"/>
        </w:rPr>
        <w:t> </w:t>
      </w:r>
      <w:r>
        <w:rPr/>
        <w:t>月</w:t>
      </w:r>
      <w:r>
        <w:rPr>
          <w:spacing w:val="-23"/>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 </w:t>
      </w:r>
      <w:r>
        <w:rPr>
          <w:rFonts w:ascii="Times New Roman" w:hAnsi="Times New Roman" w:cs="Times New Roman" w:eastAsia="Times New Roman" w:hint="default"/>
          <w:spacing w:val="-23"/>
        </w:rPr>
        <w:t> </w:t>
      </w:r>
      <w:r>
        <w:rPr/>
        <w:t>日的巨潮资讯网</w:t>
      </w:r>
      <w:r>
        <w:rPr>
          <w:spacing w:val="-120"/>
        </w:rPr>
        <w:t>、</w:t>
      </w:r>
      <w:r>
        <w:rPr/>
        <w:t>《证券时报</w:t>
      </w:r>
      <w:r>
        <w:rPr>
          <w:spacing w:val="-120"/>
        </w:rPr>
        <w:t>》、</w:t>
      </w:r>
      <w:r>
        <w:rPr/>
        <w:t>《中国证券报</w:t>
      </w:r>
      <w:r>
        <w:rPr>
          <w:spacing w:val="-120"/>
        </w:rPr>
        <w:t>》</w:t>
      </w:r>
      <w:r>
        <w:rPr/>
        <w:t>、</w:t>
      </w:r>
    </w:p>
    <w:p>
      <w:pPr>
        <w:pStyle w:val="BodyText"/>
        <w:spacing w:line="240" w:lineRule="auto" w:before="135"/>
        <w:ind w:left="144" w:right="0"/>
        <w:jc w:val="both"/>
      </w:pPr>
      <w:r>
        <w:rPr/>
        <w:t>《上海证券报</w:t>
      </w:r>
      <w:r>
        <w:rPr>
          <w:spacing w:val="-120"/>
        </w:rPr>
        <w:t>》、</w:t>
      </w:r>
      <w:r>
        <w:rPr/>
        <w:t>《证券日报》上；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240" w:lineRule="auto"/>
        <w:ind w:left="624" w:right="108"/>
        <w:jc w:val="left"/>
      </w:pPr>
      <w:r>
        <w:rPr>
          <w:rFonts w:ascii="Times New Roman" w:hAnsi="Times New Roman" w:cs="Times New Roman" w:eastAsia="Times New Roman" w:hint="default"/>
        </w:rPr>
        <w:t>2</w:t>
      </w:r>
      <w:r>
        <w:rPr/>
        <w:t>、董事会对股东大会决议的执行情况：</w:t>
      </w:r>
    </w:p>
    <w:p>
      <w:pPr>
        <w:pStyle w:val="BodyText"/>
        <w:spacing w:line="338" w:lineRule="auto" w:before="135"/>
        <w:ind w:left="144" w:right="237" w:firstLine="480"/>
        <w:jc w:val="both"/>
      </w:pPr>
      <w:r>
        <w:rPr/>
        <w:t>（</w:t>
      </w:r>
      <w:r>
        <w:rPr>
          <w:rFonts w:ascii="Times New Roman" w:hAnsi="Times New Roman" w:cs="Times New Roman" w:eastAsia="Times New Roman" w:hint="default"/>
        </w:rPr>
        <w:t>1</w:t>
      </w:r>
      <w:r>
        <w:rPr/>
        <w:t>）报告期内，公司董事会根据 </w:t>
      </w:r>
      <w:r>
        <w:rPr>
          <w:rFonts w:ascii="Times New Roman" w:hAnsi="Times New Roman" w:cs="Times New Roman" w:eastAsia="Times New Roman" w:hint="default"/>
        </w:rPr>
        <w:t>2007 </w:t>
      </w:r>
      <w:r>
        <w:rPr/>
        <w:t>年年度股东大会决议，执行了 2007</w:t>
      </w:r>
      <w:r>
        <w:rPr>
          <w:spacing w:val="-80"/>
        </w:rPr>
        <w:t> </w:t>
      </w:r>
      <w:r>
        <w:rPr/>
        <w:t>年</w:t>
      </w:r>
      <w:r>
        <w:rPr/>
        <w:t> 度分红派息方案，具体为：</w:t>
      </w:r>
    </w:p>
    <w:p>
      <w:pPr>
        <w:pStyle w:val="BodyText"/>
        <w:spacing w:line="240" w:lineRule="auto" w:before="55"/>
        <w:ind w:left="624" w:right="108"/>
        <w:jc w:val="left"/>
      </w:pPr>
      <w:r>
        <w:rPr/>
        <w:t>以公司现有总股本</w:t>
      </w:r>
      <w:r>
        <w:rPr>
          <w:spacing w:val="-44"/>
        </w:rPr>
        <w:t> </w:t>
      </w:r>
      <w:r>
        <w:rPr/>
        <w:t>1,441,504,000</w:t>
      </w:r>
      <w:r>
        <w:rPr>
          <w:spacing w:val="-44"/>
        </w:rPr>
        <w:t> </w:t>
      </w:r>
      <w:r>
        <w:rPr/>
        <w:t>股为基数，向全体股东每</w:t>
      </w:r>
      <w:r>
        <w:rPr>
          <w:spacing w:val="-44"/>
        </w:rPr>
        <w:t> </w:t>
      </w:r>
      <w:r>
        <w:rPr/>
        <w:t>10</w:t>
      </w:r>
      <w:r>
        <w:rPr>
          <w:spacing w:val="-44"/>
        </w:rPr>
        <w:t> </w:t>
      </w:r>
      <w:r>
        <w:rPr/>
        <w:t>股派</w:t>
      </w:r>
      <w:r>
        <w:rPr>
          <w:spacing w:val="-44"/>
        </w:rPr>
        <w:t> </w:t>
      </w:r>
      <w:r>
        <w:rPr/>
        <w:t>2</w:t>
      </w:r>
      <w:r>
        <w:rPr>
          <w:spacing w:val="-44"/>
        </w:rPr>
        <w:t> </w:t>
      </w:r>
      <w:r>
        <w:rPr/>
        <w:t>元人民</w:t>
      </w:r>
    </w:p>
    <w:p>
      <w:pPr>
        <w:pStyle w:val="BodyText"/>
        <w:spacing w:line="357" w:lineRule="auto" w:before="154"/>
        <w:ind w:left="144" w:right="108"/>
        <w:jc w:val="left"/>
      </w:pPr>
      <w:r>
        <w:rPr>
          <w:spacing w:val="-5"/>
        </w:rPr>
        <w:t>币现金（含税，扣税后，个人投资者、证券投资基金每</w:t>
      </w:r>
      <w:r>
        <w:rPr>
          <w:spacing w:val="-58"/>
        </w:rPr>
        <w:t> </w:t>
      </w:r>
      <w:r>
        <w:rPr/>
        <w:t>10</w:t>
      </w:r>
      <w:r>
        <w:rPr>
          <w:spacing w:val="-58"/>
        </w:rPr>
        <w:t> </w:t>
      </w:r>
      <w:r>
        <w:rPr/>
        <w:t>股实际派发现金红利</w:t>
      </w:r>
      <w:r>
        <w:rPr>
          <w:spacing w:val="-58"/>
        </w:rPr>
        <w:t> </w:t>
      </w:r>
      <w:r>
        <w:rPr/>
        <w:t>1.8</w:t>
      </w:r>
      <w:r>
        <w:rPr>
          <w:spacing w:val="-1"/>
        </w:rPr>
        <w:t> </w:t>
      </w:r>
      <w:r>
        <w:rPr>
          <w:spacing w:val="-15"/>
        </w:rPr>
        <w:t>元人民币现金）。</w:t>
      </w:r>
    </w:p>
    <w:p>
      <w:pPr>
        <w:spacing w:after="0" w:line="357" w:lineRule="auto"/>
        <w:jc w:val="left"/>
        <w:sectPr>
          <w:pgSz w:w="11910" w:h="16840"/>
          <w:pgMar w:header="826" w:footer="900" w:top="1100" w:bottom="1100" w:left="1500" w:right="1400"/>
        </w:sectPr>
      </w:pPr>
    </w:p>
    <w:p>
      <w:pPr>
        <w:pStyle w:val="BodyText"/>
        <w:spacing w:line="348" w:lineRule="auto" w:before="106"/>
        <w:ind w:right="218" w:firstLine="480"/>
        <w:jc w:val="both"/>
      </w:pPr>
      <w:r>
        <w:rPr/>
        <w:t>公司于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11"/>
        </w:rPr>
        <w:t>日在巨潮资讯网、《证券时报》、《中国证券报》、《上</w:t>
      </w:r>
      <w:r>
        <w:rPr/>
        <w:t> 海证券报》、《证券日报》上刊登此次公积金转增股本实施公告，股权登记日为：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日，除权除息日为：</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w:t>
      </w:r>
    </w:p>
    <w:p>
      <w:pPr>
        <w:pStyle w:val="BodyText"/>
        <w:spacing w:line="338" w:lineRule="auto" w:before="16"/>
        <w:ind w:right="101" w:firstLine="480"/>
        <w:jc w:val="left"/>
      </w:pPr>
      <w:r>
        <w:rPr>
          <w:spacing w:val="-14"/>
        </w:rPr>
        <w:t>（</w:t>
      </w:r>
      <w:r>
        <w:rPr>
          <w:rFonts w:ascii="Times New Roman" w:hAnsi="Times New Roman" w:cs="Times New Roman" w:eastAsia="Times New Roman" w:hint="default"/>
          <w:spacing w:val="-14"/>
        </w:rPr>
        <w:t>2</w:t>
      </w:r>
      <w:r>
        <w:rPr>
          <w:spacing w:val="-14"/>
        </w:rPr>
        <w:t>）根据 </w:t>
      </w:r>
      <w:r>
        <w:rPr>
          <w:rFonts w:ascii="Times New Roman" w:hAnsi="Times New Roman" w:cs="Times New Roman" w:eastAsia="Times New Roman" w:hint="default"/>
        </w:rPr>
        <w:t>2008 </w:t>
      </w:r>
      <w:r>
        <w:rPr>
          <w:spacing w:val="-5"/>
        </w:rPr>
        <w:t>年第一次临时股东大会《2008</w:t>
      </w:r>
      <w:r>
        <w:rPr>
          <w:spacing w:val="-86"/>
        </w:rPr>
        <w:t> </w:t>
      </w:r>
      <w:r>
        <w:rPr>
          <w:spacing w:val="-5"/>
        </w:rPr>
        <w:t>年半年度利润分配预案》的决议，</w:t>
      </w:r>
      <w:r>
        <w:rPr/>
        <w:t> 公司董事会执行了</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年半年度资本公积金转增股本方案和</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年半年度分红派 息方案。</w:t>
      </w:r>
    </w:p>
    <w:p>
      <w:pPr>
        <w:pStyle w:val="BodyText"/>
        <w:spacing w:line="240" w:lineRule="auto" w:before="55"/>
        <w:ind w:left="623" w:right="108"/>
        <w:jc w:val="left"/>
        <w:rPr>
          <w:rFonts w:ascii="Times New Roman" w:hAnsi="Times New Roman" w:cs="Times New Roman" w:eastAsia="Times New Roman" w:hint="default"/>
        </w:rPr>
      </w:pPr>
      <w:r>
        <w:rPr>
          <w:rFonts w:ascii="Times New Roman" w:hAnsi="Times New Roman" w:cs="Times New Roman" w:eastAsia="Times New Roman" w:hint="default"/>
        </w:rPr>
        <w:t>2008  </w:t>
      </w:r>
      <w:r>
        <w:rPr/>
        <w:t>年半年度资本公积金转增股本方案为：以公司现有总股本</w:t>
      </w:r>
      <w:r>
        <w:rPr>
          <w:spacing w:val="25"/>
        </w:rPr>
        <w:t> </w:t>
      </w:r>
      <w:r>
        <w:rPr>
          <w:rFonts w:ascii="Times New Roman" w:hAnsi="Times New Roman" w:cs="Times New Roman" w:eastAsia="Times New Roman" w:hint="default"/>
        </w:rPr>
        <w:t>1,495,504,000</w:t>
      </w:r>
    </w:p>
    <w:p>
      <w:pPr>
        <w:pStyle w:val="BodyText"/>
        <w:spacing w:line="240" w:lineRule="auto" w:before="135"/>
        <w:ind w:right="0"/>
        <w:jc w:val="both"/>
      </w:pPr>
      <w:r>
        <w:rPr/>
        <w:t>股为基数，向全体股东以资本公积金转增股本的方式每</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股。转增后公</w:t>
      </w:r>
    </w:p>
    <w:p>
      <w:pPr>
        <w:pStyle w:val="BodyText"/>
        <w:spacing w:line="240" w:lineRule="auto" w:before="135"/>
        <w:ind w:right="0"/>
        <w:jc w:val="both"/>
        <w:rPr>
          <w:rFonts w:ascii="Times New Roman" w:hAnsi="Times New Roman" w:cs="Times New Roman" w:eastAsia="Times New Roman" w:hint="default"/>
        </w:rPr>
      </w:pPr>
      <w:r>
        <w:rPr/>
        <w:t>司总股本由</w:t>
      </w:r>
      <w:r>
        <w:rPr>
          <w:spacing w:val="-52"/>
        </w:rPr>
        <w:t> </w:t>
      </w:r>
      <w:r>
        <w:rPr>
          <w:rFonts w:ascii="Times New Roman" w:hAnsi="Times New Roman" w:cs="Times New Roman" w:eastAsia="Times New Roman" w:hint="default"/>
        </w:rPr>
        <w:t>1,495,504,000</w:t>
      </w:r>
      <w:r>
        <w:rPr>
          <w:rFonts w:ascii="Times New Roman" w:hAnsi="Times New Roman" w:cs="Times New Roman" w:eastAsia="Times New Roman" w:hint="default"/>
          <w:spacing w:val="8"/>
        </w:rPr>
        <w:t> </w:t>
      </w:r>
      <w:r>
        <w:rPr/>
        <w:t>股增加至</w:t>
      </w:r>
      <w:r>
        <w:rPr>
          <w:spacing w:val="-52"/>
        </w:rPr>
        <w:t> </w:t>
      </w:r>
      <w:r>
        <w:rPr>
          <w:rFonts w:ascii="Times New Roman" w:hAnsi="Times New Roman" w:cs="Times New Roman" w:eastAsia="Times New Roman" w:hint="default"/>
        </w:rPr>
        <w:t>2,991,008,000</w:t>
      </w:r>
      <w:r>
        <w:rPr>
          <w:rFonts w:ascii="Times New Roman" w:hAnsi="Times New Roman" w:cs="Times New Roman" w:eastAsia="Times New Roman" w:hint="default"/>
          <w:spacing w:val="8"/>
        </w:rPr>
        <w:t> </w:t>
      </w:r>
      <w:r>
        <w:rPr/>
        <w:t>股，公司资本公积金由</w:t>
      </w:r>
      <w:r>
        <w:rPr>
          <w:spacing w:val="-52"/>
        </w:rPr>
        <w:t> </w:t>
      </w:r>
      <w:r>
        <w:rPr>
          <w:rFonts w:ascii="Times New Roman" w:hAnsi="Times New Roman" w:cs="Times New Roman" w:eastAsia="Times New Roman" w:hint="default"/>
        </w:rPr>
        <w:t>2,581,695</w:t>
      </w:r>
    </w:p>
    <w:p>
      <w:pPr>
        <w:pStyle w:val="BodyText"/>
        <w:spacing w:line="240" w:lineRule="auto" w:before="135"/>
        <w:ind w:right="0"/>
        <w:jc w:val="both"/>
      </w:pPr>
      <w:r>
        <w:rPr/>
        <w:t>千元减少为</w:t>
      </w:r>
      <w:r>
        <w:rPr>
          <w:spacing w:val="-60"/>
        </w:rPr>
        <w:t> </w:t>
      </w:r>
      <w:r>
        <w:rPr>
          <w:rFonts w:ascii="Times New Roman" w:hAnsi="Times New Roman" w:cs="Times New Roman" w:eastAsia="Times New Roman" w:hint="default"/>
        </w:rPr>
        <w:t>1,086,191 </w:t>
      </w:r>
      <w:r>
        <w:rPr/>
        <w:t>千元。</w:t>
      </w:r>
    </w:p>
    <w:p>
      <w:pPr>
        <w:pStyle w:val="BodyText"/>
        <w:spacing w:line="338" w:lineRule="auto" w:before="135"/>
        <w:ind w:right="237" w:firstLine="480"/>
        <w:jc w:val="both"/>
      </w:pPr>
      <w:r>
        <w:rPr>
          <w:rFonts w:ascii="Times New Roman" w:hAnsi="Times New Roman" w:cs="Times New Roman" w:eastAsia="Times New Roman" w:hint="default"/>
        </w:rPr>
        <w:t>2008</w:t>
      </w:r>
      <w:r>
        <w:rPr/>
        <w:t>年半年度分红派息方案为：以公司现有总股本</w:t>
      </w:r>
      <w:r>
        <w:rPr>
          <w:rFonts w:ascii="Times New Roman" w:hAnsi="Times New Roman" w:cs="Times New Roman" w:eastAsia="Times New Roman" w:hint="default"/>
        </w:rPr>
        <w:t>1,495,504,000</w:t>
      </w:r>
      <w:r>
        <w:rPr/>
        <w:t>股为基数，向 </w:t>
      </w:r>
      <w:r>
        <w:rPr>
          <w:spacing w:val="-4"/>
        </w:rPr>
        <w:t>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1</w:t>
      </w:r>
      <w:r>
        <w:rPr>
          <w:spacing w:val="-4"/>
        </w:rPr>
        <w:t>元（含税），扣税后，个人股东、投资基金实际每</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44"/>
        </w:rPr>
        <w:t> </w:t>
      </w:r>
      <w:r>
        <w:rPr/>
        <w:t>股派发现金红利</w:t>
      </w:r>
      <w:r>
        <w:rPr>
          <w:rFonts w:ascii="Times New Roman" w:hAnsi="Times New Roman" w:cs="Times New Roman" w:eastAsia="Times New Roman" w:hint="default"/>
        </w:rPr>
        <w:t>0.9</w:t>
      </w:r>
      <w:r>
        <w:rPr/>
        <w:t>元。</w:t>
      </w:r>
    </w:p>
    <w:p>
      <w:pPr>
        <w:pStyle w:val="BodyText"/>
        <w:spacing w:line="345" w:lineRule="auto" w:before="27"/>
        <w:ind w:right="108" w:firstLine="480"/>
        <w:jc w:val="left"/>
      </w:pPr>
      <w:r>
        <w:rPr>
          <w:spacing w:val="-16"/>
        </w:rPr>
        <w:t>公司于</w:t>
      </w:r>
      <w:r>
        <w:rPr>
          <w:rFonts w:ascii="Times New Roman" w:hAnsi="Times New Roman" w:cs="Times New Roman" w:eastAsia="Times New Roman" w:hint="default"/>
          <w:spacing w:val="-16"/>
        </w:rPr>
        <w:t>2008</w:t>
      </w:r>
      <w:r>
        <w:rPr>
          <w:spacing w:val="-16"/>
        </w:rPr>
        <w:t>年</w:t>
      </w:r>
      <w:r>
        <w:rPr>
          <w:rFonts w:ascii="Times New Roman" w:hAnsi="Times New Roman" w:cs="Times New Roman" w:eastAsia="Times New Roman" w:hint="default"/>
          <w:spacing w:val="-16"/>
        </w:rPr>
        <w:t>9</w:t>
      </w:r>
      <w:r>
        <w:rPr>
          <w:spacing w:val="-16"/>
        </w:rPr>
        <w:t>月</w:t>
      </w:r>
      <w:r>
        <w:rPr>
          <w:rFonts w:ascii="Times New Roman" w:hAnsi="Times New Roman" w:cs="Times New Roman" w:eastAsia="Times New Roman" w:hint="default"/>
          <w:spacing w:val="-16"/>
        </w:rPr>
        <w:t>22</w:t>
      </w:r>
      <w:r>
        <w:rPr>
          <w:spacing w:val="-16"/>
        </w:rPr>
        <w:t>日在巨潮资讯网、《证券时报》、《中国证券报》、《上海证</w:t>
      </w:r>
      <w:r>
        <w:rPr/>
        <w:t> </w:t>
      </w:r>
      <w:r>
        <w:rPr>
          <w:spacing w:val="-8"/>
        </w:rPr>
        <w:t>券报》、《证券日报》上刊登此次公积金转增股本及分红派息实施公告，股权登记日</w:t>
      </w:r>
      <w:r>
        <w:rPr>
          <w:spacing w:val="-84"/>
        </w:rPr>
        <w:t> </w:t>
      </w:r>
      <w:r>
        <w:rPr>
          <w:spacing w:val="-84"/>
        </w:rPr>
      </w:r>
      <w:r>
        <w:rPr/>
        <w:t>为：</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日，除权除息日为：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日，新增无限售条件流通股份 上市日为：2008 年9月26日，红利发放日为：2008 年9月26日。</w:t>
      </w:r>
    </w:p>
    <w:p>
      <w:pPr>
        <w:pStyle w:val="BodyText"/>
        <w:spacing w:line="338" w:lineRule="auto" w:before="48"/>
        <w:ind w:left="144" w:right="108" w:firstLine="480"/>
        <w:jc w:val="left"/>
      </w:pPr>
      <w:r>
        <w:rPr>
          <w:spacing w:val="2"/>
        </w:rPr>
        <w:t>（</w:t>
      </w:r>
      <w:r>
        <w:rPr>
          <w:rFonts w:ascii="Times New Roman" w:hAnsi="Times New Roman" w:cs="Times New Roman" w:eastAsia="Times New Roman" w:hint="default"/>
          <w:spacing w:val="2"/>
        </w:rPr>
        <w:t>3</w:t>
      </w:r>
      <w:r>
        <w:rPr>
          <w:spacing w:val="2"/>
        </w:rPr>
        <w:t>）公司股东大会审议通过的修改《章程》及相关制度等议案，也均在报告</w:t>
      </w:r>
      <w:r>
        <w:rPr>
          <w:spacing w:val="3"/>
        </w:rPr>
        <w:t> </w:t>
      </w:r>
      <w:r>
        <w:rPr/>
        <w:t>期内执行完毕。</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pStyle w:val="BodyText"/>
        <w:spacing w:line="240" w:lineRule="auto"/>
        <w:ind w:left="759" w:right="108"/>
        <w:jc w:val="left"/>
      </w:pPr>
      <w:r>
        <w:rPr/>
        <w:t>3、董事会审计委员会的履职情况汇总报告：</w:t>
      </w:r>
    </w:p>
    <w:p>
      <w:pPr>
        <w:pStyle w:val="BodyText"/>
        <w:spacing w:line="338" w:lineRule="auto" w:before="40"/>
        <w:ind w:left="623" w:right="108"/>
        <w:jc w:val="left"/>
      </w:pPr>
      <w:r>
        <w:rPr/>
        <w:t>（</w:t>
      </w:r>
      <w:r>
        <w:rPr>
          <w:rFonts w:ascii="Times New Roman" w:hAnsi="Times New Roman" w:cs="Times New Roman" w:eastAsia="Times New Roman" w:hint="default"/>
        </w:rPr>
        <w:t>1</w:t>
      </w:r>
      <w:r>
        <w:rPr/>
        <w:t>）第三届董事会审计委员会对年度财务报告的审议工作情况： </w:t>
      </w:r>
      <w:r>
        <w:rPr>
          <w:spacing w:val="6"/>
        </w:rPr>
        <w:t>第三届董事会审计委员会在公司年审注册会计师进场前审阅了公司编制的财</w:t>
      </w:r>
      <w:r>
        <w:rPr/>
      </w:r>
    </w:p>
    <w:p>
      <w:pPr>
        <w:pStyle w:val="BodyText"/>
        <w:spacing w:line="357" w:lineRule="auto" w:before="55"/>
        <w:ind w:left="144" w:right="218"/>
        <w:jc w:val="both"/>
      </w:pPr>
      <w:r>
        <w:rPr>
          <w:spacing w:val="-1"/>
        </w:rPr>
        <w:t>务会计报表，认为财务会计报表基本能够反映公司的财务状况和经营成果。年审注</w:t>
      </w:r>
      <w:r>
        <w:rPr>
          <w:spacing w:val="-104"/>
        </w:rPr>
        <w:t> </w:t>
      </w:r>
      <w:r>
        <w:rPr>
          <w:spacing w:val="-104"/>
        </w:rPr>
      </w:r>
      <w:r>
        <w:rPr>
          <w:spacing w:val="-1"/>
        </w:rPr>
        <w:t>册会计师进场前，审计委员会与会计师事务所共同协商确定了公司本年度财务报告</w:t>
      </w:r>
      <w:r>
        <w:rPr>
          <w:spacing w:val="-104"/>
        </w:rPr>
        <w:t> </w:t>
      </w:r>
      <w:r>
        <w:rPr>
          <w:spacing w:val="-104"/>
        </w:rPr>
      </w:r>
      <w:r>
        <w:rPr>
          <w:spacing w:val="-1"/>
        </w:rPr>
        <w:t>审计工作的时间安排，并不断加强与年审会计师的沟通，督促其在约定时限内提交</w:t>
      </w:r>
      <w:r>
        <w:rPr>
          <w:spacing w:val="-104"/>
        </w:rPr>
        <w:t> </w:t>
      </w:r>
      <w:r>
        <w:rPr>
          <w:spacing w:val="-104"/>
        </w:rPr>
      </w:r>
      <w:r>
        <w:rPr>
          <w:spacing w:val="-1"/>
        </w:rPr>
        <w:t>审计报告。在年审注册会计师出具初步审计意见后审计委员会又一次审阅了公司财</w:t>
      </w:r>
      <w:r>
        <w:rPr>
          <w:spacing w:val="-104"/>
        </w:rPr>
        <w:t> </w:t>
      </w:r>
      <w:r>
        <w:rPr>
          <w:spacing w:val="-104"/>
        </w:rPr>
      </w:r>
      <w:r>
        <w:rPr/>
        <w:t>务会计报表，认为公司财务会计报表真实、准确、完整的反映了公司的财务状况、 现金流量和经营成果。</w:t>
      </w:r>
    </w:p>
    <w:p>
      <w:pPr>
        <w:spacing w:after="0" w:line="357" w:lineRule="auto"/>
        <w:jc w:val="both"/>
        <w:sectPr>
          <w:pgSz w:w="11910" w:h="16840"/>
          <w:pgMar w:header="826" w:footer="900" w:top="1100" w:bottom="1100" w:left="1500" w:right="1400"/>
        </w:sectPr>
      </w:pPr>
    </w:p>
    <w:p>
      <w:pPr>
        <w:pStyle w:val="BodyText"/>
        <w:spacing w:line="240" w:lineRule="auto" w:before="106"/>
        <w:ind w:left="624" w:right="108"/>
        <w:jc w:val="left"/>
      </w:pPr>
      <w:r>
        <w:rPr/>
        <w:t>（</w:t>
      </w:r>
      <w:r>
        <w:rPr>
          <w:rFonts w:ascii="Times New Roman" w:hAnsi="Times New Roman" w:cs="Times New Roman" w:eastAsia="Times New Roman" w:hint="default"/>
        </w:rPr>
        <w:t>2</w:t>
      </w:r>
      <w:r>
        <w:rPr/>
        <w:t>）审计委员会对会计师事务所审计工作的督促情况：</w:t>
      </w:r>
    </w:p>
    <w:p>
      <w:pPr>
        <w:pStyle w:val="BodyText"/>
        <w:spacing w:line="240" w:lineRule="auto" w:before="135"/>
        <w:ind w:left="623" w:right="108"/>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日，公司审计委员会委员任峻先生代表审计委员会向普华永道</w:t>
      </w:r>
    </w:p>
    <w:p>
      <w:pPr>
        <w:pStyle w:val="BodyText"/>
        <w:spacing w:line="348" w:lineRule="auto" w:before="135"/>
        <w:ind w:right="235"/>
        <w:jc w:val="both"/>
      </w:pPr>
      <w:r>
        <w:rPr/>
        <w:t>会计师事务所发出《关于督促普华永道中天会计师事务所按期提交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年审计报 </w:t>
      </w:r>
      <w:r>
        <w:rPr>
          <w:spacing w:val="-2"/>
        </w:rPr>
        <w:t>告的函》，督促其根据前期确定的审计计划，按期完成年报审计工作，以利于公司</w:t>
      </w:r>
      <w:r>
        <w:rPr>
          <w:spacing w:val="-96"/>
        </w:rPr>
        <w:t> </w:t>
      </w:r>
      <w:r>
        <w:rPr>
          <w:spacing w:val="-96"/>
        </w:rPr>
      </w:r>
      <w:r>
        <w:rPr/>
        <w:t>及时、高质量的完成</w:t>
      </w:r>
      <w:r>
        <w:rPr>
          <w:spacing w:val="-60"/>
        </w:rPr>
        <w:t> </w:t>
      </w:r>
      <w:r>
        <w:rPr>
          <w:rFonts w:ascii="Times New Roman" w:hAnsi="Times New Roman" w:cs="Times New Roman" w:eastAsia="Times New Roman" w:hint="default"/>
        </w:rPr>
        <w:t>2008 </w:t>
      </w:r>
      <w:r>
        <w:rPr/>
        <w:t>年年报审议及披露工作。</w:t>
      </w:r>
    </w:p>
    <w:p>
      <w:pPr>
        <w:pStyle w:val="BodyText"/>
        <w:spacing w:line="338" w:lineRule="auto" w:before="16"/>
        <w:ind w:right="221" w:firstLine="480"/>
        <w:jc w:val="left"/>
      </w:pPr>
      <w:r>
        <w:rPr/>
        <w:t>（</w:t>
      </w:r>
      <w:r>
        <w:rPr>
          <w:rFonts w:ascii="Times New Roman" w:hAnsi="Times New Roman" w:cs="Times New Roman" w:eastAsia="Times New Roman" w:hint="default"/>
        </w:rPr>
        <w:t>3</w:t>
      </w:r>
      <w:r>
        <w:rPr/>
        <w:t>） 审计委员会向董事会提交的会计师事务所从事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年度公司审计工作 的总结报告以及对</w:t>
      </w:r>
      <w:r>
        <w:rPr>
          <w:spacing w:val="-60"/>
        </w:rPr>
        <w:t> </w:t>
      </w:r>
      <w:r>
        <w:rPr>
          <w:rFonts w:ascii="Times New Roman" w:hAnsi="Times New Roman" w:cs="Times New Roman" w:eastAsia="Times New Roman" w:hint="default"/>
        </w:rPr>
        <w:t>2009 </w:t>
      </w:r>
      <w:r>
        <w:rPr/>
        <w:t>年度续聘或改聘会计师事务所的决议书：</w:t>
      </w:r>
    </w:p>
    <w:p>
      <w:pPr>
        <w:pStyle w:val="BodyText"/>
        <w:spacing w:line="240" w:lineRule="auto" w:before="27"/>
        <w:ind w:left="623" w:right="0"/>
        <w:jc w:val="left"/>
      </w:pPr>
      <w:r>
        <w:rPr/>
        <w:t>普华永道中天会计师事务所有限公司对本公司</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年度财务报表的审计工作，</w:t>
      </w:r>
    </w:p>
    <w:p>
      <w:pPr>
        <w:pStyle w:val="BodyText"/>
        <w:spacing w:line="352" w:lineRule="auto" w:before="135"/>
        <w:ind w:right="218"/>
        <w:jc w:val="both"/>
      </w:pPr>
      <w:r>
        <w:rPr/>
        <w:t>内容主要是对</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日的公司及合并资产负债表，</w:t>
      </w:r>
      <w:r>
        <w:rPr>
          <w:spacing w:val="-80"/>
        </w:rPr>
        <w:t> </w:t>
      </w:r>
      <w:r>
        <w:rPr>
          <w:rFonts w:ascii="Times New Roman" w:hAnsi="Times New Roman" w:cs="Times New Roman" w:eastAsia="Times New Roman" w:hint="default"/>
        </w:rPr>
        <w:t>2008 </w:t>
      </w:r>
      <w:r>
        <w:rPr/>
        <w:t>年度的公司及合 </w:t>
      </w:r>
      <w:r>
        <w:rPr>
          <w:spacing w:val="-1"/>
        </w:rPr>
        <w:t>并利润表、公司及合并股东权益变动表和公司及合并现金流量表以及财务报表附注</w:t>
      </w:r>
      <w:r>
        <w:rPr>
          <w:spacing w:val="-104"/>
        </w:rPr>
        <w:t> </w:t>
      </w:r>
      <w:r>
        <w:rPr>
          <w:spacing w:val="-104"/>
        </w:rPr>
      </w:r>
      <w:r>
        <w:rPr/>
        <w:t>进行审计并发表审计意见，以及对募集资金的使用情况进行鉴证并发表鉴证意见。 </w:t>
      </w:r>
      <w:r>
        <w:rPr>
          <w:spacing w:val="-1"/>
        </w:rPr>
        <w:t>年度审计结束后，会计师事务所对公司的年度审计结论以书面方式出具了无保留意</w:t>
      </w:r>
      <w:r>
        <w:rPr>
          <w:spacing w:val="-104"/>
        </w:rPr>
        <w:t> </w:t>
      </w:r>
      <w:r>
        <w:rPr>
          <w:spacing w:val="-104"/>
        </w:rPr>
      </w:r>
      <w:r>
        <w:rPr/>
        <w:t>见的审计报告。审计委员会现将事务所本年度的审计情况作如下评价：</w:t>
      </w:r>
    </w:p>
    <w:p>
      <w:pPr>
        <w:pStyle w:val="BodyText"/>
        <w:tabs>
          <w:tab w:pos="1103" w:val="left" w:leader="none"/>
        </w:tabs>
        <w:spacing w:line="357" w:lineRule="auto" w:before="41"/>
        <w:ind w:left="623" w:right="237"/>
        <w:jc w:val="left"/>
      </w:pPr>
      <w:r>
        <w:rPr/>
        <w:t>①</w:t>
        <w:tab/>
        <w:t>基本情况： </w:t>
      </w:r>
      <w:r>
        <w:rPr>
          <w:spacing w:val="-1"/>
        </w:rPr>
        <w:t>普华永道中天会计师事务所有限公司与公司董事会、独立董事、监事会和高管</w:t>
      </w:r>
    </w:p>
    <w:p>
      <w:pPr>
        <w:pStyle w:val="BodyText"/>
        <w:spacing w:line="357" w:lineRule="auto" w:before="36"/>
        <w:ind w:right="237"/>
        <w:jc w:val="both"/>
      </w:pPr>
      <w:r>
        <w:rPr>
          <w:spacing w:val="-1"/>
        </w:rPr>
        <w:t>层进行了必要的沟通，通过对公司内部控制等情况的了解后会计师事务所已与公司</w:t>
      </w:r>
      <w:r>
        <w:rPr>
          <w:spacing w:val="-104"/>
        </w:rPr>
        <w:t> </w:t>
      </w:r>
      <w:r>
        <w:rPr>
          <w:spacing w:val="-104"/>
        </w:rPr>
      </w:r>
      <w:r>
        <w:rPr/>
        <w:t>签订了审计业务约定书。</w:t>
      </w:r>
    </w:p>
    <w:p>
      <w:pPr>
        <w:pStyle w:val="BodyText"/>
        <w:spacing w:line="345" w:lineRule="auto" w:before="36"/>
        <w:ind w:right="237" w:firstLine="480"/>
        <w:jc w:val="both"/>
      </w:pPr>
      <w:r>
        <w:rPr/>
        <w:t>普华永道中天会计师事务所有限公司于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日成立审计小组由项目 负责人带队进入公司开始进行年度审计。 经过近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个月的审计工作，审计小组完 </w:t>
      </w:r>
      <w:r>
        <w:rPr>
          <w:spacing w:val="-1"/>
        </w:rPr>
        <w:t>成了所有审计程序，取得了充分适当的审计证据，并向审计委员会提交了无保留意</w:t>
      </w:r>
      <w:r>
        <w:rPr>
          <w:spacing w:val="-104"/>
        </w:rPr>
        <w:t> </w:t>
      </w:r>
      <w:r>
        <w:rPr>
          <w:spacing w:val="-104"/>
        </w:rPr>
      </w:r>
      <w:r>
        <w:rPr>
          <w:spacing w:val="-10"/>
        </w:rPr>
        <w:t>见的审计报告（意见稿）。</w:t>
      </w:r>
    </w:p>
    <w:p>
      <w:pPr>
        <w:pStyle w:val="BodyText"/>
        <w:tabs>
          <w:tab w:pos="1103" w:val="left" w:leader="none"/>
        </w:tabs>
        <w:spacing w:line="357" w:lineRule="auto" w:before="48"/>
        <w:ind w:left="623" w:right="237"/>
        <w:jc w:val="left"/>
      </w:pPr>
      <w:r>
        <w:rPr/>
        <w:t>②</w:t>
        <w:tab/>
        <w:t>关于会计师事务所执行审计业务的工作评价： </w:t>
      </w:r>
      <w:r>
        <w:rPr>
          <w:spacing w:val="-1"/>
        </w:rPr>
        <w:t>ⅰ、独立性评价：普华永道中天会计师事务所有限公司所有职员未在本公司任</w:t>
      </w:r>
    </w:p>
    <w:p>
      <w:pPr>
        <w:pStyle w:val="BodyText"/>
        <w:spacing w:line="357" w:lineRule="auto" w:before="36"/>
        <w:ind w:right="234"/>
        <w:jc w:val="both"/>
      </w:pPr>
      <w:r>
        <w:rPr>
          <w:spacing w:val="-1"/>
        </w:rPr>
        <w:t>职并未获取除法定审计必要费用外的任何现金及其他任何形式经济利益；会计师事</w:t>
      </w:r>
      <w:r>
        <w:rPr>
          <w:spacing w:val="-104"/>
        </w:rPr>
        <w:t> </w:t>
      </w:r>
      <w:r>
        <w:rPr>
          <w:spacing w:val="-104"/>
        </w:rPr>
      </w:r>
      <w:r>
        <w:rPr>
          <w:spacing w:val="5"/>
        </w:rPr>
        <w:t>务所和本公司之间不存在直接或者间接的相互投资情况，也不存在密切的经营关</w:t>
      </w:r>
      <w:r>
        <w:rPr>
          <w:spacing w:val="-96"/>
        </w:rPr>
        <w:t> </w:t>
      </w:r>
      <w:r>
        <w:rPr>
          <w:spacing w:val="-96"/>
        </w:rPr>
      </w:r>
      <w:r>
        <w:rPr>
          <w:spacing w:val="-1"/>
        </w:rPr>
        <w:t>系；会计师事务所对公司的审计业务不存在自我评价，审计小组成员和本公司决策</w:t>
      </w:r>
      <w:r>
        <w:rPr>
          <w:spacing w:val="-104"/>
        </w:rPr>
        <w:t> </w:t>
      </w:r>
      <w:r>
        <w:rPr>
          <w:spacing w:val="-104"/>
        </w:rPr>
      </w:r>
      <w:r>
        <w:rPr>
          <w:spacing w:val="-1"/>
        </w:rPr>
        <w:t>层之间不存在关联关系。在本次审计工作中普华永道中天会计师事务所有限公司及</w:t>
      </w:r>
      <w:r>
        <w:rPr>
          <w:spacing w:val="-104"/>
        </w:rPr>
        <w:t> </w:t>
      </w:r>
      <w:r>
        <w:rPr>
          <w:spacing w:val="-104"/>
        </w:rPr>
      </w:r>
      <w:r>
        <w:rPr/>
        <w:t>审计成员始终保持了形式上和实质上的双重独立，</w:t>
      </w:r>
      <w:r>
        <w:rPr>
          <w:spacing w:val="59"/>
        </w:rPr>
        <w:t> </w:t>
      </w:r>
      <w:r>
        <w:rPr/>
        <w:t>遵守了职业道德基本原则中关</w:t>
      </w:r>
      <w:r>
        <w:rPr>
          <w:spacing w:val="-105"/>
        </w:rPr>
        <w:t> </w:t>
      </w:r>
      <w:r>
        <w:rPr>
          <w:spacing w:val="-105"/>
        </w:rPr>
      </w:r>
      <w:r>
        <w:rPr/>
        <w:t>于保持独立性的要求。</w:t>
      </w:r>
    </w:p>
    <w:p>
      <w:pPr>
        <w:pStyle w:val="BodyText"/>
        <w:spacing w:line="240" w:lineRule="auto" w:before="36"/>
        <w:ind w:left="623" w:right="108"/>
        <w:jc w:val="left"/>
        <w:rPr>
          <w:rFonts w:ascii="Times New Roman" w:hAnsi="Times New Roman" w:cs="Times New Roman" w:eastAsia="Times New Roman" w:hint="default"/>
        </w:rPr>
      </w:pPr>
      <w:r>
        <w:rPr/>
        <w:t>ⅱ、专业胜任能力评价：审计小组共由约 </w:t>
      </w:r>
      <w:r>
        <w:rPr>
          <w:rFonts w:ascii="Times New Roman" w:hAnsi="Times New Roman" w:cs="Times New Roman" w:eastAsia="Times New Roman" w:hint="default"/>
        </w:rPr>
        <w:t>150  </w:t>
      </w:r>
      <w:r>
        <w:rPr/>
        <w:t>人组成，其中核心小组成员</w:t>
      </w:r>
      <w:r>
        <w:rPr>
          <w:spacing w:val="-18"/>
        </w:rPr>
        <w:t> </w:t>
      </w:r>
      <w:r>
        <w:rPr>
          <w:rFonts w:ascii="Times New Roman" w:hAnsi="Times New Roman" w:cs="Times New Roman" w:eastAsia="Times New Roman" w:hint="default"/>
        </w:rPr>
        <w:t>20</w:t>
      </w:r>
    </w:p>
    <w:p>
      <w:pPr>
        <w:spacing w:after="0" w:line="240" w:lineRule="auto"/>
        <w:jc w:val="left"/>
        <w:rPr>
          <w:rFonts w:ascii="Times New Roman" w:hAnsi="Times New Roman" w:cs="Times New Roman" w:eastAsia="Times New Roman" w:hint="default"/>
        </w:rPr>
        <w:sectPr>
          <w:pgSz w:w="11910" w:h="16840"/>
          <w:pgMar w:header="826" w:footer="900" w:top="1100" w:bottom="1100" w:left="1500" w:right="1400"/>
        </w:sectPr>
      </w:pPr>
    </w:p>
    <w:p>
      <w:pPr>
        <w:pStyle w:val="BodyText"/>
        <w:spacing w:line="348" w:lineRule="auto" w:before="106"/>
        <w:ind w:left="144" w:right="197"/>
        <w:jc w:val="both"/>
      </w:pPr>
      <w:r>
        <w:rPr/>
        <w:t>人，其中具有注册会计师资格的核心小组成员</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名。核心小组主要人员对零售业务 </w:t>
      </w:r>
      <w:r>
        <w:rPr>
          <w:spacing w:val="-1"/>
        </w:rPr>
        <w:t>较熟悉，组成人员具有承办本次审计业务所必需的专业知识和相关的职业证书，能</w:t>
      </w:r>
      <w:r>
        <w:rPr>
          <w:spacing w:val="-104"/>
        </w:rPr>
        <w:t> </w:t>
      </w:r>
      <w:r>
        <w:rPr>
          <w:spacing w:val="-104"/>
        </w:rPr>
      </w:r>
      <w:r>
        <w:rPr/>
        <w:t>够胜任本次审计工作。</w:t>
      </w:r>
    </w:p>
    <w:p>
      <w:pPr>
        <w:pStyle w:val="BodyText"/>
        <w:spacing w:line="357" w:lineRule="auto" w:before="46"/>
        <w:ind w:left="144" w:right="189" w:firstLine="480"/>
        <w:jc w:val="both"/>
      </w:pPr>
      <w:r>
        <w:rPr/>
        <w:t>③</w:t>
      </w:r>
      <w:r>
        <w:rPr>
          <w:spacing w:val="19"/>
        </w:rPr>
        <w:t> </w:t>
      </w:r>
      <w:r>
        <w:rPr>
          <w:spacing w:val="6"/>
        </w:rPr>
        <w:t>审计小组在本年度审计中按照中国注册会计师审计准则的要求执行了恰</w:t>
      </w:r>
      <w:r>
        <w:rPr>
          <w:spacing w:val="6"/>
        </w:rPr>
        <w:t> </w:t>
      </w:r>
      <w:r>
        <w:rPr>
          <w:spacing w:val="-1"/>
        </w:rPr>
        <w:t>当的审计程序，为发表审计意见获取了充分、适当的审计证据。事务所对财务报表</w:t>
      </w:r>
      <w:r>
        <w:rPr>
          <w:spacing w:val="-102"/>
        </w:rPr>
        <w:t> </w:t>
      </w:r>
      <w:r>
        <w:rPr>
          <w:spacing w:val="-102"/>
        </w:rPr>
      </w:r>
      <w:r>
        <w:rPr/>
        <w:t>发表的无保留审计意见是在获取充分、适当的审计证据的基础上做出的。</w:t>
      </w:r>
    </w:p>
    <w:p>
      <w:pPr>
        <w:pStyle w:val="BodyText"/>
        <w:spacing w:line="352" w:lineRule="auto" w:before="36"/>
        <w:ind w:left="144" w:right="196" w:firstLine="480"/>
        <w:jc w:val="both"/>
      </w:pPr>
      <w:r>
        <w:rPr/>
        <w:t>④</w:t>
      </w:r>
      <w:r>
        <w:rPr>
          <w:spacing w:val="100"/>
        </w:rPr>
        <w:t> </w:t>
      </w:r>
      <w:r>
        <w:rPr/>
        <w:t>关于对续聘或改聘会计师事务所的决议：第三届董事会审计委员会认为公</w:t>
      </w:r>
      <w:r>
        <w:rPr/>
        <w:t> 司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年聘请的普华永道中天会计师事务所有限公司在为公司提供审计服务的工 </w:t>
      </w:r>
      <w:r>
        <w:rPr>
          <w:spacing w:val="-1"/>
        </w:rPr>
        <w:t>作中，恪尽职守，遵循独立、客观、公正的职业准则，较好的完成了公司委托的审</w:t>
      </w:r>
      <w:r>
        <w:rPr>
          <w:spacing w:val="-104"/>
        </w:rPr>
        <w:t> </w:t>
      </w:r>
      <w:r>
        <w:rPr>
          <w:spacing w:val="-104"/>
        </w:rPr>
      </w:r>
      <w:r>
        <w:rPr>
          <w:spacing w:val="5"/>
        </w:rPr>
        <w:t>计工作。因此，提请公司继续聘任普华永道中天会计师事务所有限公司作为公司</w:t>
      </w:r>
      <w:r>
        <w:rPr>
          <w:spacing w:val="-96"/>
        </w:rPr>
        <w:t> </w:t>
      </w:r>
      <w:r>
        <w:rPr>
          <w:spacing w:val="-96"/>
        </w:rPr>
      </w:r>
      <w:r>
        <w:rPr>
          <w:rFonts w:ascii="Times New Roman" w:hAnsi="Times New Roman" w:cs="Times New Roman" w:eastAsia="Times New Roman" w:hint="default"/>
        </w:rPr>
        <w:t>2009 </w:t>
      </w:r>
      <w:r>
        <w:rPr/>
        <w:t>年的审计机构。</w:t>
      </w:r>
    </w:p>
    <w:p>
      <w:pPr>
        <w:pStyle w:val="BodyText"/>
        <w:spacing w:line="338" w:lineRule="auto" w:before="11"/>
        <w:ind w:left="624" w:right="194"/>
        <w:jc w:val="left"/>
      </w:pPr>
      <w:r>
        <w:rPr>
          <w:rFonts w:ascii="Times New Roman" w:hAnsi="Times New Roman" w:cs="Times New Roman" w:eastAsia="Times New Roman" w:hint="default"/>
        </w:rPr>
        <w:t>4</w:t>
      </w:r>
      <w:r>
        <w:rPr/>
        <w:t>、董事会薪酬与考核委员会履职情况： </w:t>
      </w:r>
      <w:r>
        <w:rPr>
          <w:spacing w:val="-1"/>
        </w:rPr>
        <w:t>第三届董事会薪酬与考核委员会对公司董事、监事和高级管理人员所披露薪酬</w:t>
      </w:r>
    </w:p>
    <w:p>
      <w:pPr>
        <w:pStyle w:val="BodyText"/>
        <w:spacing w:line="240" w:lineRule="auto" w:before="55"/>
        <w:ind w:left="144" w:right="0"/>
        <w:jc w:val="both"/>
      </w:pPr>
      <w:r>
        <w:rPr/>
        <w:t>发表审核意见如下：</w:t>
      </w:r>
    </w:p>
    <w:p>
      <w:pPr>
        <w:pStyle w:val="BodyText"/>
        <w:spacing w:line="345" w:lineRule="auto" w:before="154"/>
        <w:ind w:left="144" w:right="196"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spacing w:val="-3"/>
        </w:rPr>
        <w:t>年公司在董事会的领导下，各位董事、监事、高级管理人员密切配合，带</w:t>
      </w:r>
      <w:r>
        <w:rPr/>
        <w:t> </w:t>
      </w:r>
      <w:r>
        <w:rPr>
          <w:spacing w:val="-3"/>
        </w:rPr>
        <w:t>领全体员工共同努力，取得了良好的经营业绩，实现了公司的稳步发展。</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2"/>
        </w:rPr>
        <w:t> </w:t>
      </w:r>
      <w:r>
        <w:rPr/>
        <w:t>年所</w:t>
      </w:r>
      <w:r>
        <w:rPr>
          <w:spacing w:val="-116"/>
        </w:rPr>
        <w:t> </w:t>
      </w:r>
      <w:r>
        <w:rPr>
          <w:spacing w:val="-1"/>
        </w:rPr>
        <w:t>披露的董事和高管薪酬是经公司董事会、股东大会审议通过的，相关决策程序符合</w:t>
      </w:r>
      <w:r>
        <w:rPr>
          <w:spacing w:val="-104"/>
        </w:rPr>
        <w:t> </w:t>
      </w:r>
      <w:r>
        <w:rPr>
          <w:spacing w:val="-104"/>
        </w:rPr>
      </w:r>
      <w:r>
        <w:rPr/>
        <w:t>法律法规的规定，披露的薪酬信息是真实和合理的。</w:t>
      </w:r>
    </w:p>
    <w:p>
      <w:pPr>
        <w:spacing w:line="240" w:lineRule="auto" w:before="4"/>
        <w:rPr>
          <w:rFonts w:ascii="宋体" w:hAnsi="宋体" w:cs="宋体" w:eastAsia="宋体" w:hint="default"/>
          <w:sz w:val="35"/>
          <w:szCs w:val="35"/>
        </w:rPr>
      </w:pPr>
    </w:p>
    <w:p>
      <w:pPr>
        <w:pStyle w:val="BodyText"/>
        <w:spacing w:line="240" w:lineRule="auto"/>
        <w:ind w:left="624" w:right="194"/>
        <w:jc w:val="left"/>
      </w:pPr>
      <w:r>
        <w:rPr/>
        <w:t>六、利润分配预案</w:t>
      </w:r>
    </w:p>
    <w:p>
      <w:pPr>
        <w:pStyle w:val="BodyText"/>
        <w:spacing w:line="240" w:lineRule="auto" w:before="154"/>
        <w:ind w:left="669" w:right="194"/>
        <w:jc w:val="left"/>
      </w:pPr>
      <w:r>
        <w:rPr>
          <w:rFonts w:ascii="Times New Roman" w:hAnsi="Times New Roman" w:cs="Times New Roman" w:eastAsia="Times New Roman" w:hint="default"/>
        </w:rPr>
        <w:t>1</w:t>
      </w:r>
      <w:r>
        <w:rPr/>
        <w:t>、本年度利润分配预案</w:t>
      </w:r>
    </w:p>
    <w:p>
      <w:pPr>
        <w:pStyle w:val="BodyText"/>
        <w:spacing w:line="338" w:lineRule="auto" w:before="135"/>
        <w:ind w:left="144" w:right="105" w:firstLine="525"/>
        <w:jc w:val="both"/>
      </w:pPr>
      <w:r>
        <w:rPr>
          <w:spacing w:val="16"/>
        </w:rPr>
        <w:t>经普华永道中天会计师事务所有限公司出具的普华永道中天审字</w:t>
      </w:r>
      <w:r>
        <w:rPr>
          <w:rFonts w:ascii="Times New Roman" w:hAnsi="Times New Roman" w:cs="Times New Roman" w:eastAsia="Times New Roman" w:hint="default"/>
          <w:spacing w:val="16"/>
        </w:rPr>
        <w:t>(2009)</w:t>
      </w:r>
      <w:r>
        <w:rPr>
          <w:rFonts w:ascii="Times New Roman" w:hAnsi="Times New Roman" w:cs="Times New Roman" w:eastAsia="Times New Roman" w:hint="default"/>
          <w:spacing w:val="-37"/>
        </w:rPr>
        <w:t> </w:t>
      </w:r>
      <w:r>
        <w:rPr/>
        <w:t>第 </w:t>
      </w:r>
      <w:r>
        <w:rPr>
          <w:rFonts w:ascii="Times New Roman" w:hAnsi="Times New Roman" w:cs="Times New Roman" w:eastAsia="Times New Roman" w:hint="default"/>
        </w:rPr>
        <w:t>10021 </w:t>
      </w:r>
      <w:r>
        <w:rPr>
          <w:spacing w:val="-3"/>
        </w:rPr>
        <w:t>号《审计报告》确认，</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年公司母公司实现净利润</w:t>
      </w:r>
      <w:r>
        <w:rPr>
          <w:spacing w:val="-60"/>
        </w:rPr>
        <w:t> </w:t>
      </w:r>
      <w:r>
        <w:rPr>
          <w:rFonts w:ascii="Times New Roman" w:hAnsi="Times New Roman" w:cs="Times New Roman" w:eastAsia="Times New Roman" w:hint="default"/>
        </w:rPr>
        <w:t>1,403,999 </w:t>
      </w:r>
      <w:r>
        <w:rPr>
          <w:spacing w:val="-3"/>
        </w:rPr>
        <w:t>千元，按公司</w:t>
      </w:r>
      <w:r>
        <w:rPr/>
        <w:t> </w:t>
      </w:r>
      <w:r>
        <w:rPr>
          <w:spacing w:val="4"/>
        </w:rPr>
        <w:t>净利润 </w:t>
      </w:r>
      <w:r>
        <w:rPr>
          <w:rFonts w:ascii="Times New Roman" w:hAnsi="Times New Roman" w:cs="Times New Roman" w:eastAsia="Times New Roman" w:hint="default"/>
          <w:spacing w:val="3"/>
        </w:rPr>
        <w:t>10%</w:t>
      </w:r>
      <w:r>
        <w:rPr>
          <w:spacing w:val="3"/>
        </w:rPr>
        <w:t>提取法定盈余公积金 </w:t>
      </w:r>
      <w:r>
        <w:rPr>
          <w:rFonts w:ascii="Times New Roman" w:hAnsi="Times New Roman" w:cs="Times New Roman" w:eastAsia="Times New Roman" w:hint="default"/>
        </w:rPr>
        <w:t>140,400</w:t>
      </w:r>
      <w:r>
        <w:rPr>
          <w:rFonts w:ascii="Times New Roman" w:hAnsi="Times New Roman" w:cs="Times New Roman" w:eastAsia="Times New Roman" w:hint="default"/>
          <w:spacing w:val="18"/>
        </w:rPr>
        <w:t> </w:t>
      </w:r>
      <w:r>
        <w:rPr>
          <w:spacing w:val="5"/>
        </w:rPr>
        <w:t>千元，提取法定盈余公积金后剩余利润 </w:t>
      </w:r>
      <w:r>
        <w:rPr>
          <w:rFonts w:ascii="Times New Roman" w:hAnsi="Times New Roman" w:cs="Times New Roman" w:eastAsia="Times New Roman" w:hint="default"/>
        </w:rPr>
        <w:t>1,263,599</w:t>
      </w:r>
      <w:r>
        <w:rPr>
          <w:rFonts w:ascii="Times New Roman" w:hAnsi="Times New Roman" w:cs="Times New Roman" w:eastAsia="Times New Roman" w:hint="default"/>
          <w:spacing w:val="1"/>
        </w:rPr>
        <w:t> </w:t>
      </w:r>
      <w:r>
        <w:rPr/>
        <w:t>千元。</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年内，公司支付普通股股利</w:t>
      </w:r>
      <w:r>
        <w:rPr>
          <w:spacing w:val="-59"/>
        </w:rPr>
        <w:t> </w:t>
      </w:r>
      <w:r>
        <w:rPr>
          <w:rFonts w:ascii="Times New Roman" w:hAnsi="Times New Roman" w:cs="Times New Roman" w:eastAsia="Times New Roman" w:hint="default"/>
        </w:rPr>
        <w:t>437,850</w:t>
      </w:r>
      <w:r>
        <w:rPr>
          <w:rFonts w:ascii="Times New Roman" w:hAnsi="Times New Roman" w:cs="Times New Roman" w:eastAsia="Times New Roman" w:hint="default"/>
          <w:spacing w:val="1"/>
        </w:rPr>
        <w:t> </w:t>
      </w:r>
      <w:r>
        <w:rPr/>
        <w:t>千元，加年初未分配利润</w:t>
      </w:r>
    </w:p>
    <w:p>
      <w:pPr>
        <w:pStyle w:val="BodyText"/>
        <w:spacing w:line="240" w:lineRule="auto" w:before="27"/>
        <w:ind w:left="144" w:right="0"/>
        <w:jc w:val="both"/>
      </w:pPr>
      <w:r>
        <w:rPr>
          <w:rFonts w:ascii="Times New Roman" w:hAnsi="Times New Roman" w:cs="Times New Roman" w:eastAsia="Times New Roman" w:hint="default"/>
        </w:rPr>
        <w:t>1,547,786 </w:t>
      </w:r>
      <w:r>
        <w:rPr/>
        <w:t>千元，报告期末公司未分配利润为</w:t>
      </w:r>
      <w:r>
        <w:rPr>
          <w:spacing w:val="-60"/>
        </w:rPr>
        <w:t> </w:t>
      </w:r>
      <w:r>
        <w:rPr>
          <w:rFonts w:ascii="Times New Roman" w:hAnsi="Times New Roman" w:cs="Times New Roman" w:eastAsia="Times New Roman" w:hint="default"/>
        </w:rPr>
        <w:t>2,373,535 </w:t>
      </w:r>
      <w:r>
        <w:rPr/>
        <w:t>千元。</w:t>
      </w:r>
    </w:p>
    <w:p>
      <w:pPr>
        <w:pStyle w:val="BodyText"/>
        <w:spacing w:line="240" w:lineRule="auto" w:before="135"/>
        <w:ind w:left="624" w:right="0"/>
        <w:jc w:val="left"/>
        <w:rPr>
          <w:rFonts w:ascii="Times New Roman" w:hAnsi="Times New Roman" w:cs="Times New Roman" w:eastAsia="Times New Roman" w:hint="default"/>
        </w:rPr>
      </w:pPr>
      <w:r>
        <w:rPr>
          <w:spacing w:val="-4"/>
        </w:rPr>
        <w:t>公司第三届董事会第二十六次会议审议通过 </w:t>
      </w:r>
      <w:r>
        <w:rPr>
          <w:rFonts w:ascii="Times New Roman" w:hAnsi="Times New Roman" w:cs="Times New Roman" w:eastAsia="Times New Roman" w:hint="default"/>
          <w:spacing w:val="-3"/>
        </w:rPr>
        <w:t>2008  </w:t>
      </w:r>
      <w:r>
        <w:rPr>
          <w:spacing w:val="-5"/>
        </w:rPr>
        <w:t>年度利润分配方案：以</w:t>
      </w:r>
      <w:r>
        <w:rPr>
          <w:spacing w:val="-7"/>
        </w:rPr>
        <w:t> </w:t>
      </w:r>
      <w:r>
        <w:rPr>
          <w:rFonts w:ascii="Times New Roman" w:hAnsi="Times New Roman" w:cs="Times New Roman" w:eastAsia="Times New Roman" w:hint="default"/>
        </w:rPr>
        <w:t>2008</w:t>
      </w:r>
    </w:p>
    <w:p>
      <w:pPr>
        <w:pStyle w:val="BodyText"/>
        <w:spacing w:line="240" w:lineRule="auto" w:before="135"/>
        <w:ind w:left="144" w:right="0"/>
        <w:jc w:val="both"/>
      </w:pPr>
      <w:r>
        <w:rPr>
          <w:spacing w:val="-5"/>
        </w:rPr>
        <w:t>年末公司总股本</w:t>
      </w:r>
      <w:r>
        <w:rPr>
          <w:spacing w:val="-63"/>
        </w:rPr>
        <w:t> </w:t>
      </w:r>
      <w:r>
        <w:rPr>
          <w:rFonts w:ascii="Times New Roman" w:hAnsi="Times New Roman" w:cs="Times New Roman" w:eastAsia="Times New Roman" w:hint="default"/>
          <w:spacing w:val="-3"/>
        </w:rPr>
        <w:t>2,991,008,000</w:t>
      </w:r>
      <w:r>
        <w:rPr>
          <w:rFonts w:ascii="Times New Roman" w:hAnsi="Times New Roman" w:cs="Times New Roman" w:eastAsia="Times New Roman" w:hint="default"/>
          <w:spacing w:val="-1"/>
        </w:rPr>
        <w:t> </w:t>
      </w:r>
      <w:r>
        <w:rPr>
          <w:spacing w:val="-9"/>
        </w:rPr>
        <w:t>股为基数，向全体股东每</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股送红股</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股并派发现金</w:t>
      </w:r>
      <w:r>
        <w:rPr/>
      </w:r>
    </w:p>
    <w:p>
      <w:pPr>
        <w:pStyle w:val="BodyText"/>
        <w:spacing w:line="240" w:lineRule="auto" w:before="135"/>
        <w:ind w:left="144"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0.</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2"/>
        </w:rPr>
        <w:t>元</w:t>
      </w:r>
      <w:r>
        <w:rPr>
          <w:spacing w:val="-4"/>
        </w:rPr>
        <w:t>（含税</w:t>
      </w:r>
      <w:r>
        <w:rPr>
          <w:spacing w:val="-123"/>
        </w:rPr>
        <w:t>）</w:t>
      </w:r>
      <w:r>
        <w:rPr>
          <w:spacing w:val="-30"/>
        </w:rPr>
        <w:t>，</w:t>
      </w:r>
      <w:r>
        <w:rPr>
          <w:spacing w:val="-4"/>
        </w:rPr>
        <w:t>本次利润分</w:t>
      </w:r>
      <w:r>
        <w:rPr/>
        <w:t>配</w:t>
      </w:r>
      <w:r>
        <w:rPr>
          <w:spacing w:val="-67"/>
        </w:rPr>
        <w:t> </w:t>
      </w:r>
      <w:r>
        <w:rPr>
          <w:rFonts w:ascii="Times New Roman" w:hAnsi="Times New Roman" w:cs="Times New Roman" w:eastAsia="Times New Roman" w:hint="default"/>
          <w:spacing w:val="-3"/>
        </w:rPr>
        <w:t>687,93</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千元</w:t>
      </w:r>
      <w:r>
        <w:rPr>
          <w:spacing w:val="-32"/>
        </w:rPr>
        <w:t>，</w:t>
      </w:r>
      <w:r>
        <w:rPr>
          <w:spacing w:val="-4"/>
        </w:rPr>
        <w:t>利润分配后</w:t>
      </w:r>
      <w:r>
        <w:rPr>
          <w:spacing w:val="-30"/>
        </w:rPr>
        <w:t>，</w:t>
      </w:r>
      <w:r>
        <w:rPr>
          <w:spacing w:val="-5"/>
        </w:rPr>
        <w:t>剩</w:t>
      </w:r>
      <w:r>
        <w:rPr>
          <w:spacing w:val="-4"/>
        </w:rPr>
        <w:t>余未分配利</w:t>
      </w:r>
      <w:r>
        <w:rPr/>
        <w:t>润</w:t>
      </w:r>
      <w:r>
        <w:rPr>
          <w:spacing w:val="-67"/>
        </w:rPr>
        <w:t> </w:t>
      </w:r>
      <w:r>
        <w:rPr>
          <w:rFonts w:ascii="Times New Roman" w:hAnsi="Times New Roman" w:cs="Times New Roman" w:eastAsia="Times New Roman" w:hint="default"/>
          <w:spacing w:val="-3"/>
        </w:rPr>
        <w:t>1,685,603</w:t>
      </w:r>
      <w:r>
        <w:rPr>
          <w:rFonts w:ascii="Times New Roman" w:hAnsi="Times New Roman" w:cs="Times New Roman" w:eastAsia="Times New Roman" w:hint="default"/>
        </w:rPr>
      </w:r>
    </w:p>
    <w:p>
      <w:pPr>
        <w:pStyle w:val="BodyText"/>
        <w:spacing w:line="240" w:lineRule="auto" w:before="135"/>
        <w:ind w:left="144" w:right="0"/>
        <w:jc w:val="both"/>
      </w:pPr>
      <w:r>
        <w:rPr>
          <w:spacing w:val="-5"/>
        </w:rPr>
        <w:t>千元转入下一年度；同时以资本公积金向全体股东每</w:t>
      </w:r>
      <w:r>
        <w:rPr>
          <w:spacing w:val="-64"/>
        </w:rPr>
        <w:t> </w:t>
      </w:r>
      <w:r>
        <w:rPr>
          <w:rFonts w:ascii="Times New Roman" w:hAnsi="Times New Roman" w:cs="Times New Roman" w:eastAsia="Times New Roman" w:hint="default"/>
        </w:rPr>
        <w:t>10 </w:t>
      </w:r>
      <w:r>
        <w:rPr>
          <w:spacing w:val="-4"/>
        </w:rPr>
        <w:t>股转增</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股，转增后，公司</w:t>
      </w:r>
      <w:r>
        <w:rPr/>
      </w:r>
    </w:p>
    <w:p>
      <w:pPr>
        <w:pStyle w:val="BodyText"/>
        <w:spacing w:line="240" w:lineRule="auto" w:before="135"/>
        <w:ind w:left="144" w:right="0"/>
        <w:jc w:val="both"/>
      </w:pPr>
      <w:r>
        <w:rPr>
          <w:spacing w:val="-4"/>
        </w:rPr>
        <w:t>资本公积金由</w:t>
      </w:r>
      <w:r>
        <w:rPr>
          <w:spacing w:val="-69"/>
        </w:rPr>
        <w:t> </w:t>
      </w:r>
      <w:r>
        <w:rPr>
          <w:rFonts w:ascii="Times New Roman" w:hAnsi="Times New Roman" w:cs="Times New Roman" w:eastAsia="Times New Roman" w:hint="default"/>
        </w:rPr>
        <w:t>1,086,191</w:t>
      </w:r>
      <w:r>
        <w:rPr>
          <w:rFonts w:ascii="Times New Roman" w:hAnsi="Times New Roman" w:cs="Times New Roman" w:eastAsia="Times New Roman" w:hint="default"/>
          <w:spacing w:val="-6"/>
        </w:rPr>
        <w:t> </w:t>
      </w:r>
      <w:r>
        <w:rPr>
          <w:spacing w:val="-4"/>
        </w:rPr>
        <w:t>千元减少为</w:t>
      </w:r>
      <w:r>
        <w:rPr>
          <w:spacing w:val="-69"/>
        </w:rPr>
        <w:t> </w:t>
      </w:r>
      <w:r>
        <w:rPr>
          <w:rFonts w:ascii="Times New Roman" w:hAnsi="Times New Roman" w:cs="Times New Roman" w:eastAsia="Times New Roman" w:hint="default"/>
          <w:spacing w:val="-3"/>
        </w:rPr>
        <w:t>188,889</w:t>
      </w:r>
      <w:r>
        <w:rPr>
          <w:rFonts w:ascii="Times New Roman" w:hAnsi="Times New Roman" w:cs="Times New Roman" w:eastAsia="Times New Roman" w:hint="default"/>
          <w:spacing w:val="-4"/>
        </w:rPr>
        <w:t> </w:t>
      </w:r>
      <w:r>
        <w:rPr>
          <w:spacing w:val="-5"/>
        </w:rPr>
        <w:t>千元。</w:t>
      </w:r>
      <w:r>
        <w:rPr/>
      </w:r>
    </w:p>
    <w:p>
      <w:pPr>
        <w:spacing w:after="0" w:line="240" w:lineRule="auto"/>
        <w:jc w:val="both"/>
        <w:sectPr>
          <w:pgSz w:w="11910" w:h="16840"/>
          <w:pgMar w:header="826" w:footer="900" w:top="1100" w:bottom="1100" w:left="1500" w:right="1440"/>
        </w:sectPr>
      </w:pPr>
    </w:p>
    <w:p>
      <w:pPr>
        <w:pStyle w:val="BodyText"/>
        <w:spacing w:line="240" w:lineRule="auto" w:before="106"/>
        <w:ind w:left="724" w:right="153"/>
        <w:jc w:val="left"/>
      </w:pPr>
      <w:r>
        <w:rPr/>
        <w:t>本次利润分配预案须经</w:t>
      </w:r>
      <w:r>
        <w:rPr>
          <w:spacing w:val="-60"/>
        </w:rPr>
        <w:t> </w:t>
      </w:r>
      <w:r>
        <w:rPr>
          <w:rFonts w:ascii="Times New Roman" w:hAnsi="Times New Roman" w:cs="Times New Roman" w:eastAsia="Times New Roman" w:hint="default"/>
        </w:rPr>
        <w:t>2008 </w:t>
      </w:r>
      <w:r>
        <w:rPr/>
        <w:t>年年度股东大会审议批准后实施。</w:t>
      </w:r>
    </w:p>
    <w:p>
      <w:pPr>
        <w:pStyle w:val="BodyText"/>
        <w:spacing w:line="240" w:lineRule="auto" w:before="135"/>
        <w:ind w:left="723" w:right="153"/>
        <w:jc w:val="left"/>
      </w:pPr>
      <w:r>
        <w:rPr>
          <w:rFonts w:ascii="Times New Roman" w:hAnsi="Times New Roman" w:cs="Times New Roman" w:eastAsia="Times New Roman" w:hint="default"/>
        </w:rPr>
        <w:t>2</w:t>
      </w:r>
      <w:r>
        <w:rPr/>
        <w:t>、公司前三年现金分红情况（含</w:t>
      </w:r>
      <w:r>
        <w:rPr>
          <w:spacing w:val="-60"/>
        </w:rPr>
        <w:t> </w:t>
      </w:r>
      <w:r>
        <w:rPr>
          <w:rFonts w:ascii="Times New Roman" w:hAnsi="Times New Roman" w:cs="Times New Roman" w:eastAsia="Times New Roman" w:hint="default"/>
        </w:rPr>
        <w:t>2008 </w:t>
      </w:r>
      <w:r>
        <w:rPr/>
        <w:t>年度利润分配预案）</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3618"/>
        <w:gridCol w:w="1768"/>
        <w:gridCol w:w="2118"/>
        <w:gridCol w:w="1333"/>
      </w:tblGrid>
      <w:tr>
        <w:trPr>
          <w:trHeight w:val="329" w:hRule="exact"/>
        </w:trPr>
        <w:tc>
          <w:tcPr>
            <w:tcW w:w="3618" w:type="dxa"/>
            <w:tcBorders>
              <w:top w:val="single" w:sz="17" w:space="0" w:color="000000"/>
              <w:left w:val="single" w:sz="17" w:space="0" w:color="000000"/>
              <w:bottom w:val="single" w:sz="4" w:space="0" w:color="000000"/>
              <w:right w:val="single" w:sz="4" w:space="0" w:color="000000"/>
            </w:tcBorders>
          </w:tcPr>
          <w:p>
            <w:pPr>
              <w:pStyle w:val="TableParagraph"/>
              <w:spacing w:line="251" w:lineRule="exact"/>
              <w:ind w:right="16"/>
              <w:jc w:val="center"/>
              <w:rPr>
                <w:rFonts w:ascii="宋体" w:hAnsi="宋体" w:cs="宋体" w:eastAsia="宋体" w:hint="default"/>
                <w:sz w:val="20"/>
                <w:szCs w:val="20"/>
              </w:rPr>
            </w:pPr>
            <w:r>
              <w:rPr>
                <w:rFonts w:ascii="宋体" w:hAnsi="宋体" w:cs="宋体" w:eastAsia="宋体" w:hint="default"/>
                <w:sz w:val="20"/>
                <w:szCs w:val="20"/>
              </w:rPr>
              <w:t>项目</w:t>
            </w:r>
          </w:p>
        </w:tc>
        <w:tc>
          <w:tcPr>
            <w:tcW w:w="1768"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55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18"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333" w:type="dxa"/>
            <w:tcBorders>
              <w:top w:val="single" w:sz="17" w:space="0" w:color="000000"/>
              <w:left w:val="single" w:sz="4" w:space="0" w:color="000000"/>
              <w:bottom w:val="single" w:sz="4" w:space="0" w:color="000000"/>
              <w:right w:val="single" w:sz="17" w:space="0" w:color="000000"/>
            </w:tcBorders>
          </w:tcPr>
          <w:p>
            <w:pPr>
              <w:pStyle w:val="TableParagraph"/>
              <w:spacing w:line="251" w:lineRule="exact"/>
              <w:ind w:left="336"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294" w:hRule="exact"/>
        </w:trPr>
        <w:tc>
          <w:tcPr>
            <w:tcW w:w="3618"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现金分红金额（千元）</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239,280.64</w:t>
            </w:r>
            <w:r>
              <w:rPr>
                <w:rFonts w:ascii="宋体"/>
                <w:sz w:val="20"/>
              </w:rPr>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288,300.80</w:t>
            </w:r>
            <w:r>
              <w:rPr>
                <w:rFonts w:ascii="宋体"/>
                <w:sz w:val="20"/>
              </w:rPr>
            </w:r>
          </w:p>
        </w:tc>
        <w:tc>
          <w:tcPr>
            <w:tcW w:w="1333"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5"/>
              <w:jc w:val="right"/>
              <w:rPr>
                <w:rFonts w:ascii="宋体" w:hAnsi="宋体" w:cs="宋体" w:eastAsia="宋体" w:hint="default"/>
                <w:sz w:val="20"/>
                <w:szCs w:val="20"/>
              </w:rPr>
            </w:pPr>
            <w:r>
              <w:rPr>
                <w:rFonts w:ascii="宋体"/>
                <w:w w:val="100"/>
                <w:sz w:val="20"/>
              </w:rPr>
              <w:t>-</w:t>
            </w:r>
          </w:p>
        </w:tc>
      </w:tr>
      <w:tr>
        <w:trPr>
          <w:trHeight w:val="295" w:hRule="exact"/>
        </w:trPr>
        <w:tc>
          <w:tcPr>
            <w:tcW w:w="3618"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归属于上市公司股东的净利润（千元）</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2,170,190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0"/>
                <w:szCs w:val="20"/>
              </w:rPr>
            </w:pPr>
            <w:r>
              <w:rPr>
                <w:rFonts w:ascii="宋体"/>
                <w:spacing w:val="-1"/>
                <w:sz w:val="20"/>
              </w:rPr>
              <w:t>1,465,426</w:t>
            </w:r>
            <w:r>
              <w:rPr>
                <w:rFonts w:ascii="宋体"/>
                <w:sz w:val="20"/>
              </w:rPr>
            </w:r>
          </w:p>
        </w:tc>
        <w:tc>
          <w:tcPr>
            <w:tcW w:w="1333" w:type="dxa"/>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5"/>
              <w:jc w:val="right"/>
              <w:rPr>
                <w:rFonts w:ascii="宋体" w:hAnsi="宋体" w:cs="宋体" w:eastAsia="宋体" w:hint="default"/>
                <w:sz w:val="20"/>
                <w:szCs w:val="20"/>
              </w:rPr>
            </w:pPr>
            <w:r>
              <w:rPr>
                <w:rFonts w:ascii="宋体"/>
                <w:spacing w:val="-1"/>
                <w:sz w:val="20"/>
              </w:rPr>
              <w:t>757,636</w:t>
            </w:r>
            <w:r>
              <w:rPr>
                <w:rFonts w:ascii="宋体"/>
                <w:sz w:val="20"/>
              </w:rPr>
            </w:r>
          </w:p>
        </w:tc>
      </w:tr>
      <w:tr>
        <w:trPr>
          <w:trHeight w:val="295" w:hRule="exact"/>
        </w:trPr>
        <w:tc>
          <w:tcPr>
            <w:tcW w:w="3618"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前三年年平均净利润（千元）</w:t>
            </w:r>
          </w:p>
        </w:tc>
        <w:tc>
          <w:tcPr>
            <w:tcW w:w="5219" w:type="dxa"/>
            <w:gridSpan w:val="3"/>
            <w:tcBorders>
              <w:top w:val="single" w:sz="4" w:space="0" w:color="000000"/>
              <w:left w:val="single" w:sz="4" w:space="0" w:color="000000"/>
              <w:bottom w:val="single" w:sz="4" w:space="0" w:color="000000"/>
              <w:right w:val="single" w:sz="17" w:space="0" w:color="000000"/>
            </w:tcBorders>
          </w:tcPr>
          <w:p>
            <w:pPr>
              <w:pStyle w:val="TableParagraph"/>
              <w:spacing w:line="242" w:lineRule="exact"/>
              <w:ind w:right="84"/>
              <w:jc w:val="right"/>
              <w:rPr>
                <w:rFonts w:ascii="宋体" w:hAnsi="宋体" w:cs="宋体" w:eastAsia="宋体" w:hint="default"/>
                <w:sz w:val="20"/>
                <w:szCs w:val="20"/>
              </w:rPr>
            </w:pPr>
            <w:r>
              <w:rPr>
                <w:rFonts w:ascii="宋体"/>
                <w:spacing w:val="-1"/>
                <w:sz w:val="20"/>
              </w:rPr>
              <w:t>1,464,417</w:t>
            </w:r>
            <w:r>
              <w:rPr>
                <w:rFonts w:ascii="宋体"/>
                <w:sz w:val="20"/>
              </w:rPr>
            </w:r>
          </w:p>
        </w:tc>
      </w:tr>
      <w:tr>
        <w:trPr>
          <w:trHeight w:val="329" w:hRule="exact"/>
        </w:trPr>
        <w:tc>
          <w:tcPr>
            <w:tcW w:w="3618"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现金分红与平均净利润的比率（%）</w:t>
            </w:r>
          </w:p>
        </w:tc>
        <w:tc>
          <w:tcPr>
            <w:tcW w:w="1768"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1"/>
              <w:jc w:val="right"/>
              <w:rPr>
                <w:rFonts w:ascii="宋体" w:hAnsi="宋体" w:cs="宋体" w:eastAsia="宋体" w:hint="default"/>
                <w:sz w:val="20"/>
                <w:szCs w:val="20"/>
              </w:rPr>
            </w:pPr>
            <w:r>
              <w:rPr>
                <w:rFonts w:ascii="宋体"/>
                <w:spacing w:val="-1"/>
                <w:sz w:val="20"/>
              </w:rPr>
              <w:t>16.34%</w:t>
            </w:r>
            <w:r>
              <w:rPr>
                <w:rFonts w:ascii="宋体"/>
                <w:sz w:val="20"/>
              </w:rPr>
            </w:r>
          </w:p>
        </w:tc>
        <w:tc>
          <w:tcPr>
            <w:tcW w:w="2118"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spacing w:val="-1"/>
                <w:sz w:val="20"/>
              </w:rPr>
              <w:t>19.69%</w:t>
            </w:r>
            <w:r>
              <w:rPr>
                <w:rFonts w:ascii="宋体"/>
                <w:sz w:val="20"/>
              </w:rPr>
            </w:r>
          </w:p>
        </w:tc>
        <w:tc>
          <w:tcPr>
            <w:tcW w:w="1333"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103"/>
              <w:jc w:val="right"/>
              <w:rPr>
                <w:rFonts w:ascii="宋体" w:hAnsi="宋体" w:cs="宋体" w:eastAsia="宋体" w:hint="default"/>
                <w:sz w:val="20"/>
                <w:szCs w:val="20"/>
              </w:rPr>
            </w:pPr>
            <w:r>
              <w:rPr>
                <w:rFonts w:ascii="宋体"/>
                <w:w w:val="100"/>
                <w:sz w:val="20"/>
              </w:rPr>
              <w:t>-</w:t>
            </w:r>
          </w:p>
        </w:tc>
      </w:tr>
    </w:tbl>
    <w:p>
      <w:pPr>
        <w:spacing w:line="240" w:lineRule="auto" w:before="9"/>
        <w:rPr>
          <w:rFonts w:ascii="宋体" w:hAnsi="宋体" w:cs="宋体" w:eastAsia="宋体" w:hint="default"/>
          <w:sz w:val="26"/>
          <w:szCs w:val="26"/>
        </w:rPr>
      </w:pPr>
    </w:p>
    <w:p>
      <w:pPr>
        <w:pStyle w:val="BodyText"/>
        <w:spacing w:line="357" w:lineRule="auto" w:before="26"/>
        <w:ind w:left="244" w:right="256" w:firstLine="480"/>
        <w:jc w:val="both"/>
      </w:pPr>
      <w:r>
        <w:rPr/>
        <w:t>七</w:t>
      </w:r>
      <w:r>
        <w:rPr>
          <w:spacing w:val="-6"/>
        </w:rPr>
        <w:t>、</w:t>
      </w:r>
      <w:r>
        <w:rPr/>
        <w:t>报告期内</w:t>
      </w:r>
      <w:r>
        <w:rPr>
          <w:spacing w:val="-6"/>
        </w:rPr>
        <w:t>，</w:t>
      </w:r>
      <w:r>
        <w:rPr/>
        <w:t>公司选定的信息披露报纸</w:t>
      </w:r>
      <w:r>
        <w:rPr>
          <w:spacing w:val="-6"/>
        </w:rPr>
        <w:t>为</w:t>
      </w:r>
      <w:r>
        <w:rPr/>
        <w:t>《证券时报</w:t>
      </w:r>
      <w:r>
        <w:rPr>
          <w:spacing w:val="-120"/>
        </w:rPr>
        <w:t>》、</w:t>
      </w:r>
      <w:r>
        <w:rPr/>
        <w:t>《中国证券报</w:t>
      </w:r>
      <w:r>
        <w:rPr>
          <w:spacing w:val="-120"/>
        </w:rPr>
        <w:t>》、</w:t>
      </w:r>
      <w:r>
        <w:rPr/>
        <w:t>《上</w:t>
      </w:r>
      <w:r>
        <w:rPr/>
        <w:t> 海证券报</w:t>
      </w:r>
      <w:r>
        <w:rPr>
          <w:spacing w:val="-120"/>
        </w:rPr>
        <w:t>》、</w:t>
      </w:r>
      <w:r>
        <w:rPr/>
        <w:t>《证券日报》，没有发生变更。</w:t>
      </w:r>
    </w:p>
    <w:p>
      <w:pPr>
        <w:spacing w:line="240" w:lineRule="auto" w:before="4"/>
        <w:rPr>
          <w:rFonts w:ascii="宋体" w:hAnsi="宋体" w:cs="宋体" w:eastAsia="宋体" w:hint="default"/>
          <w:sz w:val="34"/>
          <w:szCs w:val="34"/>
        </w:rPr>
      </w:pPr>
    </w:p>
    <w:p>
      <w:pPr>
        <w:pStyle w:val="BodyText"/>
        <w:spacing w:line="357" w:lineRule="auto"/>
        <w:ind w:left="726" w:right="153" w:hanging="3"/>
        <w:jc w:val="left"/>
      </w:pPr>
      <w:r>
        <w:rPr/>
        <w:t>八、开展投资者关系管理的具体情况： </w:t>
      </w:r>
      <w:r>
        <w:rPr>
          <w:spacing w:val="-2"/>
        </w:rPr>
        <w:t>报告期内，公司严格按照《投资者关系管理制度》、《信息披露管理制度》的</w:t>
      </w:r>
    </w:p>
    <w:p>
      <w:pPr>
        <w:pStyle w:val="BodyText"/>
        <w:spacing w:line="357" w:lineRule="auto" w:before="36"/>
        <w:ind w:left="726" w:right="4781" w:hanging="483"/>
        <w:jc w:val="left"/>
      </w:pPr>
      <w:r>
        <w:rPr/>
        <w:t>要求，认真作好投资者关系管理工作： 1、日常工作</w:t>
      </w:r>
    </w:p>
    <w:p>
      <w:pPr>
        <w:pStyle w:val="BodyText"/>
        <w:spacing w:line="357" w:lineRule="auto" w:before="36"/>
        <w:ind w:left="243" w:right="256" w:firstLine="482"/>
        <w:jc w:val="both"/>
      </w:pPr>
      <w:r>
        <w:rPr>
          <w:spacing w:val="2"/>
        </w:rPr>
        <w:t>（1）指定董事会秘书作为投资者关系管理负责人，安排专人作好投资者来访</w:t>
      </w:r>
      <w:r>
        <w:rPr>
          <w:spacing w:val="3"/>
        </w:rPr>
        <w:t> </w:t>
      </w:r>
      <w:r>
        <w:rPr>
          <w:spacing w:val="-6"/>
        </w:rPr>
        <w:t>接待工作，并作好各次接待的资料存档工作。报告期内，公司共接待投资者来访</w:t>
      </w:r>
      <w:r>
        <w:rPr>
          <w:spacing w:val="-50"/>
        </w:rPr>
        <w:t> </w:t>
      </w:r>
      <w:r>
        <w:rPr/>
        <w:t>103</w:t>
      </w:r>
      <w:r>
        <w:rPr/>
        <w:t> 人次；</w:t>
      </w:r>
    </w:p>
    <w:p>
      <w:pPr>
        <w:pStyle w:val="BodyText"/>
        <w:spacing w:line="357" w:lineRule="auto" w:before="36"/>
        <w:ind w:left="243" w:right="256" w:firstLine="482"/>
        <w:jc w:val="both"/>
      </w:pPr>
      <w:r>
        <w:rPr>
          <w:spacing w:val="2"/>
        </w:rPr>
        <w:t>（2）通过公司网站、投资者关系管理电话、电子信箱、传真、中小企业板互</w:t>
      </w:r>
      <w:r>
        <w:rPr>
          <w:spacing w:val="3"/>
        </w:rPr>
        <w:t> </w:t>
      </w:r>
      <w:r>
        <w:rPr/>
        <w:t>动平台等多种渠道与投资者加强沟通，尽可能解答投资者的疑问；</w:t>
      </w:r>
    </w:p>
    <w:p>
      <w:pPr>
        <w:pStyle w:val="BodyText"/>
        <w:spacing w:line="240" w:lineRule="auto" w:before="36"/>
        <w:ind w:left="726" w:right="153"/>
        <w:jc w:val="left"/>
      </w:pPr>
      <w:r>
        <w:rPr/>
        <w:t>2、互动交流</w:t>
      </w:r>
    </w:p>
    <w:p>
      <w:pPr>
        <w:pStyle w:val="BodyText"/>
        <w:spacing w:line="357" w:lineRule="auto" w:before="154"/>
        <w:ind w:left="243" w:right="256" w:firstLine="482"/>
        <w:jc w:val="both"/>
      </w:pPr>
      <w:r>
        <w:rPr>
          <w:spacing w:val="10"/>
        </w:rPr>
        <w:t>（1）2008年3月</w:t>
      </w:r>
      <w:r>
        <w:rPr>
          <w:spacing w:val="-51"/>
        </w:rPr>
        <w:t> </w:t>
      </w:r>
      <w:r>
        <w:rPr/>
        <w:t>13</w:t>
      </w:r>
      <w:r>
        <w:rPr>
          <w:spacing w:val="-51"/>
        </w:rPr>
        <w:t> </w:t>
      </w:r>
      <w:r>
        <w:rPr>
          <w:spacing w:val="-4"/>
        </w:rPr>
        <w:t>日，公司通过全景网投资者关系互动平台举行了公司</w:t>
      </w:r>
      <w:r>
        <w:rPr>
          <w:spacing w:val="-51"/>
        </w:rPr>
        <w:t> </w:t>
      </w:r>
      <w:r>
        <w:rPr/>
        <w:t>2007</w:t>
      </w:r>
      <w:r>
        <w:rPr/>
        <w:t> </w:t>
      </w:r>
      <w:r>
        <w:rPr>
          <w:spacing w:val="-1"/>
        </w:rPr>
        <w:t>年年度报告网上说明会，公司总裁孙为民先生、独立董事沈坤荣先生、董事会秘书</w:t>
      </w:r>
      <w:r>
        <w:rPr>
          <w:spacing w:val="-102"/>
        </w:rPr>
        <w:t> </w:t>
      </w:r>
      <w:r>
        <w:rPr>
          <w:spacing w:val="-102"/>
        </w:rPr>
      </w:r>
      <w:r>
        <w:rPr>
          <w:spacing w:val="-1"/>
        </w:rPr>
        <w:t>任峻先生、财务负责人朱华女士、以及保荐机构代表人朱峰先生参加了本次网上说</w:t>
      </w:r>
      <w:r>
        <w:rPr>
          <w:spacing w:val="-104"/>
        </w:rPr>
        <w:t> </w:t>
      </w:r>
      <w:r>
        <w:rPr>
          <w:spacing w:val="-104"/>
        </w:rPr>
      </w:r>
      <w:r>
        <w:rPr>
          <w:spacing w:val="-1"/>
        </w:rPr>
        <w:t>明会，并在线回答了投资者的咨询，与广大投资者进行坦诚的沟通，使广大投资者</w:t>
      </w:r>
      <w:r>
        <w:rPr>
          <w:spacing w:val="-102"/>
        </w:rPr>
        <w:t> </w:t>
      </w:r>
      <w:r>
        <w:rPr>
          <w:spacing w:val="-102"/>
        </w:rPr>
      </w:r>
      <w:r>
        <w:rPr/>
        <w:t>更深入的了解公司的各项情况。</w:t>
      </w:r>
    </w:p>
    <w:p>
      <w:pPr>
        <w:pStyle w:val="BodyText"/>
        <w:spacing w:line="357" w:lineRule="auto" w:before="36"/>
        <w:ind w:left="243" w:right="257" w:firstLine="480"/>
        <w:jc w:val="both"/>
      </w:pPr>
      <w:r>
        <w:rPr>
          <w:spacing w:val="19"/>
        </w:rPr>
        <w:t>（2）2008年3月</w:t>
      </w:r>
      <w:r>
        <w:rPr>
          <w:spacing w:val="-54"/>
        </w:rPr>
        <w:t> </w:t>
      </w:r>
      <w:r>
        <w:rPr/>
        <w:t>26</w:t>
      </w:r>
      <w:r>
        <w:rPr>
          <w:spacing w:val="-54"/>
        </w:rPr>
        <w:t> </w:t>
      </w:r>
      <w:r>
        <w:rPr/>
        <w:t>日，公司在北京举行了</w:t>
      </w:r>
      <w:r>
        <w:rPr>
          <w:spacing w:val="-53"/>
        </w:rPr>
        <w:t> </w:t>
      </w:r>
      <w:r>
        <w:rPr/>
        <w:t>2007</w:t>
      </w:r>
      <w:r>
        <w:rPr>
          <w:spacing w:val="-53"/>
        </w:rPr>
        <w:t> </w:t>
      </w:r>
      <w:r>
        <w:rPr/>
        <w:t>年年度业绩交流会，就公司</w:t>
      </w:r>
      <w:r>
        <w:rPr/>
        <w:t> 经营业绩、发展动态与投资者进行了交流，加强了与投资者沟通的时效性。</w:t>
      </w:r>
    </w:p>
    <w:p>
      <w:pPr>
        <w:pStyle w:val="BodyText"/>
        <w:spacing w:line="357" w:lineRule="auto" w:before="36"/>
        <w:ind w:left="243" w:right="257" w:firstLine="480"/>
        <w:jc w:val="both"/>
      </w:pPr>
      <w:r>
        <w:rPr>
          <w:spacing w:val="19"/>
        </w:rPr>
        <w:t>（3）2008年9月9</w:t>
      </w:r>
      <w:r>
        <w:rPr>
          <w:spacing w:val="-55"/>
        </w:rPr>
        <w:t> </w:t>
      </w:r>
      <w:r>
        <w:rPr>
          <w:spacing w:val="-3"/>
        </w:rPr>
        <w:t>日，公司在南京举行了</w:t>
      </w:r>
      <w:r>
        <w:rPr>
          <w:spacing w:val="-55"/>
        </w:rPr>
        <w:t> </w:t>
      </w:r>
      <w:r>
        <w:rPr/>
        <w:t>2008</w:t>
      </w:r>
      <w:r>
        <w:rPr>
          <w:spacing w:val="-55"/>
        </w:rPr>
        <w:t> </w:t>
      </w:r>
      <w:r>
        <w:rPr>
          <w:spacing w:val="-3"/>
        </w:rPr>
        <w:t>年半年度业绩交流会，使关注</w:t>
      </w:r>
      <w:r>
        <w:rPr/>
        <w:t> 和支持公司的广大投资者及时了解公司上半年经营情况以及下半年的发展规划。</w:t>
      </w:r>
    </w:p>
    <w:p>
      <w:pPr>
        <w:pStyle w:val="BodyText"/>
        <w:spacing w:line="357" w:lineRule="auto" w:before="36"/>
        <w:ind w:left="243" w:right="252" w:firstLine="480"/>
        <w:jc w:val="both"/>
      </w:pPr>
      <w:r>
        <w:rPr>
          <w:spacing w:val="2"/>
        </w:rPr>
        <w:t>（4）除努力做好日常事务外，公司还积极主动的联系、走访投资者。报告期</w:t>
      </w:r>
      <w:r>
        <w:rPr>
          <w:spacing w:val="3"/>
        </w:rPr>
        <w:t> </w:t>
      </w:r>
      <w:r>
        <w:rPr>
          <w:spacing w:val="-1"/>
        </w:rPr>
        <w:t>内，公司董事会秘书先后参加了多次由不同投资机构组织的大型交流会，与众多优</w:t>
      </w:r>
    </w:p>
    <w:p>
      <w:pPr>
        <w:spacing w:after="0" w:line="357" w:lineRule="auto"/>
        <w:jc w:val="both"/>
        <w:sectPr>
          <w:pgSz w:w="11910" w:h="16840"/>
          <w:pgMar w:header="826" w:footer="900" w:top="1100" w:bottom="1100" w:left="1400" w:right="1380"/>
        </w:sectPr>
      </w:pPr>
    </w:p>
    <w:p>
      <w:pPr>
        <w:pStyle w:val="BodyText"/>
        <w:spacing w:line="240" w:lineRule="auto" w:before="106"/>
        <w:ind w:left="144" w:right="0"/>
        <w:jc w:val="both"/>
      </w:pPr>
      <w:r>
        <w:rPr/>
        <w:t>秀的上市公司以及投资者共同探讨了公司未来的发展和市场状况。</w:t>
      </w:r>
    </w:p>
    <w:p>
      <w:pPr>
        <w:pStyle w:val="BodyText"/>
        <w:spacing w:line="357" w:lineRule="auto" w:before="154"/>
        <w:ind w:right="232" w:firstLine="480"/>
        <w:jc w:val="both"/>
      </w:pPr>
      <w:r>
        <w:rPr>
          <w:spacing w:val="2"/>
        </w:rPr>
        <w:t>（5）报告期内，公司共召开了三次股东大会。会上，公司董事、监事、高级</w:t>
      </w:r>
      <w:r>
        <w:rPr>
          <w:spacing w:val="3"/>
        </w:rPr>
        <w:t> </w:t>
      </w:r>
      <w:r>
        <w:rPr>
          <w:spacing w:val="-1"/>
        </w:rPr>
        <w:t>管理人员认真听取了投资者的建议和意见，并就公司经营、未来发展等问题与参会</w:t>
      </w:r>
      <w:r>
        <w:rPr>
          <w:spacing w:val="-104"/>
        </w:rPr>
        <w:t> </w:t>
      </w:r>
      <w:r>
        <w:rPr>
          <w:spacing w:val="-104"/>
        </w:rPr>
      </w:r>
      <w:r>
        <w:rPr/>
        <w:t>的股东进行了面对面的的会谈。</w:t>
      </w:r>
    </w:p>
    <w:p>
      <w:pPr>
        <w:pStyle w:val="BodyText"/>
        <w:spacing w:line="357" w:lineRule="auto" w:before="36"/>
        <w:ind w:left="623" w:right="108"/>
        <w:jc w:val="left"/>
      </w:pPr>
      <w:r>
        <w:rPr/>
        <w:t>3、制度完善 </w:t>
      </w:r>
      <w:r>
        <w:rPr>
          <w:spacing w:val="-2"/>
        </w:rPr>
        <w:t>为确保投资者更加公平、公正、公开的了解公司信息，按照中国证券监督管理</w:t>
      </w:r>
      <w:r>
        <w:rPr/>
      </w:r>
    </w:p>
    <w:p>
      <w:pPr>
        <w:pStyle w:val="BodyText"/>
        <w:spacing w:line="357" w:lineRule="auto" w:before="36"/>
        <w:ind w:right="237"/>
        <w:jc w:val="both"/>
      </w:pPr>
      <w:r>
        <w:rPr>
          <w:spacing w:val="-1"/>
        </w:rPr>
        <w:t>委员会及深圳证券交易所的要求，报告期内公司对《公司章程》、《信息披露管理</w:t>
      </w:r>
      <w:r>
        <w:rPr>
          <w:spacing w:val="-104"/>
        </w:rPr>
        <w:t> </w:t>
      </w:r>
      <w:r>
        <w:rPr>
          <w:spacing w:val="-104"/>
        </w:rPr>
      </w:r>
      <w:r>
        <w:rPr/>
        <w:t>制度》进行了修订，进一步规范了公司信息披露工作。</w:t>
      </w:r>
    </w:p>
    <w:p>
      <w:pPr>
        <w:pStyle w:val="BodyText"/>
        <w:spacing w:line="357" w:lineRule="auto" w:before="36"/>
        <w:ind w:left="623" w:right="235"/>
        <w:jc w:val="left"/>
      </w:pPr>
      <w:r>
        <w:rPr/>
        <w:t>4、组织架构完善 </w:t>
      </w:r>
      <w:r>
        <w:rPr>
          <w:spacing w:val="-1"/>
        </w:rPr>
        <w:t>为了更好的开展投资者关系管理工作，加强与投资者的互动交流，使投资者更</w:t>
      </w:r>
    </w:p>
    <w:p>
      <w:pPr>
        <w:pStyle w:val="BodyText"/>
        <w:spacing w:line="357" w:lineRule="auto" w:before="36"/>
        <w:ind w:right="236"/>
        <w:jc w:val="both"/>
      </w:pPr>
      <w:r>
        <w:rPr>
          <w:spacing w:val="-1"/>
        </w:rPr>
        <w:t>加充分的了解公司经营发展状况和战略规划。报告期内公司进一步细化投资者关系</w:t>
      </w:r>
      <w:r>
        <w:rPr>
          <w:spacing w:val="-104"/>
        </w:rPr>
        <w:t> </w:t>
      </w:r>
      <w:r>
        <w:rPr>
          <w:spacing w:val="-104"/>
        </w:rPr>
      </w:r>
      <w:r>
        <w:rPr>
          <w:spacing w:val="-1"/>
        </w:rPr>
        <w:t>管理岗位工作职责，充实人员，同时加强工作人员的专业能力培训，提升其业务水</w:t>
      </w:r>
      <w:r>
        <w:rPr>
          <w:spacing w:val="-102"/>
        </w:rPr>
        <w:t> </w:t>
      </w:r>
      <w:r>
        <w:rPr>
          <w:spacing w:val="-102"/>
        </w:rPr>
      </w:r>
      <w:r>
        <w:rPr/>
        <w:t>平，建立了较为完善的投资者关系管理队伍。</w:t>
      </w:r>
    </w:p>
    <w:p>
      <w:pPr>
        <w:pStyle w:val="BodyText"/>
        <w:spacing w:line="240" w:lineRule="auto" w:before="36"/>
        <w:ind w:left="623" w:right="108"/>
        <w:jc w:val="left"/>
      </w:pPr>
      <w:r>
        <w:rPr/>
        <w:t>5、信息披露</w:t>
      </w:r>
    </w:p>
    <w:p>
      <w:pPr>
        <w:pStyle w:val="BodyText"/>
        <w:spacing w:line="357" w:lineRule="auto" w:before="154"/>
        <w:ind w:right="237" w:firstLine="480"/>
        <w:jc w:val="both"/>
      </w:pPr>
      <w:r>
        <w:rPr>
          <w:spacing w:val="-6"/>
        </w:rPr>
        <w:t>（1）2008</w:t>
      </w:r>
      <w:r>
        <w:rPr>
          <w:spacing w:val="-54"/>
        </w:rPr>
        <w:t> </w:t>
      </w:r>
      <w:r>
        <w:rPr>
          <w:spacing w:val="-3"/>
        </w:rPr>
        <w:t>年，深圳证券交易所对中小企业板上市公司</w:t>
      </w:r>
      <w:r>
        <w:rPr>
          <w:spacing w:val="-54"/>
        </w:rPr>
        <w:t> </w:t>
      </w:r>
      <w:r>
        <w:rPr/>
        <w:t>2007</w:t>
      </w:r>
      <w:r>
        <w:rPr>
          <w:spacing w:val="-54"/>
        </w:rPr>
        <w:t> </w:t>
      </w:r>
      <w:r>
        <w:rPr/>
        <w:t>年度信息披露工作</w:t>
      </w:r>
      <w:r>
        <w:rPr/>
        <w:t> 进行了考核评比，经考核，公司获“优秀”评级。</w:t>
      </w:r>
    </w:p>
    <w:p>
      <w:pPr>
        <w:pStyle w:val="BodyText"/>
        <w:spacing w:line="357" w:lineRule="auto" w:before="36"/>
        <w:ind w:right="218" w:firstLine="480"/>
        <w:jc w:val="both"/>
      </w:pPr>
      <w:r>
        <w:rPr>
          <w:spacing w:val="2"/>
        </w:rPr>
        <w:t>（2）报告期内公司严格按照《信息披露管理办法》等相关规定，履行相关信</w:t>
      </w:r>
      <w:r>
        <w:rPr>
          <w:spacing w:val="3"/>
        </w:rPr>
        <w:t> </w:t>
      </w:r>
      <w:r>
        <w:rPr/>
        <w:t>息披露文件的编制、传递、审核和披露程序，保证信息披露的真实、准确、完整、</w:t>
      </w:r>
      <w:r>
        <w:rPr/>
        <w:t> 及时、公平。</w:t>
      </w:r>
    </w:p>
    <w:p>
      <w:pPr>
        <w:pStyle w:val="BodyText"/>
        <w:spacing w:line="357" w:lineRule="auto" w:before="36"/>
        <w:ind w:right="232" w:firstLine="480"/>
        <w:jc w:val="both"/>
      </w:pPr>
      <w:r>
        <w:rPr>
          <w:spacing w:val="2"/>
        </w:rPr>
        <w:t>（3）通过对相关法律法规的深入学习、理解，以及与与深圳证券交易所经常</w:t>
      </w:r>
      <w:r>
        <w:rPr>
          <w:spacing w:val="3"/>
        </w:rPr>
        <w:t> </w:t>
      </w:r>
      <w:r>
        <w:rPr>
          <w:spacing w:val="-1"/>
        </w:rPr>
        <w:t>性联系和沟通的进一步加强，公司将不断适应新的信息披露要求，进一步提高公司</w:t>
      </w:r>
      <w:r>
        <w:rPr>
          <w:spacing w:val="-104"/>
        </w:rPr>
        <w:t> </w:t>
      </w:r>
      <w:r>
        <w:rPr>
          <w:spacing w:val="-104"/>
        </w:rPr>
      </w:r>
      <w:r>
        <w:rPr/>
        <w:t>透明度以及信息披露质量。</w:t>
      </w:r>
    </w:p>
    <w:p>
      <w:pPr>
        <w:spacing w:line="240" w:lineRule="auto" w:before="5"/>
        <w:rPr>
          <w:rFonts w:ascii="宋体" w:hAnsi="宋体" w:cs="宋体" w:eastAsia="宋体" w:hint="default"/>
          <w:sz w:val="34"/>
          <w:szCs w:val="34"/>
        </w:rPr>
      </w:pPr>
    </w:p>
    <w:p>
      <w:pPr>
        <w:pStyle w:val="BodyText"/>
        <w:spacing w:line="240" w:lineRule="auto"/>
        <w:ind w:left="623" w:right="108"/>
        <w:jc w:val="left"/>
      </w:pPr>
      <w:r>
        <w:rPr/>
        <w:t>九、其他报告事项</w:t>
      </w:r>
    </w:p>
    <w:p>
      <w:pPr>
        <w:pStyle w:val="BodyText"/>
        <w:spacing w:line="357" w:lineRule="auto" w:before="154"/>
        <w:ind w:left="623" w:right="108"/>
        <w:jc w:val="left"/>
        <w:rPr>
          <w:rFonts w:ascii="Times New Roman" w:hAnsi="Times New Roman" w:cs="Times New Roman" w:eastAsia="Times New Roman" w:hint="default"/>
        </w:rPr>
      </w:pPr>
      <w:r>
        <w:rPr/>
        <w:t>（一）注册会计师对公司控股股东及其他关联方占用资金情况的说明： 普华永道中天会计师事务所有限公司出具了普华永道中天特审字</w:t>
      </w:r>
      <w:r>
        <w:rPr>
          <w:rFonts w:ascii="Times New Roman" w:hAnsi="Times New Roman" w:cs="Times New Roman" w:eastAsia="Times New Roman" w:hint="default"/>
        </w:rPr>
        <w:t>(2009)</w:t>
      </w:r>
      <w:r>
        <w:rPr/>
        <w:t>第</w:t>
      </w:r>
      <w:r>
        <w:rPr>
          <w:spacing w:val="27"/>
        </w:rPr>
        <w:t> </w:t>
      </w:r>
      <w:r>
        <w:rPr>
          <w:rFonts w:ascii="Times New Roman" w:hAnsi="Times New Roman" w:cs="Times New Roman" w:eastAsia="Times New Roman" w:hint="default"/>
        </w:rPr>
        <w:t>194</w:t>
      </w:r>
    </w:p>
    <w:p>
      <w:pPr>
        <w:pStyle w:val="BodyText"/>
        <w:spacing w:line="240" w:lineRule="auto" w:before="5"/>
        <w:ind w:right="0"/>
        <w:jc w:val="both"/>
      </w:pPr>
      <w:r>
        <w:rPr>
          <w:spacing w:val="-20"/>
        </w:rPr>
        <w:t>号</w:t>
      </w:r>
      <w:r>
        <w:rPr/>
        <w:t>《关于苏宁电器股份有限公司控股股东及其他关联方占用资金情况的专项说明</w:t>
      </w:r>
      <w:r>
        <w:rPr>
          <w:spacing w:val="-120"/>
        </w:rPr>
        <w:t>》</w:t>
      </w:r>
      <w:r>
        <w:rPr/>
        <w:t>。</w:t>
      </w:r>
    </w:p>
    <w:p>
      <w:pPr>
        <w:pStyle w:val="BodyText"/>
        <w:spacing w:line="357" w:lineRule="auto" w:before="154"/>
        <w:ind w:left="623" w:right="227"/>
        <w:jc w:val="left"/>
      </w:pPr>
      <w:r>
        <w:rPr/>
        <w:t>（二）公司独立董事对公司与关联方资金往来对外担保情况的专项说明： 根据中国证监会证监发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54"/>
        </w:rPr>
        <w:t> </w:t>
      </w:r>
      <w:r>
        <w:rPr>
          <w:spacing w:val="-3"/>
        </w:rPr>
        <w:t>号《关于规范上市公司与关联方资金往来及上</w:t>
      </w:r>
    </w:p>
    <w:p>
      <w:pPr>
        <w:pStyle w:val="BodyText"/>
        <w:spacing w:line="357" w:lineRule="auto" w:before="5"/>
        <w:ind w:left="144" w:right="234"/>
        <w:jc w:val="both"/>
      </w:pPr>
      <w:r>
        <w:rPr>
          <w:spacing w:val="-2"/>
        </w:rPr>
        <w:t>市公司对外担保若干问题的通知》、深圳证券交易所《股票上市规则》和中国证监</w:t>
      </w:r>
      <w:r>
        <w:rPr>
          <w:spacing w:val="-94"/>
        </w:rPr>
        <w:t> </w:t>
      </w:r>
      <w:r>
        <w:rPr>
          <w:spacing w:val="-94"/>
        </w:rPr>
      </w:r>
      <w:r>
        <w:rPr/>
        <w:t>会江苏监管局苏证监公司字〔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号《关于规范独立董事对于担保事项专项说</w:t>
      </w:r>
    </w:p>
    <w:p>
      <w:pPr>
        <w:spacing w:after="0" w:line="357" w:lineRule="auto"/>
        <w:jc w:val="both"/>
        <w:sectPr>
          <w:pgSz w:w="11910" w:h="16840"/>
          <w:pgMar w:header="826" w:footer="900" w:top="1100" w:bottom="1100" w:left="1500" w:right="1400"/>
        </w:sectPr>
      </w:pPr>
    </w:p>
    <w:p>
      <w:pPr>
        <w:pStyle w:val="BodyText"/>
        <w:spacing w:line="357" w:lineRule="auto" w:before="106"/>
        <w:ind w:left="144" w:right="136"/>
        <w:jc w:val="both"/>
      </w:pPr>
      <w:r>
        <w:rPr>
          <w:spacing w:val="-1"/>
        </w:rPr>
        <w:t>明和独立意见的通知》的要求，公司独立董事本着对公司、全体股东及投资者负责</w:t>
      </w:r>
      <w:r>
        <w:rPr>
          <w:spacing w:val="-102"/>
        </w:rPr>
        <w:t> </w:t>
      </w:r>
      <w:r>
        <w:rPr>
          <w:spacing w:val="-102"/>
        </w:rPr>
      </w:r>
      <w:r>
        <w:rPr>
          <w:spacing w:val="-1"/>
        </w:rPr>
        <w:t>的态度，对公司与关联方的资金往来和对外担保情况进行了仔细的核查，并发表以</w:t>
      </w:r>
      <w:r>
        <w:rPr>
          <w:spacing w:val="-104"/>
        </w:rPr>
        <w:t> </w:t>
      </w:r>
      <w:r>
        <w:rPr>
          <w:spacing w:val="-104"/>
        </w:rPr>
      </w:r>
      <w:r>
        <w:rPr/>
        <w:t>下独立意见：</w:t>
      </w:r>
    </w:p>
    <w:p>
      <w:pPr>
        <w:pStyle w:val="BodyText"/>
        <w:spacing w:line="348" w:lineRule="auto" w:before="36"/>
        <w:ind w:right="132" w:firstLine="480"/>
        <w:jc w:val="both"/>
      </w:pPr>
      <w:r>
        <w:rPr>
          <w:rFonts w:ascii="Times New Roman" w:hAnsi="Times New Roman" w:cs="Times New Roman" w:eastAsia="Times New Roman" w:hint="default"/>
          <w:spacing w:val="2"/>
        </w:rPr>
        <w:t>1</w:t>
      </w:r>
      <w:r>
        <w:rPr>
          <w:spacing w:val="2"/>
        </w:rPr>
        <w:t>、公司与控股股东及其他关联方发生的资金往来均属于经营性资金往来，均</w:t>
      </w:r>
      <w:r>
        <w:rPr>
          <w:spacing w:val="3"/>
        </w:rPr>
        <w:t> </w:t>
      </w:r>
      <w:r>
        <w:rPr>
          <w:spacing w:val="-7"/>
        </w:rPr>
        <w:t>根据公司《章程》、《关联交易决策制度》等制度规定履行了相关审批程序，且信息</w:t>
      </w:r>
      <w:r>
        <w:rPr/>
        <w:t> 披露符合规范性要求，不存在应披露而未披露的资金往来、资金占用事项。</w:t>
      </w:r>
    </w:p>
    <w:p>
      <w:pPr>
        <w:pStyle w:val="BodyText"/>
        <w:spacing w:line="338" w:lineRule="auto" w:before="46"/>
        <w:ind w:right="132" w:firstLine="480"/>
        <w:jc w:val="both"/>
      </w:pPr>
      <w:r>
        <w:rPr>
          <w:rFonts w:ascii="Times New Roman" w:hAnsi="Times New Roman" w:cs="Times New Roman" w:eastAsia="Times New Roman" w:hint="default"/>
          <w:spacing w:val="2"/>
        </w:rPr>
        <w:t>2</w:t>
      </w:r>
      <w:r>
        <w:rPr>
          <w:spacing w:val="2"/>
        </w:rPr>
        <w:t>、公司与控股股东及其他关联方不存在非经营性资金往来的情况，亦不存在</w:t>
      </w:r>
      <w:r>
        <w:rPr>
          <w:spacing w:val="3"/>
        </w:rPr>
        <w:t> </w:t>
      </w:r>
      <w:r>
        <w:rPr/>
        <w:t>控股股东及其他关联方以其他方式变相资金占用的情形。</w:t>
      </w:r>
    </w:p>
    <w:p>
      <w:pPr>
        <w:pStyle w:val="BodyText"/>
        <w:spacing w:line="338" w:lineRule="auto" w:before="55"/>
        <w:ind w:right="132" w:firstLine="480"/>
        <w:jc w:val="both"/>
      </w:pPr>
      <w:r>
        <w:rPr>
          <w:rFonts w:ascii="Times New Roman" w:hAnsi="Times New Roman" w:cs="Times New Roman" w:eastAsia="Times New Roman" w:hint="default"/>
          <w:spacing w:val="2"/>
        </w:rPr>
        <w:t>3</w:t>
      </w:r>
      <w:r>
        <w:rPr>
          <w:spacing w:val="2"/>
        </w:rPr>
        <w:t>、公司已建立了较为健全的防范大股东及其他关联方资金占用的内部控制制</w:t>
      </w:r>
      <w:r>
        <w:rPr>
          <w:spacing w:val="3"/>
        </w:rPr>
        <w:t> </w:t>
      </w:r>
      <w:r>
        <w:rPr/>
        <w:t>度，并且建立了</w:t>
      </w:r>
      <w:r>
        <w:rPr>
          <w:rFonts w:ascii="Times New Roman" w:hAnsi="Times New Roman" w:cs="Times New Roman" w:eastAsia="Times New Roman" w:hint="default"/>
        </w:rPr>
        <w:t>“</w:t>
      </w:r>
      <w:r>
        <w:rPr/>
        <w:t>占用即冻结</w:t>
      </w:r>
      <w:r>
        <w:rPr>
          <w:rFonts w:ascii="Times New Roman" w:hAnsi="Times New Roman" w:cs="Times New Roman" w:eastAsia="Times New Roman" w:hint="default"/>
        </w:rPr>
        <w:t>”</w:t>
      </w:r>
      <w:r>
        <w:rPr/>
        <w:t>机制，能够有效防止大股东及其他关联方占用公司资 金、侵害公司利益，维护中小股东利益。</w:t>
      </w:r>
    </w:p>
    <w:p>
      <w:pPr>
        <w:pStyle w:val="BodyText"/>
        <w:spacing w:line="338" w:lineRule="auto" w:before="55"/>
        <w:ind w:right="132" w:firstLine="480"/>
        <w:jc w:val="both"/>
      </w:pPr>
      <w:r>
        <w:rPr>
          <w:rFonts w:ascii="Times New Roman" w:hAnsi="Times New Roman" w:cs="Times New Roman" w:eastAsia="Times New Roman" w:hint="default"/>
          <w:spacing w:val="2"/>
        </w:rPr>
        <w:t>4</w:t>
      </w:r>
      <w:r>
        <w:rPr>
          <w:spacing w:val="2"/>
        </w:rPr>
        <w:t>、公司不存在为控股股东及其关联方提供担保的情况，也不存在直接或间接</w:t>
      </w:r>
      <w:r>
        <w:rPr>
          <w:spacing w:val="3"/>
        </w:rPr>
        <w:t> </w:t>
      </w:r>
      <w:r>
        <w:rPr/>
        <w:t>为资产负债率超过</w:t>
      </w:r>
      <w:r>
        <w:rPr>
          <w:spacing w:val="-60"/>
        </w:rPr>
        <w:t> </w:t>
      </w:r>
      <w:r>
        <w:rPr>
          <w:rFonts w:ascii="Times New Roman" w:hAnsi="Times New Roman" w:cs="Times New Roman" w:eastAsia="Times New Roman" w:hint="default"/>
        </w:rPr>
        <w:t>70</w:t>
      </w:r>
      <w:r>
        <w:rPr/>
        <w:t>％的被担保对象提供担保的情况；</w:t>
      </w:r>
    </w:p>
    <w:p>
      <w:pPr>
        <w:pStyle w:val="BodyText"/>
        <w:spacing w:line="240" w:lineRule="auto" w:before="27"/>
        <w:ind w:left="623" w:right="101"/>
        <w:jc w:val="left"/>
      </w:pPr>
      <w:r>
        <w:rPr/>
        <w:t>截至</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日，公司实际为控股子公司提供的尚未履行完毕的担保</w:t>
      </w:r>
    </w:p>
    <w:p>
      <w:pPr>
        <w:pStyle w:val="BodyText"/>
        <w:spacing w:line="338" w:lineRule="auto" w:before="135"/>
        <w:ind w:right="136"/>
        <w:jc w:val="both"/>
      </w:pPr>
      <w:r>
        <w:rPr/>
        <w:t>总额为</w:t>
      </w:r>
      <w:r>
        <w:rPr>
          <w:spacing w:val="-62"/>
        </w:rPr>
        <w:t> </w:t>
      </w:r>
      <w:r>
        <w:rPr>
          <w:rFonts w:ascii="Times New Roman" w:hAnsi="Times New Roman" w:cs="Times New Roman" w:eastAsia="Times New Roman" w:hint="default"/>
        </w:rPr>
        <w:t>87,785</w:t>
      </w:r>
      <w:r>
        <w:rPr>
          <w:rFonts w:ascii="Times New Roman" w:hAnsi="Times New Roman" w:cs="Times New Roman" w:eastAsia="Times New Roman" w:hint="default"/>
          <w:spacing w:val="-2"/>
        </w:rPr>
        <w:t> </w:t>
      </w:r>
      <w:r>
        <w:rPr>
          <w:spacing w:val="-4"/>
        </w:rPr>
        <w:t>万元，占公司</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日经审计净资产的</w:t>
      </w:r>
      <w:r>
        <w:rPr>
          <w:spacing w:val="-62"/>
        </w:rPr>
        <w:t> </w:t>
      </w:r>
      <w:r>
        <w:rPr>
          <w:rFonts w:ascii="Times New Roman" w:hAnsi="Times New Roman" w:cs="Times New Roman" w:eastAsia="Times New Roman" w:hint="default"/>
        </w:rPr>
        <w:t>10.00%</w:t>
      </w:r>
      <w:r>
        <w:rPr/>
        <w:t>。不存在对 外担保总额超过净资产</w:t>
      </w:r>
      <w:r>
        <w:rPr>
          <w:spacing w:val="-94"/>
        </w:rPr>
        <w:t> </w:t>
      </w:r>
      <w:r>
        <w:rPr>
          <w:rFonts w:ascii="Times New Roman" w:hAnsi="Times New Roman" w:cs="Times New Roman" w:eastAsia="Times New Roman" w:hint="default"/>
        </w:rPr>
        <w:t>50%</w:t>
      </w:r>
      <w:r>
        <w:rPr/>
        <w:t>的情况，且所有担保均为对控股子公司的担保，被担保 方盈利状况良好。</w:t>
      </w:r>
    </w:p>
    <w:p>
      <w:pPr>
        <w:pStyle w:val="BodyText"/>
        <w:spacing w:line="352" w:lineRule="auto" w:before="55"/>
        <w:ind w:right="118" w:firstLine="480"/>
        <w:jc w:val="both"/>
      </w:pPr>
      <w:r>
        <w:rPr>
          <w:spacing w:val="-8"/>
        </w:rPr>
        <w:t>公司在实施上述担保时均已严格按照《公司法》、《上市规则》、公司《章程》</w:t>
      </w:r>
      <w:r>
        <w:rPr>
          <w:spacing w:val="3"/>
        </w:rPr>
        <w:t> </w:t>
      </w:r>
      <w:r>
        <w:rPr/>
        <w:t>的有关规定，执行对外担保的有关决策程序，履行对外担保情况的信息披露义务，</w:t>
      </w:r>
      <w:r>
        <w:rPr/>
        <w:t> 如实提供了公司全部对外担保事项，信息披露准确、完整，担保风险已充分揭示。 </w:t>
      </w:r>
      <w:r>
        <w:rPr>
          <w:spacing w:val="-1"/>
        </w:rPr>
        <w:t>公司不存在违规对外担保事项，能够严格控制对外担保的风险，没有明显迹象表明</w:t>
      </w:r>
      <w:r>
        <w:rPr>
          <w:spacing w:val="-104"/>
        </w:rPr>
        <w:t> </w:t>
      </w:r>
      <w:r>
        <w:rPr>
          <w:spacing w:val="-104"/>
        </w:rPr>
      </w:r>
      <w:r>
        <w:rPr/>
        <w:t>公司可能因对外担保承担连带清偿责任，不存在与“证监发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9"/>
        </w:rPr>
        <w:t> </w:t>
      </w:r>
      <w:r>
        <w:rPr>
          <w:spacing w:val="-19"/>
        </w:rPr>
        <w:t>号”文、“证</w:t>
      </w:r>
      <w:r>
        <w:rPr>
          <w:spacing w:val="-111"/>
        </w:rPr>
        <w:t> </w:t>
      </w:r>
      <w:r>
        <w:rPr>
          <w:spacing w:val="-111"/>
        </w:rPr>
      </w:r>
      <w:r>
        <w:rPr>
          <w:spacing w:val="-1"/>
        </w:rPr>
        <w:t>监发</w:t>
      </w:r>
      <w:r>
        <w:rPr>
          <w:rFonts w:ascii="Times New Roman" w:hAnsi="Times New Roman" w:cs="Times New Roman" w:eastAsia="Times New Roman" w:hint="default"/>
          <w:spacing w:val="-1"/>
        </w:rPr>
        <w:t>[2005]120</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6"/>
        </w:rPr>
        <w:t>号”文、《股票上市规则》规定相违背的情形。</w:t>
      </w:r>
    </w:p>
    <w:p>
      <w:pPr>
        <w:spacing w:after="0" w:line="352" w:lineRule="auto"/>
        <w:jc w:val="both"/>
        <w:sectPr>
          <w:pgSz w:w="11910" w:h="16840"/>
          <w:pgMar w:header="826" w:footer="900" w:top="1100" w:bottom="1100" w:left="1500" w:right="1500"/>
        </w:sectPr>
      </w:pPr>
    </w:p>
    <w:p>
      <w:pPr>
        <w:pStyle w:val="Heading1"/>
        <w:tabs>
          <w:tab w:pos="1662" w:val="left" w:leader="none"/>
        </w:tabs>
        <w:spacing w:line="240" w:lineRule="auto"/>
        <w:ind w:left="382" w:right="0"/>
        <w:jc w:val="center"/>
        <w:rPr>
          <w:b w:val="0"/>
          <w:bCs w:val="0"/>
        </w:rPr>
      </w:pPr>
      <w:bookmarkStart w:name="_TOC_250003" w:id="8"/>
      <w:r>
        <w:rPr>
          <w:w w:val="95"/>
        </w:rPr>
        <w:t>第八节</w:t>
        <w:tab/>
      </w:r>
      <w:r>
        <w:rPr/>
        <w:t>监事会报告</w:t>
      </w:r>
      <w:bookmarkEnd w:id="8"/>
      <w:r>
        <w:rPr>
          <w:b w:val="0"/>
          <w:bCs w:val="0"/>
        </w:rPr>
      </w:r>
    </w:p>
    <w:p>
      <w:pPr>
        <w:pStyle w:val="BodyText"/>
        <w:spacing w:line="240" w:lineRule="auto" w:before="217"/>
        <w:ind w:left="624" w:right="108"/>
        <w:jc w:val="left"/>
      </w:pPr>
      <w:r>
        <w:rPr/>
        <w:t>一、监事会会议情况</w:t>
      </w:r>
    </w:p>
    <w:p>
      <w:pPr>
        <w:pStyle w:val="BodyText"/>
        <w:spacing w:line="357" w:lineRule="auto" w:before="154"/>
        <w:ind w:left="144" w:right="108" w:firstLine="496"/>
        <w:jc w:val="left"/>
      </w:pPr>
      <w:r>
        <w:rPr/>
        <w:t>2008 </w:t>
      </w:r>
      <w:r>
        <w:rPr>
          <w:spacing w:val="-3"/>
        </w:rPr>
        <w:t>年，公司监事会认真履行了《公司法》</w:t>
      </w:r>
      <w:r>
        <w:rPr>
          <w:spacing w:val="-76"/>
        </w:rPr>
        <w:t> </w:t>
      </w:r>
      <w:r>
        <w:rPr>
          <w:spacing w:val="-4"/>
        </w:rPr>
        <w:t>、公司《章程》及其他各项法律、</w:t>
      </w:r>
      <w:r>
        <w:rPr>
          <w:spacing w:val="-1"/>
        </w:rPr>
        <w:t> </w:t>
      </w:r>
      <w:r>
        <w:rPr/>
        <w:t>法规的要求，依法独立行使职权，以保证公司经营的正常进行，维护投资者特别是</w:t>
      </w:r>
      <w:r>
        <w:rPr/>
        <w:t> 中小投资者的利益。报告期内，公司共召开六次监事会，具体内容如下：</w:t>
      </w:r>
    </w:p>
    <w:p>
      <w:pPr>
        <w:pStyle w:val="BodyText"/>
        <w:spacing w:line="240" w:lineRule="auto" w:before="36"/>
        <w:ind w:left="640" w:right="108"/>
        <w:jc w:val="left"/>
      </w:pPr>
      <w:r>
        <w:rPr/>
        <w:t>1、公司于</w:t>
      </w:r>
      <w:r>
        <w:rPr>
          <w:spacing w:val="1"/>
        </w:rPr>
        <w:t> </w:t>
      </w:r>
      <w:r>
        <w:rPr>
          <w:spacing w:val="27"/>
        </w:rPr>
        <w:t>2008年2月</w:t>
      </w:r>
      <w:r>
        <w:rPr>
          <w:spacing w:val="-56"/>
        </w:rPr>
        <w:t> </w:t>
      </w:r>
      <w:r>
        <w:rPr/>
        <w:t>28</w:t>
      </w:r>
      <w:r>
        <w:rPr>
          <w:spacing w:val="-56"/>
        </w:rPr>
        <w:t> </w:t>
      </w:r>
      <w:r>
        <w:rPr/>
        <w:t>日召开第三届监事会第五次会议，会议审议通过了</w:t>
      </w:r>
    </w:p>
    <w:p>
      <w:pPr>
        <w:pStyle w:val="BodyText"/>
        <w:spacing w:line="240" w:lineRule="auto" w:before="154"/>
        <w:ind w:left="144" w:right="0"/>
        <w:jc w:val="both"/>
      </w:pPr>
      <w:r>
        <w:rPr/>
        <w:t>《2007</w:t>
      </w:r>
      <w:r>
        <w:rPr>
          <w:spacing w:val="-20"/>
        </w:rPr>
        <w:t> </w:t>
      </w:r>
      <w:r>
        <w:rPr/>
        <w:t>年度监事会工作报告</w:t>
      </w:r>
      <w:r>
        <w:rPr>
          <w:spacing w:val="-120"/>
        </w:rPr>
        <w:t>》、</w:t>
      </w:r>
      <w:r>
        <w:rPr/>
        <w:t>《2007</w:t>
      </w:r>
      <w:r>
        <w:rPr>
          <w:spacing w:val="-60"/>
        </w:rPr>
        <w:t> </w:t>
      </w:r>
      <w:r>
        <w:rPr/>
        <w:t>年度财务决算报告</w:t>
      </w:r>
      <w:r>
        <w:rPr>
          <w:spacing w:val="-120"/>
        </w:rPr>
        <w:t>》、</w:t>
      </w:r>
      <w:r>
        <w:rPr/>
        <w:t>《2007</w:t>
      </w:r>
      <w:r>
        <w:rPr>
          <w:spacing w:val="-60"/>
        </w:rPr>
        <w:t> </w:t>
      </w:r>
      <w:r>
        <w:rPr/>
        <w:t>年年度报告》及</w:t>
      </w:r>
    </w:p>
    <w:p>
      <w:pPr>
        <w:pStyle w:val="BodyText"/>
        <w:spacing w:line="357" w:lineRule="auto" w:before="154"/>
        <w:ind w:right="230"/>
        <w:jc w:val="both"/>
      </w:pPr>
      <w:r>
        <w:rPr>
          <w:spacing w:val="1"/>
        </w:rPr>
        <w:t>《2007</w:t>
      </w:r>
      <w:r>
        <w:rPr/>
        <w:t> </w:t>
      </w:r>
      <w:r>
        <w:rPr>
          <w:spacing w:val="-13"/>
        </w:rPr>
        <w:t>年年度报告摘要》、《2007</w:t>
      </w:r>
      <w:r>
        <w:rPr>
          <w:spacing w:val="30"/>
        </w:rPr>
        <w:t> </w:t>
      </w:r>
      <w:r>
        <w:rPr>
          <w:spacing w:val="-6"/>
        </w:rPr>
        <w:t>年度利润分配预案》、《关于前期会计调整的议</w:t>
      </w:r>
      <w:r>
        <w:rPr>
          <w:spacing w:val="6"/>
        </w:rPr>
        <w:t> </w:t>
      </w:r>
      <w:r>
        <w:rPr>
          <w:spacing w:val="-40"/>
        </w:rPr>
        <w:t>案》、</w:t>
      </w:r>
      <w:r>
        <w:rPr>
          <w:spacing w:val="-79"/>
        </w:rPr>
        <w:t> </w:t>
      </w:r>
      <w:r>
        <w:rPr/>
        <w:t>《关于</w:t>
      </w:r>
      <w:r>
        <w:rPr>
          <w:spacing w:val="4"/>
        </w:rPr>
        <w:t> </w:t>
      </w:r>
      <w:r>
        <w:rPr/>
        <w:t>2007</w:t>
      </w:r>
      <w:r>
        <w:rPr>
          <w:spacing w:val="-58"/>
        </w:rPr>
        <w:t> </w:t>
      </w:r>
      <w:r>
        <w:rPr>
          <w:spacing w:val="-11"/>
        </w:rPr>
        <w:t>年募集资金年度使用情况的专项报告》、《关于公司</w:t>
      </w:r>
      <w:r>
        <w:rPr>
          <w:spacing w:val="-58"/>
        </w:rPr>
        <w:t> </w:t>
      </w:r>
      <w:r>
        <w:rPr/>
        <w:t>2007</w:t>
      </w:r>
      <w:r>
        <w:rPr>
          <w:spacing w:val="-58"/>
        </w:rPr>
        <w:t> </w:t>
      </w:r>
      <w:r>
        <w:rPr/>
        <w:t>年度关</w:t>
      </w:r>
      <w:r>
        <w:rPr/>
        <w:t> </w:t>
      </w:r>
      <w:r>
        <w:rPr>
          <w:spacing w:val="-8"/>
        </w:rPr>
        <w:t>联交易情况说明的议案》、《关于续聘会计师事务所的议案》，本次监事会决议公告</w:t>
      </w:r>
      <w:r>
        <w:rPr>
          <w:spacing w:val="-113"/>
        </w:rPr>
        <w:t> </w:t>
      </w:r>
      <w:r>
        <w:rPr>
          <w:spacing w:val="-113"/>
        </w:rPr>
      </w:r>
      <w:r>
        <w:rPr/>
        <w:t>刊登在 2008 年 2 月 29 </w:t>
      </w:r>
      <w:r>
        <w:rPr>
          <w:spacing w:val="-23"/>
        </w:rPr>
        <w:t>日的巨潮资讯网站、《证券时报》、《中国证券报》、《上海</w:t>
      </w:r>
      <w:r>
        <w:rPr/>
        <w:t> 证券报》和《证券日报》上；</w:t>
      </w:r>
    </w:p>
    <w:p>
      <w:pPr>
        <w:pStyle w:val="BodyText"/>
        <w:spacing w:line="357" w:lineRule="auto" w:before="36"/>
        <w:ind w:right="237" w:firstLine="496"/>
        <w:jc w:val="both"/>
      </w:pPr>
      <w:r>
        <w:rPr/>
        <w:t>2、公司于 2008 年 4 月 28</w:t>
      </w:r>
      <w:r>
        <w:rPr>
          <w:spacing w:val="-36"/>
        </w:rPr>
        <w:t> </w:t>
      </w:r>
      <w:r>
        <w:rPr/>
        <w:t>日召开第三届监事会第六次会议，会议审议通过</w:t>
      </w:r>
      <w:r>
        <w:rPr/>
        <w:t> 了《2008</w:t>
      </w:r>
      <w:r>
        <w:rPr>
          <w:spacing w:val="-35"/>
        </w:rPr>
        <w:t> </w:t>
      </w:r>
      <w:r>
        <w:rPr>
          <w:spacing w:val="-5"/>
        </w:rPr>
        <w:t>年第一季度报告》，本次监事会决议已提交深圳证券交易所备案；</w:t>
      </w:r>
    </w:p>
    <w:p>
      <w:pPr>
        <w:pStyle w:val="BodyText"/>
        <w:spacing w:line="240" w:lineRule="auto" w:before="36"/>
        <w:ind w:left="640" w:right="108"/>
        <w:jc w:val="left"/>
      </w:pPr>
      <w:r>
        <w:rPr/>
        <w:t>3、公司于 2008 年 7 月 28</w:t>
      </w:r>
      <w:r>
        <w:rPr>
          <w:spacing w:val="-36"/>
        </w:rPr>
        <w:t> </w:t>
      </w:r>
      <w:r>
        <w:rPr/>
        <w:t>日召开第三届监事会第七次会议，会议审议通过</w:t>
      </w:r>
    </w:p>
    <w:p>
      <w:pPr>
        <w:pStyle w:val="BodyText"/>
        <w:spacing w:line="240" w:lineRule="auto" w:before="154"/>
        <w:ind w:right="0"/>
        <w:jc w:val="both"/>
      </w:pPr>
      <w:r>
        <w:rPr/>
        <w:t>了《苏宁电器股份有限公司 2008</w:t>
      </w:r>
      <w:r>
        <w:rPr>
          <w:spacing w:val="-20"/>
        </w:rPr>
        <w:t> </w:t>
      </w:r>
      <w:r>
        <w:rPr/>
        <w:t>年股票期权激励计划（草案</w:t>
      </w:r>
      <w:r>
        <w:rPr>
          <w:spacing w:val="-120"/>
        </w:rPr>
        <w:t>）</w:t>
      </w:r>
      <w:r>
        <w:rPr/>
        <w:t>》及其摘要</w:t>
      </w:r>
      <w:r>
        <w:rPr>
          <w:spacing w:val="-120"/>
        </w:rPr>
        <w:t>、</w:t>
      </w:r>
      <w:r>
        <w:rPr/>
        <w:t>《苏宁</w:t>
      </w:r>
    </w:p>
    <w:p>
      <w:pPr>
        <w:pStyle w:val="BodyText"/>
        <w:spacing w:line="240" w:lineRule="auto" w:before="154"/>
        <w:ind w:right="0"/>
        <w:jc w:val="both"/>
      </w:pPr>
      <w:r>
        <w:rPr/>
        <w:t>电器股份有限公司</w:t>
      </w:r>
      <w:r>
        <w:rPr>
          <w:spacing w:val="-60"/>
        </w:rPr>
        <w:t> </w:t>
      </w:r>
      <w:r>
        <w:rPr/>
        <w:t>2008</w:t>
      </w:r>
      <w:r>
        <w:rPr>
          <w:spacing w:val="-60"/>
        </w:rPr>
        <w:t> </w:t>
      </w:r>
      <w:r>
        <w:rPr/>
        <w:t>年股票期权激励计</w:t>
      </w:r>
      <w:r>
        <w:rPr>
          <w:spacing w:val="-6"/>
        </w:rPr>
        <w:t>划</w:t>
      </w:r>
      <w:r>
        <w:rPr/>
        <w:t>（草案</w:t>
      </w:r>
      <w:r>
        <w:rPr>
          <w:spacing w:val="-120"/>
        </w:rPr>
        <w:t>）</w:t>
      </w:r>
      <w:r>
        <w:rPr>
          <w:spacing w:val="-8"/>
        </w:rPr>
        <w:t>》</w:t>
      </w:r>
      <w:r>
        <w:rPr/>
        <w:t>确定的激励对象名单</w:t>
      </w:r>
      <w:r>
        <w:rPr>
          <w:spacing w:val="-6"/>
        </w:rPr>
        <w:t>，</w:t>
      </w:r>
      <w:r>
        <w:rPr/>
        <w:t>本次</w:t>
      </w:r>
    </w:p>
    <w:p>
      <w:pPr>
        <w:pStyle w:val="BodyText"/>
        <w:spacing w:line="357" w:lineRule="auto" w:before="154"/>
        <w:ind w:right="237"/>
        <w:jc w:val="both"/>
      </w:pPr>
      <w:r>
        <w:rPr/>
        <w:t>监事会决议公告刊登在 2008 年 7 月 29</w:t>
      </w:r>
      <w:r>
        <w:rPr>
          <w:spacing w:val="-20"/>
        </w:rPr>
        <w:t> </w:t>
      </w:r>
      <w:r>
        <w:rPr/>
        <w:t>日的巨潮资讯网站</w:t>
      </w:r>
      <w:r>
        <w:rPr>
          <w:spacing w:val="-120"/>
        </w:rPr>
        <w:t>、</w:t>
      </w:r>
      <w:r>
        <w:rPr/>
        <w:t>《证券时报</w:t>
      </w:r>
      <w:r>
        <w:rPr>
          <w:spacing w:val="-120"/>
        </w:rPr>
        <w:t>》、</w:t>
      </w:r>
      <w:r>
        <w:rPr/>
        <w:t>《中国</w:t>
      </w:r>
      <w:r>
        <w:rPr/>
        <w:t> 证券报</w:t>
      </w:r>
      <w:r>
        <w:rPr>
          <w:spacing w:val="-120"/>
        </w:rPr>
        <w:t>》、</w:t>
      </w:r>
      <w:r>
        <w:rPr/>
        <w:t>《上海证券报》和《证券日报》上；</w:t>
      </w:r>
    </w:p>
    <w:p>
      <w:pPr>
        <w:pStyle w:val="BodyText"/>
        <w:spacing w:line="357" w:lineRule="auto" w:before="36"/>
        <w:ind w:right="234" w:firstLine="496"/>
        <w:jc w:val="both"/>
      </w:pPr>
      <w:r>
        <w:rPr/>
        <w:t>4、公司于 2008 年 8 月 22</w:t>
      </w:r>
      <w:r>
        <w:rPr>
          <w:spacing w:val="-36"/>
        </w:rPr>
        <w:t> </w:t>
      </w:r>
      <w:r>
        <w:rPr/>
        <w:t>日召开第三届监事会第八次会议，会议审议通过</w:t>
      </w:r>
      <w:r>
        <w:rPr/>
        <w:t> </w:t>
      </w:r>
      <w:r>
        <w:rPr>
          <w:spacing w:val="-2"/>
        </w:rPr>
        <w:t>了《关于以募集资金置换预先已投入募投项目的自筹资金的议案》，本次监事会决</w:t>
      </w:r>
      <w:r>
        <w:rPr>
          <w:spacing w:val="-89"/>
        </w:rPr>
        <w:t> </w:t>
      </w:r>
      <w:r>
        <w:rPr>
          <w:spacing w:val="-89"/>
        </w:rPr>
      </w:r>
      <w:r>
        <w:rPr/>
        <w:t>议公告刊登在 2008 年</w:t>
      </w:r>
      <w:r>
        <w:rPr>
          <w:spacing w:val="-47"/>
        </w:rPr>
        <w:t> </w:t>
      </w:r>
      <w:r>
        <w:rPr/>
        <w:t>8 月</w:t>
      </w:r>
      <w:r>
        <w:rPr>
          <w:spacing w:val="-47"/>
        </w:rPr>
        <w:t> </w:t>
      </w:r>
      <w:r>
        <w:rPr/>
        <w:t>23</w:t>
      </w:r>
      <w:r>
        <w:rPr>
          <w:spacing w:val="-46"/>
        </w:rPr>
        <w:t> </w:t>
      </w:r>
      <w:r>
        <w:rPr>
          <w:spacing w:val="-20"/>
        </w:rPr>
        <w:t>日的巨潮资讯网站、《证券时报》、《中国证券报》、</w:t>
      </w:r>
    </w:p>
    <w:p>
      <w:pPr>
        <w:pStyle w:val="BodyText"/>
        <w:spacing w:line="240" w:lineRule="auto" w:before="36"/>
        <w:ind w:right="0"/>
        <w:jc w:val="both"/>
      </w:pPr>
      <w:r>
        <w:rPr/>
        <w:t>《上海证券报》和《证券日报》上；</w:t>
      </w:r>
    </w:p>
    <w:p>
      <w:pPr>
        <w:pStyle w:val="BodyText"/>
        <w:spacing w:line="357" w:lineRule="auto" w:before="154"/>
        <w:ind w:right="236" w:firstLine="496"/>
        <w:jc w:val="both"/>
      </w:pPr>
      <w:r>
        <w:rPr/>
        <w:t>5、公司于 2008 年 8 月 29</w:t>
      </w:r>
      <w:r>
        <w:rPr>
          <w:spacing w:val="-36"/>
        </w:rPr>
        <w:t> </w:t>
      </w:r>
      <w:r>
        <w:rPr/>
        <w:t>日召开第三届监事会第九次会议，会议审议通过</w:t>
      </w:r>
      <w:r>
        <w:rPr/>
        <w:t> 了《2008 年半年度报告》及《2008 </w:t>
      </w:r>
      <w:r>
        <w:rPr>
          <w:spacing w:val="-18"/>
        </w:rPr>
        <w:t>年半年度报告摘要》、《关于对</w:t>
      </w:r>
      <w:r>
        <w:rPr/>
        <w:t> 2007</w:t>
      </w:r>
      <w:r>
        <w:rPr>
          <w:spacing w:val="-7"/>
        </w:rPr>
        <w:t> </w:t>
      </w:r>
      <w:r>
        <w:rPr/>
        <w:t>年半年度</w:t>
      </w:r>
      <w:r>
        <w:rPr/>
        <w:t> </w:t>
      </w:r>
      <w:r>
        <w:rPr>
          <w:spacing w:val="-5"/>
        </w:rPr>
        <w:t>比较财务报表调整的议案》，本次监事会决议公告刊登在</w:t>
      </w:r>
      <w:r>
        <w:rPr/>
        <w:t> 2008 年 8 月 30</w:t>
      </w:r>
      <w:r>
        <w:rPr>
          <w:spacing w:val="-16"/>
        </w:rPr>
        <w:t> </w:t>
      </w:r>
      <w:r>
        <w:rPr/>
        <w:t>日的巨</w:t>
      </w:r>
      <w:r>
        <w:rPr/>
        <w:t> </w:t>
      </w:r>
      <w:r>
        <w:rPr>
          <w:spacing w:val="-17"/>
        </w:rPr>
        <w:t>潮资讯网站、《证券时报》、《中国证券报》、《上海证券报》和《证券日报》上；</w:t>
      </w:r>
    </w:p>
    <w:p>
      <w:pPr>
        <w:pStyle w:val="BodyText"/>
        <w:spacing w:line="357" w:lineRule="auto" w:before="36"/>
        <w:ind w:right="237" w:firstLine="496"/>
        <w:jc w:val="both"/>
      </w:pPr>
      <w:r>
        <w:rPr/>
        <w:t>6、公司于 2008</w:t>
      </w:r>
      <w:r>
        <w:rPr>
          <w:spacing w:val="-48"/>
        </w:rPr>
        <w:t> </w:t>
      </w:r>
      <w:r>
        <w:rPr/>
        <w:t>年 10</w:t>
      </w:r>
      <w:r>
        <w:rPr>
          <w:spacing w:val="-48"/>
        </w:rPr>
        <w:t> </w:t>
      </w:r>
      <w:r>
        <w:rPr/>
        <w:t>月 30</w:t>
      </w:r>
      <w:r>
        <w:rPr>
          <w:spacing w:val="-60"/>
        </w:rPr>
        <w:t> </w:t>
      </w:r>
      <w:r>
        <w:rPr/>
        <w:t>日召开第三届监事会第十次会议，会议审议通过</w:t>
      </w:r>
      <w:r>
        <w:rPr/>
        <w:t> 了《2008</w:t>
      </w:r>
      <w:r>
        <w:rPr>
          <w:spacing w:val="-35"/>
        </w:rPr>
        <w:t> </w:t>
      </w:r>
      <w:r>
        <w:rPr>
          <w:spacing w:val="-5"/>
        </w:rPr>
        <w:t>年第三季度报告》，本次监事会决议已提交深圳证券交易所备案。</w:t>
      </w:r>
    </w:p>
    <w:p>
      <w:pPr>
        <w:spacing w:after="0" w:line="357" w:lineRule="auto"/>
        <w:jc w:val="both"/>
        <w:sectPr>
          <w:pgSz w:w="11910" w:h="16840"/>
          <w:pgMar w:header="826" w:footer="900" w:top="1100" w:bottom="1100" w:left="1500" w:right="1400"/>
        </w:sectPr>
      </w:pPr>
    </w:p>
    <w:p>
      <w:pPr>
        <w:pStyle w:val="BodyText"/>
        <w:spacing w:line="357" w:lineRule="auto" w:before="106"/>
        <w:ind w:left="579" w:right="4264" w:firstLine="61"/>
        <w:jc w:val="left"/>
      </w:pPr>
      <w:r>
        <w:rPr/>
        <w:t>二、监事会对以下事项发表的独立意见 1、公司依法运作情况：</w:t>
      </w:r>
    </w:p>
    <w:p>
      <w:pPr>
        <w:pStyle w:val="BodyText"/>
        <w:spacing w:line="345" w:lineRule="auto" w:before="36"/>
        <w:ind w:left="144" w:right="108" w:firstLine="480"/>
        <w:jc w:val="left"/>
      </w:pPr>
      <w:r>
        <w:rPr>
          <w:spacing w:val="-9"/>
        </w:rPr>
        <w:t>根据《公司法》、《证券法》、公司《章程》等各项法律法规的要求，监事会通</w:t>
      </w:r>
      <w:r>
        <w:rPr>
          <w:spacing w:val="2"/>
        </w:rPr>
        <w:t> </w:t>
      </w:r>
      <w:r>
        <w:rPr/>
        <w:t>过召开六次会议，列席报告期内历次董事会会议，参加公司 2007</w:t>
      </w:r>
      <w:r>
        <w:rPr>
          <w:spacing w:val="-20"/>
        </w:rPr>
        <w:t> </w:t>
      </w:r>
      <w:r>
        <w:rPr/>
        <w:t>年第三次临时股</w:t>
      </w:r>
      <w:r>
        <w:rPr/>
        <w:t> 东大会、2007</w:t>
      </w:r>
      <w:r>
        <w:rPr>
          <w:spacing w:val="-47"/>
        </w:rPr>
        <w:t> </w:t>
      </w:r>
      <w:r>
        <w:rPr/>
        <w:t>年年度股东大会和</w:t>
      </w:r>
      <w:r>
        <w:rPr>
          <w:spacing w:val="-47"/>
        </w:rPr>
        <w:t> </w:t>
      </w:r>
      <w:r>
        <w:rPr/>
        <w:t>2008</w:t>
      </w:r>
      <w:r>
        <w:rPr>
          <w:spacing w:val="-47"/>
        </w:rPr>
        <w:t> </w:t>
      </w:r>
      <w:r>
        <w:rPr/>
        <w:t>年第一次临时股东大会，对公司经营运作的</w:t>
      </w:r>
      <w:r>
        <w:rPr/>
        <w:t> 情况进行了监督，认为 2008</w:t>
      </w:r>
      <w:r>
        <w:rPr>
          <w:spacing w:val="-20"/>
        </w:rPr>
        <w:t> </w:t>
      </w:r>
      <w:r>
        <w:rPr>
          <w:spacing w:val="-10"/>
        </w:rPr>
        <w:t>年度，公司所有重大决策程序符合《公司法》、《证券</w:t>
      </w:r>
      <w:r>
        <w:rPr/>
        <w:t> </w:t>
      </w:r>
      <w:r>
        <w:rPr>
          <w:spacing w:val="-2"/>
        </w:rPr>
        <w:t>法》、公司《章程》等规定规范运作，建立了较为完善的内部控制制度。信息披露</w:t>
      </w:r>
      <w:r>
        <w:rPr>
          <w:spacing w:val="-95"/>
        </w:rPr>
        <w:t> </w:t>
      </w:r>
      <w:r>
        <w:rPr>
          <w:spacing w:val="-95"/>
        </w:rPr>
      </w:r>
      <w:r>
        <w:rPr>
          <w:spacing w:val="-4"/>
        </w:rPr>
        <w:t>及时、准确。公司董事、高级管理人员在执行公司职务时，不存在违反法律、法规、</w:t>
      </w:r>
      <w:r>
        <w:rPr>
          <w:spacing w:val="-112"/>
        </w:rPr>
        <w:t> </w:t>
      </w:r>
      <w:r>
        <w:rPr>
          <w:spacing w:val="-112"/>
        </w:rPr>
      </w:r>
      <w:r>
        <w:rPr/>
        <w:t>公司《章程》或有损于公司和股东利益的行为。</w:t>
      </w:r>
    </w:p>
    <w:p>
      <w:pPr>
        <w:pStyle w:val="BodyText"/>
        <w:spacing w:line="240" w:lineRule="auto" w:before="32"/>
        <w:ind w:left="579" w:right="108"/>
        <w:jc w:val="left"/>
      </w:pPr>
      <w:r>
        <w:rPr/>
        <w:t>2、检查公司财务的情况：</w:t>
      </w:r>
    </w:p>
    <w:p>
      <w:pPr>
        <w:pStyle w:val="BodyText"/>
        <w:spacing w:line="357" w:lineRule="auto" w:before="154"/>
        <w:ind w:left="144" w:right="218" w:firstLine="496"/>
        <w:jc w:val="both"/>
      </w:pPr>
      <w:r>
        <w:rPr/>
        <w:t>监事会对公司 2008</w:t>
      </w:r>
      <w:r>
        <w:rPr>
          <w:spacing w:val="-36"/>
        </w:rPr>
        <w:t> </w:t>
      </w:r>
      <w:r>
        <w:rPr/>
        <w:t>年的财务状况、财务管理等进行了认真、细致的检查和审</w:t>
      </w:r>
      <w:r>
        <w:rPr/>
        <w:t> </w:t>
      </w:r>
      <w:r>
        <w:rPr>
          <w:spacing w:val="-7"/>
        </w:rPr>
        <w:t>核，检查认为：公司财务制度健全、运作规范，执行《会计法》、《企业会计准则》</w:t>
      </w:r>
      <w:r>
        <w:rPr>
          <w:spacing w:val="-101"/>
        </w:rPr>
        <w:t> </w:t>
      </w:r>
      <w:r>
        <w:rPr>
          <w:spacing w:val="-101"/>
        </w:rPr>
      </w:r>
      <w:r>
        <w:rPr>
          <w:spacing w:val="-1"/>
        </w:rPr>
        <w:t>等法律法规的情况良好。报告期内的财务报告真实、准确的反映了公司的财务状况</w:t>
      </w:r>
      <w:r>
        <w:rPr>
          <w:spacing w:val="-104"/>
        </w:rPr>
        <w:t> </w:t>
      </w:r>
      <w:r>
        <w:rPr>
          <w:spacing w:val="-104"/>
        </w:rPr>
      </w:r>
      <w:r>
        <w:rPr/>
        <w:t>和经营成果。公司 2008</w:t>
      </w:r>
      <w:r>
        <w:rPr>
          <w:spacing w:val="-20"/>
        </w:rPr>
        <w:t> </w:t>
      </w:r>
      <w:r>
        <w:rPr/>
        <w:t>年财务报告经普华永道中天会计师事务所有限公司出具了</w:t>
      </w:r>
      <w:r>
        <w:rPr/>
        <w:t> 无保留意见的审计报告。</w:t>
      </w:r>
    </w:p>
    <w:p>
      <w:pPr>
        <w:pStyle w:val="BodyText"/>
        <w:spacing w:line="357" w:lineRule="auto" w:before="36"/>
        <w:ind w:left="624" w:right="200" w:hanging="45"/>
        <w:jc w:val="left"/>
      </w:pPr>
      <w:r>
        <w:rPr/>
        <w:t>3、募集资金使用情况： 报告期内，公司募集资金的存放和使用管理严格遵循了《募集资金管理办法》</w:t>
      </w:r>
    </w:p>
    <w:p>
      <w:pPr>
        <w:pStyle w:val="BodyText"/>
        <w:spacing w:line="357" w:lineRule="auto" w:before="36"/>
        <w:ind w:left="579" w:right="201" w:hanging="436"/>
        <w:jc w:val="left"/>
      </w:pPr>
      <w:r>
        <w:rPr/>
        <w:t>的规定，募集资金实际投入项目与承诺投入项目一致，没有变更募集资金的投向。 4、公司收购、出售资产情况：</w:t>
      </w:r>
    </w:p>
    <w:p>
      <w:pPr>
        <w:pStyle w:val="BodyText"/>
        <w:spacing w:line="357" w:lineRule="auto" w:before="36"/>
        <w:ind w:left="144" w:right="236" w:firstLine="480"/>
        <w:jc w:val="both"/>
      </w:pPr>
      <w:r>
        <w:rPr/>
        <w:t>2008</w:t>
      </w:r>
      <w:r>
        <w:rPr>
          <w:spacing w:val="-47"/>
        </w:rPr>
        <w:t> </w:t>
      </w:r>
      <w:r>
        <w:rPr>
          <w:spacing w:val="-3"/>
        </w:rPr>
        <w:t>年公司不存在重大收购和出售资产的情况。所购置的物业，均为连锁店或</w:t>
      </w:r>
      <w:r>
        <w:rPr/>
        <w:t> </w:t>
      </w:r>
      <w:r>
        <w:rPr>
          <w:spacing w:val="-1"/>
        </w:rPr>
        <w:t>办公用房；所购置的土地，均为物流用地；上述资产购置行为，均与公司主营业务</w:t>
      </w:r>
      <w:r>
        <w:rPr>
          <w:spacing w:val="-104"/>
        </w:rPr>
        <w:t> </w:t>
      </w:r>
      <w:r>
        <w:rPr>
          <w:spacing w:val="-104"/>
        </w:rPr>
      </w:r>
      <w:r>
        <w:rPr>
          <w:spacing w:val="-1"/>
        </w:rPr>
        <w:t>配套相关，且遵循市场原则进行，交易价格合理，没有发现内幕交易及损害部分股</w:t>
      </w:r>
      <w:r>
        <w:rPr>
          <w:spacing w:val="-102"/>
        </w:rPr>
        <w:t> </w:t>
      </w:r>
      <w:r>
        <w:rPr>
          <w:spacing w:val="-102"/>
        </w:rPr>
      </w:r>
      <w:r>
        <w:rPr/>
        <w:t>东的权益或造成公司资产流失的情况。</w:t>
      </w:r>
    </w:p>
    <w:p>
      <w:pPr>
        <w:pStyle w:val="BodyText"/>
        <w:spacing w:line="240" w:lineRule="auto" w:before="36"/>
        <w:ind w:left="579" w:right="108"/>
        <w:jc w:val="left"/>
      </w:pPr>
      <w:r>
        <w:rPr/>
        <w:t>5、公司关联交易情况：</w:t>
      </w:r>
    </w:p>
    <w:p>
      <w:pPr>
        <w:pStyle w:val="BodyText"/>
        <w:spacing w:line="357" w:lineRule="auto" w:before="154"/>
        <w:ind w:left="144" w:right="237" w:firstLine="410"/>
        <w:jc w:val="both"/>
      </w:pPr>
      <w:r>
        <w:rPr/>
        <w:t>经对公司</w:t>
      </w:r>
      <w:r>
        <w:rPr>
          <w:spacing w:val="-55"/>
        </w:rPr>
        <w:t> </w:t>
      </w:r>
      <w:r>
        <w:rPr/>
        <w:t>2008</w:t>
      </w:r>
      <w:r>
        <w:rPr>
          <w:spacing w:val="-55"/>
        </w:rPr>
        <w:t> </w:t>
      </w:r>
      <w:r>
        <w:rPr/>
        <w:t>年度关联交易的核查，认为公司</w:t>
      </w:r>
      <w:r>
        <w:rPr>
          <w:spacing w:val="-55"/>
        </w:rPr>
        <w:t> </w:t>
      </w:r>
      <w:r>
        <w:rPr/>
        <w:t>2008</w:t>
      </w:r>
      <w:r>
        <w:rPr>
          <w:spacing w:val="-55"/>
        </w:rPr>
        <w:t> </w:t>
      </w:r>
      <w:r>
        <w:rPr/>
        <w:t>年关联交易遵循了客观、</w:t>
      </w:r>
      <w:r>
        <w:rPr>
          <w:spacing w:val="-1"/>
        </w:rPr>
        <w:t> </w:t>
      </w:r>
      <w:r>
        <w:rPr>
          <w:spacing w:val="-8"/>
        </w:rPr>
        <w:t>公正、公平的交易原则，根据市场原则进行，不存在任何内部交易，严格执行了《股</w:t>
      </w:r>
      <w:r>
        <w:rPr>
          <w:spacing w:val="-84"/>
        </w:rPr>
        <w:t> </w:t>
      </w:r>
      <w:r>
        <w:rPr>
          <w:spacing w:val="-84"/>
        </w:rPr>
      </w:r>
      <w:r>
        <w:rPr>
          <w:spacing w:val="-1"/>
        </w:rPr>
        <w:t>票上市规则》及《公司法》的各项规定，履行了相应的法定程序，并在关联方回避</w:t>
      </w:r>
      <w:r>
        <w:rPr>
          <w:spacing w:val="-104"/>
        </w:rPr>
        <w:t> </w:t>
      </w:r>
      <w:r>
        <w:rPr>
          <w:spacing w:val="-104"/>
        </w:rPr>
      </w:r>
      <w:r>
        <w:rPr/>
        <w:t>的情况下表决通过，因而没有损害到公司和其他关联方股东的利益。</w:t>
      </w:r>
    </w:p>
    <w:p>
      <w:pPr>
        <w:pStyle w:val="BodyText"/>
        <w:spacing w:line="240" w:lineRule="auto" w:before="36"/>
        <w:ind w:left="579" w:right="108"/>
        <w:jc w:val="left"/>
      </w:pPr>
      <w:r>
        <w:rPr/>
        <w:t>6、公司对外担保及股权、资产置换情况：</w:t>
      </w:r>
    </w:p>
    <w:p>
      <w:pPr>
        <w:pStyle w:val="BodyText"/>
        <w:spacing w:line="357" w:lineRule="auto" w:before="154"/>
        <w:ind w:left="144" w:right="237" w:firstLine="480"/>
        <w:jc w:val="both"/>
      </w:pPr>
      <w:r>
        <w:rPr/>
        <w:t>2008</w:t>
      </w:r>
      <w:r>
        <w:rPr>
          <w:spacing w:val="-47"/>
        </w:rPr>
        <w:t> </w:t>
      </w:r>
      <w:r>
        <w:rPr>
          <w:spacing w:val="-3"/>
        </w:rPr>
        <w:t>年度公司未发生违规对外担保，未发生债务重组、非货币性交易事项及资</w:t>
      </w:r>
      <w:r>
        <w:rPr/>
        <w:t> 产置换，也未发生其他损害公司股东利益或造成公司资产流失的情况。</w:t>
      </w:r>
    </w:p>
    <w:p>
      <w:pPr>
        <w:spacing w:after="0" w:line="357" w:lineRule="auto"/>
        <w:jc w:val="both"/>
        <w:sectPr>
          <w:pgSz w:w="11910" w:h="16840"/>
          <w:pgMar w:header="826" w:footer="900" w:top="1100" w:bottom="1100" w:left="1500" w:right="1400"/>
        </w:sectPr>
      </w:pPr>
    </w:p>
    <w:p>
      <w:pPr>
        <w:pStyle w:val="Heading1"/>
        <w:tabs>
          <w:tab w:pos="1824" w:val="left" w:leader="none"/>
        </w:tabs>
        <w:spacing w:line="240" w:lineRule="auto"/>
        <w:ind w:left="544" w:right="0"/>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217"/>
        <w:ind w:left="984" w:right="4040" w:hanging="360"/>
        <w:jc w:val="left"/>
      </w:pPr>
      <w:r>
        <w:rPr/>
        <w:t>一、公司应披露的重大诉讼、仲裁事项： 本年度公司无重大诉讼、仲裁事项。</w:t>
      </w:r>
    </w:p>
    <w:p>
      <w:pPr>
        <w:spacing w:line="240" w:lineRule="auto" w:before="0"/>
        <w:rPr>
          <w:rFonts w:ascii="宋体" w:hAnsi="宋体" w:cs="宋体" w:eastAsia="宋体" w:hint="default"/>
          <w:sz w:val="24"/>
          <w:szCs w:val="24"/>
        </w:rPr>
      </w:pPr>
    </w:p>
    <w:p>
      <w:pPr>
        <w:pStyle w:val="BodyText"/>
        <w:spacing w:line="357" w:lineRule="auto" w:before="190"/>
        <w:ind w:left="624" w:right="108"/>
        <w:jc w:val="left"/>
      </w:pPr>
      <w:r>
        <w:rPr/>
        <w:t>二、公司应披露的收购及出售资产、吸收合并事项： 公司控股子公司重庆渝宁苏宁电器有限公司于 2008 年 1 月 4</w:t>
      </w:r>
      <w:r>
        <w:rPr>
          <w:spacing w:val="-52"/>
        </w:rPr>
        <w:t> </w:t>
      </w:r>
      <w:r>
        <w:rPr/>
        <w:t>日与金融街重</w:t>
      </w:r>
    </w:p>
    <w:p>
      <w:pPr>
        <w:pStyle w:val="BodyText"/>
        <w:spacing w:line="357" w:lineRule="auto" w:before="36"/>
        <w:ind w:right="213"/>
        <w:jc w:val="both"/>
      </w:pPr>
      <w:r>
        <w:rPr>
          <w:spacing w:val="-2"/>
        </w:rPr>
        <w:t>庆置业有限公司签署《嘉年华大厦房屋购买协议》，向其购买位于重庆市江北区观</w:t>
      </w:r>
      <w:r>
        <w:rPr>
          <w:spacing w:val="-95"/>
        </w:rPr>
        <w:t> </w:t>
      </w:r>
      <w:r>
        <w:rPr>
          <w:spacing w:val="-95"/>
        </w:rPr>
      </w:r>
      <w:r>
        <w:rPr>
          <w:spacing w:val="20"/>
        </w:rPr>
        <w:t>音桥步行街 </w:t>
      </w:r>
      <w:r>
        <w:rPr/>
        <w:t>9</w:t>
      </w:r>
      <w:r>
        <w:rPr>
          <w:spacing w:val="57"/>
        </w:rPr>
        <w:t> </w:t>
      </w:r>
      <w:r>
        <w:rPr>
          <w:spacing w:val="24"/>
        </w:rPr>
        <w:t>号的嘉年华大厦负一层局部至地上七层房屋，建筑面积共计</w:t>
      </w:r>
      <w:r>
        <w:rPr>
          <w:spacing w:val="-95"/>
        </w:rPr>
        <w:t> </w:t>
      </w:r>
      <w:r>
        <w:rPr/>
      </w:r>
    </w:p>
    <w:p>
      <w:pPr>
        <w:pStyle w:val="BodyText"/>
        <w:spacing w:line="357" w:lineRule="auto" w:before="36"/>
        <w:ind w:right="236"/>
        <w:jc w:val="both"/>
      </w:pPr>
      <w:r>
        <w:rPr/>
        <w:t>26,580.84</w:t>
      </w:r>
      <w:r>
        <w:rPr>
          <w:spacing w:val="-59"/>
        </w:rPr>
        <w:t> </w:t>
      </w:r>
      <w:r>
        <w:rPr>
          <w:spacing w:val="-1"/>
        </w:rPr>
        <w:t>平方米，购买总价为</w:t>
      </w:r>
      <w:r>
        <w:rPr>
          <w:spacing w:val="3"/>
        </w:rPr>
        <w:t> </w:t>
      </w:r>
      <w:r>
        <w:rPr/>
        <w:t>32,238.924</w:t>
      </w:r>
      <w:r>
        <w:rPr>
          <w:spacing w:val="-59"/>
        </w:rPr>
        <w:t> </w:t>
      </w:r>
      <w:r>
        <w:rPr>
          <w:spacing w:val="-8"/>
        </w:rPr>
        <w:t>万元（不含税）。该交易不构成关联交</w:t>
      </w:r>
      <w:r>
        <w:rPr/>
        <w:t> </w:t>
      </w:r>
      <w:r>
        <w:rPr>
          <w:spacing w:val="-1"/>
        </w:rPr>
        <w:t>易。且该资产购置行为能够为进一步扩大公司在重庆地区的连锁网络规模，推进旗</w:t>
      </w:r>
      <w:r>
        <w:rPr>
          <w:spacing w:val="-104"/>
        </w:rPr>
        <w:t> </w:t>
      </w:r>
      <w:r>
        <w:rPr>
          <w:spacing w:val="-104"/>
        </w:rPr>
      </w:r>
      <w:r>
        <w:rPr/>
        <w:t>舰店、购置店战略，控制租赁风险。</w:t>
      </w:r>
    </w:p>
    <w:p>
      <w:pPr>
        <w:pStyle w:val="BodyText"/>
        <w:spacing w:line="240" w:lineRule="auto" w:before="36"/>
        <w:ind w:left="623" w:right="108"/>
        <w:jc w:val="left"/>
      </w:pPr>
      <w:r>
        <w:rPr/>
        <w:t>上述事项经公司第三届董事会第十次会议审议通过。 公司已于 2008 年 1</w:t>
      </w:r>
      <w:r>
        <w:rPr>
          <w:spacing w:val="-20"/>
        </w:rPr>
        <w:t> </w:t>
      </w:r>
      <w:r>
        <w:rPr/>
        <w:t>月</w:t>
      </w:r>
    </w:p>
    <w:p>
      <w:pPr>
        <w:pStyle w:val="BodyText"/>
        <w:spacing w:line="357" w:lineRule="auto" w:before="154"/>
        <w:ind w:left="144" w:right="235"/>
        <w:jc w:val="both"/>
      </w:pPr>
      <w:r>
        <w:rPr/>
        <w:t>8</w:t>
      </w:r>
      <w:r>
        <w:rPr>
          <w:spacing w:val="2"/>
        </w:rPr>
        <w:t> 日在巨潮资讯网</w:t>
      </w:r>
      <w:r>
        <w:rPr>
          <w:spacing w:val="-118"/>
        </w:rPr>
        <w:t>、</w:t>
      </w:r>
      <w:r>
        <w:rPr>
          <w:spacing w:val="2"/>
        </w:rPr>
        <w:t>《证券时报</w:t>
      </w:r>
      <w:r>
        <w:rPr>
          <w:spacing w:val="-118"/>
        </w:rPr>
        <w:t>》</w:t>
      </w:r>
      <w:r>
        <w:rPr>
          <w:spacing w:val="-117"/>
        </w:rPr>
        <w:t>、</w:t>
      </w:r>
      <w:r>
        <w:rPr>
          <w:spacing w:val="2"/>
        </w:rPr>
        <w:t>《中国证券报</w:t>
      </w:r>
      <w:r>
        <w:rPr>
          <w:spacing w:val="-118"/>
        </w:rPr>
        <w:t>》、</w:t>
      </w:r>
      <w:r>
        <w:rPr>
          <w:spacing w:val="2"/>
        </w:rPr>
        <w:t>《上海证券报</w:t>
      </w:r>
      <w:r>
        <w:rPr>
          <w:spacing w:val="-118"/>
        </w:rPr>
        <w:t>》、</w:t>
      </w:r>
      <w:r>
        <w:rPr>
          <w:spacing w:val="2"/>
        </w:rPr>
        <w:t>《证券日报》上</w:t>
      </w:r>
      <w:r>
        <w:rPr>
          <w:spacing w:val="2"/>
        </w:rPr>
        <w:t> </w:t>
      </w:r>
      <w:r>
        <w:rPr/>
        <w:t>刊登《关于购买资产的公告</w:t>
      </w:r>
      <w:r>
        <w:rPr>
          <w:spacing w:val="-120"/>
        </w:rPr>
        <w:t>》</w:t>
      </w:r>
      <w:r>
        <w:rPr/>
        <w:t>，对上述购买资产事项进行公告。</w:t>
      </w:r>
    </w:p>
    <w:p>
      <w:pPr>
        <w:pStyle w:val="BodyText"/>
        <w:spacing w:line="240" w:lineRule="auto" w:before="36"/>
        <w:ind w:left="624" w:right="108"/>
        <w:jc w:val="left"/>
      </w:pPr>
      <w:r>
        <w:rPr/>
        <w:t>除以上购置事项以外，不存在其他应披露的收购及出售资产、吸收合并事项。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ind w:left="624" w:right="5840"/>
        <w:jc w:val="left"/>
      </w:pPr>
      <w:r>
        <w:rPr/>
        <w:t>三、重大关联交易 1、经营性日常关联交易</w:t>
      </w:r>
    </w:p>
    <w:p>
      <w:pPr>
        <w:pStyle w:val="BodyText"/>
        <w:spacing w:line="357" w:lineRule="auto" w:before="36"/>
        <w:ind w:left="144" w:right="100" w:firstLine="480"/>
        <w:jc w:val="left"/>
      </w:pPr>
      <w:r>
        <w:rPr>
          <w:spacing w:val="-4"/>
        </w:rPr>
        <w:t>根据公司与江苏苏宁银河国际购物广场有限公司（以下简称“苏宁银河百货”）</w:t>
      </w:r>
      <w:r>
        <w:rPr/>
        <w:t> </w:t>
      </w:r>
      <w:r>
        <w:rPr>
          <w:spacing w:val="-2"/>
        </w:rPr>
        <w:t>签订的《合作协议》，公司组织南京地区连锁店联合苏宁银河百货共同举办“满就</w:t>
      </w:r>
      <w:r>
        <w:rPr>
          <w:spacing w:val="-96"/>
        </w:rPr>
        <w:t> </w:t>
      </w:r>
      <w:r>
        <w:rPr>
          <w:spacing w:val="-96"/>
        </w:rPr>
      </w:r>
      <w:r>
        <w:rPr>
          <w:spacing w:val="-4"/>
        </w:rPr>
        <w:t>送购物券”的促销活动，顾客在双方购物所获赠的购物券均可充当同等金额的现金，</w:t>
      </w:r>
      <w:r>
        <w:rPr>
          <w:spacing w:val="-112"/>
        </w:rPr>
        <w:t> </w:t>
      </w:r>
      <w:r>
        <w:rPr>
          <w:spacing w:val="-112"/>
        </w:rPr>
      </w:r>
      <w:r>
        <w:rPr/>
        <w:t>可在本公司南京地区各连锁店及苏宁银河百货消费时通用，双方于每月 25</w:t>
      </w:r>
      <w:r>
        <w:rPr>
          <w:spacing w:val="-20"/>
        </w:rPr>
        <w:t> </w:t>
      </w:r>
      <w:r>
        <w:rPr/>
        <w:t>日定期</w:t>
      </w:r>
      <w:r>
        <w:rPr/>
        <w:t> 进行购物券的核对结算并开具相应票据。</w:t>
      </w:r>
    </w:p>
    <w:p>
      <w:pPr>
        <w:pStyle w:val="BodyText"/>
        <w:spacing w:line="357" w:lineRule="auto" w:before="36"/>
        <w:ind w:left="144" w:right="219" w:firstLine="480"/>
        <w:jc w:val="left"/>
      </w:pPr>
      <w:r>
        <w:rPr/>
        <w:t>2008</w:t>
      </w:r>
      <w:r>
        <w:rPr>
          <w:spacing w:val="-73"/>
        </w:rPr>
        <w:t> </w:t>
      </w:r>
      <w:r>
        <w:rPr/>
        <w:t>年度，顾客持公司购物券在苏宁银河国际使用的金额约为</w:t>
      </w:r>
      <w:r>
        <w:rPr>
          <w:spacing w:val="-73"/>
        </w:rPr>
        <w:t> </w:t>
      </w:r>
      <w:r>
        <w:rPr/>
        <w:t>101</w:t>
      </w:r>
      <w:r>
        <w:rPr>
          <w:spacing w:val="-73"/>
        </w:rPr>
        <w:t> </w:t>
      </w:r>
      <w:r>
        <w:rPr>
          <w:spacing w:val="-8"/>
        </w:rPr>
        <w:t>万元，未发</w:t>
      </w:r>
      <w:r>
        <w:rPr/>
        <w:t> 生顾客持苏宁银河国际购物广场购物券在公司消费的情况。</w:t>
      </w:r>
    </w:p>
    <w:p>
      <w:pPr>
        <w:pStyle w:val="BodyText"/>
        <w:spacing w:line="240" w:lineRule="auto" w:before="36"/>
        <w:ind w:left="624" w:right="108"/>
        <w:jc w:val="left"/>
      </w:pPr>
      <w:r>
        <w:rPr/>
        <w:t>2、商标使用许可协议</w:t>
      </w:r>
    </w:p>
    <w:p>
      <w:pPr>
        <w:pStyle w:val="BodyText"/>
        <w:spacing w:line="357" w:lineRule="auto" w:before="154"/>
        <w:ind w:left="144" w:right="218" w:firstLine="480"/>
        <w:jc w:val="both"/>
      </w:pPr>
      <w:r>
        <w:rPr/>
        <w:t>2008 年 3 月 20 日，经公司 2007</w:t>
      </w:r>
      <w:r>
        <w:rPr>
          <w:spacing w:val="-20"/>
        </w:rPr>
        <w:t> </w:t>
      </w:r>
      <w:r>
        <w:rPr/>
        <w:t>年年度股东大会审议通过了关于《商标使</w:t>
      </w:r>
      <w:r>
        <w:rPr/>
        <w:t> </w:t>
      </w:r>
      <w:r>
        <w:rPr>
          <w:spacing w:val="-2"/>
        </w:rPr>
        <w:t>用许可的议案》，同意许可公司第二大发起人股东江苏苏宁电器集团有限公司及其</w:t>
      </w:r>
      <w:r>
        <w:rPr>
          <w:spacing w:val="-96"/>
        </w:rPr>
        <w:t> </w:t>
      </w:r>
      <w:r>
        <w:rPr>
          <w:spacing w:val="-96"/>
        </w:rPr>
      </w:r>
      <w:r>
        <w:rPr>
          <w:spacing w:val="-1"/>
        </w:rPr>
        <w:t>全资、控股子公司和具有实际控制权的公司使用公司已注册的部分“蘇寧”系列注</w:t>
      </w:r>
      <w:r>
        <w:rPr>
          <w:spacing w:val="-102"/>
        </w:rPr>
        <w:t> </w:t>
      </w:r>
      <w:r>
        <w:rPr>
          <w:spacing w:val="-102"/>
        </w:rPr>
      </w:r>
      <w:r>
        <w:rPr/>
        <w:t>册商标以及部分“苏宁”及“NS”组合的系列注册商标。若在后期的经营活动中，</w:t>
      </w:r>
    </w:p>
    <w:p>
      <w:pPr>
        <w:spacing w:after="0" w:line="357" w:lineRule="auto"/>
        <w:jc w:val="both"/>
        <w:sectPr>
          <w:footerReference w:type="default" r:id="rId15"/>
          <w:pgSz w:w="11910" w:h="16840"/>
          <w:pgMar w:footer="894" w:header="826" w:top="1100" w:bottom="1080" w:left="1500" w:right="1400"/>
          <w:pgNumType w:start="74"/>
        </w:sectPr>
      </w:pPr>
    </w:p>
    <w:p>
      <w:pPr>
        <w:pStyle w:val="BodyText"/>
        <w:spacing w:line="357" w:lineRule="auto" w:before="106"/>
        <w:ind w:left="144" w:right="236"/>
        <w:jc w:val="left"/>
      </w:pPr>
      <w:r>
        <w:rPr>
          <w:spacing w:val="-1"/>
        </w:rPr>
        <w:t>江苏苏宁电器集团有限公司及其全资、控股子公司和具有实际控制权的公司需要使</w:t>
      </w:r>
      <w:r>
        <w:rPr>
          <w:spacing w:val="-104"/>
        </w:rPr>
        <w:t> </w:t>
      </w:r>
      <w:r>
        <w:rPr>
          <w:spacing w:val="-104"/>
        </w:rPr>
      </w:r>
      <w:r>
        <w:rPr/>
        <w:t>用许可使用商标的延申商标，公司可代为申请注册，并许可其使用。</w:t>
      </w:r>
    </w:p>
    <w:p>
      <w:pPr>
        <w:pStyle w:val="BodyText"/>
        <w:spacing w:line="357" w:lineRule="auto" w:before="36"/>
        <w:ind w:left="144" w:right="108" w:firstLine="410"/>
        <w:jc w:val="left"/>
      </w:pPr>
      <w:r>
        <w:rPr/>
        <w:t>本报告期内，江苏苏宁电器集团有限公司向公司支付了 2008－2009</w:t>
      </w:r>
      <w:r>
        <w:rPr>
          <w:spacing w:val="19"/>
        </w:rPr>
        <w:t> </w:t>
      </w:r>
      <w:r>
        <w:rPr/>
        <w:t>年度商标</w:t>
      </w:r>
      <w:r>
        <w:rPr/>
        <w:t> 使用许可费 100 万元。</w:t>
      </w:r>
    </w:p>
    <w:p>
      <w:pPr>
        <w:pStyle w:val="BodyText"/>
        <w:spacing w:line="240" w:lineRule="auto" w:before="36"/>
        <w:ind w:left="502" w:right="108"/>
        <w:jc w:val="left"/>
      </w:pPr>
      <w:r>
        <w:rPr/>
        <w:t>3、租赁协议</w:t>
      </w:r>
    </w:p>
    <w:p>
      <w:pPr>
        <w:pStyle w:val="BodyText"/>
        <w:spacing w:line="357" w:lineRule="auto" w:before="154"/>
        <w:ind w:right="221" w:firstLine="408"/>
        <w:jc w:val="left"/>
      </w:pPr>
      <w:r>
        <w:rPr>
          <w:spacing w:val="24"/>
        </w:rPr>
        <w:t>（1）2002年3月</w:t>
      </w:r>
      <w:r>
        <w:rPr/>
        <w:t> 28</w:t>
      </w:r>
      <w:r>
        <w:rPr>
          <w:spacing w:val="-66"/>
        </w:rPr>
        <w:t> </w:t>
      </w:r>
      <w:r>
        <w:rPr>
          <w:spacing w:val="-5"/>
        </w:rPr>
        <w:t>日，公司签署《房屋租赁合同》，承租江苏苏宁电器集团</w:t>
      </w:r>
      <w:r>
        <w:rPr/>
        <w:t> 有限公司位于南京市淮海路</w:t>
      </w:r>
      <w:r>
        <w:rPr>
          <w:spacing w:val="-65"/>
        </w:rPr>
        <w:t> </w:t>
      </w:r>
      <w:r>
        <w:rPr/>
        <w:t>68</w:t>
      </w:r>
      <w:r>
        <w:rPr>
          <w:spacing w:val="-65"/>
        </w:rPr>
        <w:t> </w:t>
      </w:r>
      <w:r>
        <w:rPr/>
        <w:t>号的苏宁电器大厦，租赁面积约为</w:t>
      </w:r>
      <w:r>
        <w:rPr>
          <w:spacing w:val="-65"/>
        </w:rPr>
        <w:t> </w:t>
      </w:r>
      <w:r>
        <w:rPr/>
        <w:t>12,000</w:t>
      </w:r>
      <w:r>
        <w:rPr>
          <w:spacing w:val="-65"/>
        </w:rPr>
        <w:t> </w:t>
      </w:r>
      <w:r>
        <w:rPr/>
        <w:t>平方米做</w:t>
      </w:r>
    </w:p>
    <w:p>
      <w:pPr>
        <w:pStyle w:val="BodyText"/>
        <w:spacing w:line="357" w:lineRule="auto" w:before="36"/>
        <w:ind w:left="144" w:right="224"/>
        <w:jc w:val="left"/>
      </w:pPr>
      <w:r>
        <w:rPr/>
        <w:t>为商场和办公用房，租赁期自</w:t>
      </w:r>
      <w:r>
        <w:rPr>
          <w:spacing w:val="-63"/>
        </w:rPr>
        <w:t> </w:t>
      </w:r>
      <w:r>
        <w:rPr>
          <w:spacing w:val="30"/>
        </w:rPr>
        <w:t>2002年1月1</w:t>
      </w:r>
      <w:r>
        <w:rPr>
          <w:spacing w:val="-63"/>
        </w:rPr>
        <w:t> </w:t>
      </w:r>
      <w:r>
        <w:rPr/>
        <w:t>日起至</w:t>
      </w:r>
      <w:r>
        <w:rPr>
          <w:spacing w:val="-63"/>
        </w:rPr>
        <w:t> </w:t>
      </w:r>
      <w:r>
        <w:rPr/>
        <w:t>2011</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日止，第一年</w:t>
      </w:r>
      <w:r>
        <w:rPr/>
        <w:t> 租金为人民币</w:t>
      </w:r>
      <w:r>
        <w:rPr>
          <w:spacing w:val="-60"/>
        </w:rPr>
        <w:t> </w:t>
      </w:r>
      <w:r>
        <w:rPr/>
        <w:t>1,200</w:t>
      </w:r>
      <w:r>
        <w:rPr>
          <w:spacing w:val="-60"/>
        </w:rPr>
        <w:t> </w:t>
      </w:r>
      <w:r>
        <w:rPr/>
        <w:t>万元人民币，以后每年递增</w:t>
      </w:r>
      <w:r>
        <w:rPr>
          <w:spacing w:val="-60"/>
        </w:rPr>
        <w:t> </w:t>
      </w:r>
      <w:r>
        <w:rPr/>
        <w:t>2%。</w:t>
      </w:r>
    </w:p>
    <w:p>
      <w:pPr>
        <w:pStyle w:val="BodyText"/>
        <w:spacing w:line="240" w:lineRule="auto" w:before="36"/>
        <w:ind w:left="554" w:right="108"/>
        <w:jc w:val="left"/>
      </w:pPr>
      <w:r>
        <w:rPr/>
        <w:t>（2）2004</w:t>
      </w:r>
      <w:r>
        <w:rPr>
          <w:spacing w:val="-39"/>
        </w:rPr>
        <w:t> </w:t>
      </w:r>
      <w:r>
        <w:rPr/>
        <w:t>年</w:t>
      </w:r>
      <w:r>
        <w:rPr>
          <w:spacing w:val="-39"/>
        </w:rPr>
        <w:t> </w:t>
      </w:r>
      <w:r>
        <w:rPr/>
        <w:t>8</w:t>
      </w:r>
      <w:r>
        <w:rPr>
          <w:spacing w:val="-39"/>
        </w:rPr>
        <w:t> </w:t>
      </w:r>
      <w:r>
        <w:rPr/>
        <w:t>月</w:t>
      </w:r>
      <w:r>
        <w:rPr>
          <w:spacing w:val="-38"/>
        </w:rPr>
        <w:t> </w:t>
      </w:r>
      <w:r>
        <w:rPr/>
        <w:t>2</w:t>
      </w:r>
      <w:r>
        <w:rPr>
          <w:spacing w:val="-38"/>
        </w:rPr>
        <w:t> </w:t>
      </w:r>
      <w:r>
        <w:rPr/>
        <w:t>日，公司与江苏苏宁电器集团有限公司签订了《房屋租赁</w:t>
      </w:r>
    </w:p>
    <w:p>
      <w:pPr>
        <w:pStyle w:val="BodyText"/>
        <w:spacing w:line="240" w:lineRule="auto" w:before="154"/>
        <w:ind w:left="144" w:right="108"/>
        <w:jc w:val="left"/>
      </w:pPr>
      <w:r>
        <w:rPr/>
        <w:t>补充协议</w:t>
      </w:r>
      <w:r>
        <w:rPr>
          <w:spacing w:val="-120"/>
        </w:rPr>
        <w:t>》</w:t>
      </w:r>
      <w:r>
        <w:rPr/>
        <w:t>，增租苏宁电器大厦共计</w:t>
      </w:r>
      <w:r>
        <w:rPr>
          <w:spacing w:val="-52"/>
        </w:rPr>
        <w:t> </w:t>
      </w:r>
      <w:r>
        <w:rPr/>
        <w:t>4,400</w:t>
      </w:r>
      <w:r>
        <w:rPr>
          <w:spacing w:val="-52"/>
        </w:rPr>
        <w:t> </w:t>
      </w:r>
      <w:r>
        <w:rPr/>
        <w:t>平方米的建筑面积，租赁期自</w:t>
      </w:r>
      <w:r>
        <w:rPr>
          <w:spacing w:val="-52"/>
        </w:rPr>
        <w:t> </w:t>
      </w:r>
      <w:r>
        <w:rPr/>
        <w:t>2004</w:t>
      </w:r>
      <w:r>
        <w:rPr>
          <w:spacing w:val="-52"/>
        </w:rPr>
        <w:t> </w:t>
      </w:r>
      <w:r>
        <w:rPr/>
        <w:t>年</w:t>
      </w:r>
      <w:r>
        <w:rPr>
          <w:spacing w:val="-52"/>
        </w:rPr>
        <w:t> </w:t>
      </w:r>
      <w:r>
        <w:rPr/>
        <w:t>9</w:t>
      </w:r>
    </w:p>
    <w:p>
      <w:pPr>
        <w:pStyle w:val="BodyText"/>
        <w:spacing w:line="357" w:lineRule="auto" w:before="154"/>
        <w:ind w:left="144" w:right="228"/>
        <w:jc w:val="left"/>
      </w:pPr>
      <w:r>
        <w:rPr/>
        <w:t>月</w:t>
      </w:r>
      <w:r>
        <w:rPr>
          <w:spacing w:val="-51"/>
        </w:rPr>
        <w:t> </w:t>
      </w:r>
      <w:r>
        <w:rPr/>
        <w:t>1</w:t>
      </w:r>
      <w:r>
        <w:rPr>
          <w:spacing w:val="-51"/>
        </w:rPr>
        <w:t> </w:t>
      </w:r>
      <w:r>
        <w:rPr/>
        <w:t>日起至</w:t>
      </w:r>
      <w:r>
        <w:rPr>
          <w:spacing w:val="-51"/>
        </w:rPr>
        <w:t> </w:t>
      </w:r>
      <w:r>
        <w:rPr/>
        <w:t>2011</w:t>
      </w:r>
      <w:r>
        <w:rPr>
          <w:spacing w:val="-51"/>
        </w:rPr>
        <w:t> </w:t>
      </w:r>
      <w:r>
        <w:rPr/>
        <w:t>年</w:t>
      </w:r>
      <w:r>
        <w:rPr>
          <w:spacing w:val="-50"/>
        </w:rPr>
        <w:t> </w:t>
      </w:r>
      <w:r>
        <w:rPr/>
        <w:t>12</w:t>
      </w:r>
      <w:r>
        <w:rPr>
          <w:spacing w:val="-51"/>
        </w:rPr>
        <w:t> </w:t>
      </w:r>
      <w:r>
        <w:rPr/>
        <w:t>月</w:t>
      </w:r>
      <w:r>
        <w:rPr>
          <w:spacing w:val="-51"/>
        </w:rPr>
        <w:t> </w:t>
      </w:r>
      <w:r>
        <w:rPr/>
        <w:t>31</w:t>
      </w:r>
      <w:r>
        <w:rPr>
          <w:spacing w:val="-51"/>
        </w:rPr>
        <w:t> </w:t>
      </w:r>
      <w:r>
        <w:rPr/>
        <w:t>日止，第一年租金总额人民币为</w:t>
      </w:r>
      <w:r>
        <w:rPr>
          <w:spacing w:val="-51"/>
        </w:rPr>
        <w:t> </w:t>
      </w:r>
      <w:r>
        <w:rPr/>
        <w:t>320</w:t>
      </w:r>
      <w:r>
        <w:rPr>
          <w:spacing w:val="-50"/>
        </w:rPr>
        <w:t> </w:t>
      </w:r>
      <w:r>
        <w:rPr/>
        <w:t>万元，以后每年</w:t>
      </w:r>
      <w:r>
        <w:rPr/>
        <w:t> 递增</w:t>
      </w:r>
      <w:r>
        <w:rPr>
          <w:spacing w:val="-60"/>
        </w:rPr>
        <w:t> </w:t>
      </w:r>
      <w:r>
        <w:rPr/>
        <w:t>2%。</w:t>
      </w:r>
    </w:p>
    <w:p>
      <w:pPr>
        <w:pStyle w:val="BodyText"/>
        <w:spacing w:line="357" w:lineRule="auto" w:before="36"/>
        <w:ind w:left="144" w:right="220" w:firstLine="410"/>
        <w:jc w:val="left"/>
      </w:pPr>
      <w:r>
        <w:rPr>
          <w:spacing w:val="17"/>
        </w:rPr>
        <w:t>（3）2008年6月</w:t>
      </w:r>
      <w:r>
        <w:rPr>
          <w:spacing w:val="-61"/>
        </w:rPr>
        <w:t> </w:t>
      </w:r>
      <w:r>
        <w:rPr/>
        <w:t>19</w:t>
      </w:r>
      <w:r>
        <w:rPr>
          <w:spacing w:val="-61"/>
        </w:rPr>
        <w:t> </w:t>
      </w:r>
      <w:r>
        <w:rPr/>
        <w:t>日，公司与江苏苏宁电器集团有限公司签订了《房屋租赁</w:t>
      </w:r>
      <w:r>
        <w:rPr/>
        <w:t> </w:t>
      </w:r>
      <w:r>
        <w:rPr>
          <w:spacing w:val="-7"/>
        </w:rPr>
        <w:t>协议》，租赁苏宁电器大厦建筑面积共计约</w:t>
      </w:r>
      <w:r>
        <w:rPr>
          <w:spacing w:val="-59"/>
        </w:rPr>
        <w:t> </w:t>
      </w:r>
      <w:r>
        <w:rPr/>
        <w:t>1,300</w:t>
      </w:r>
      <w:r>
        <w:rPr>
          <w:spacing w:val="-59"/>
        </w:rPr>
        <w:t> </w:t>
      </w:r>
      <w:r>
        <w:rPr>
          <w:spacing w:val="-1"/>
        </w:rPr>
        <w:t>平方米的房屋。租赁期自</w:t>
      </w:r>
      <w:r>
        <w:rPr>
          <w:spacing w:val="-59"/>
        </w:rPr>
        <w:t> </w:t>
      </w:r>
      <w:r>
        <w:rPr/>
        <w:t>2008</w:t>
      </w:r>
      <w:r>
        <w:rPr>
          <w:spacing w:val="-59"/>
        </w:rPr>
        <w:t> </w:t>
      </w:r>
      <w:r>
        <w:rPr/>
        <w:t>年</w:t>
      </w:r>
    </w:p>
    <w:p>
      <w:pPr>
        <w:pStyle w:val="BodyText"/>
        <w:spacing w:line="240" w:lineRule="auto" w:before="36"/>
        <w:ind w:left="144" w:right="108"/>
        <w:jc w:val="left"/>
      </w:pPr>
      <w:r>
        <w:rPr>
          <w:spacing w:val="49"/>
        </w:rPr>
        <w:t>7月1</w:t>
      </w:r>
      <w:r>
        <w:rPr>
          <w:spacing w:val="-46"/>
        </w:rPr>
        <w:t> </w:t>
      </w:r>
      <w:r>
        <w:rPr/>
        <w:t>日起至</w:t>
      </w:r>
      <w:r>
        <w:rPr>
          <w:spacing w:val="-46"/>
        </w:rPr>
        <w:t> </w:t>
      </w:r>
      <w:r>
        <w:rPr/>
        <w:t>2011</w:t>
      </w:r>
      <w:r>
        <w:rPr>
          <w:spacing w:val="-46"/>
        </w:rPr>
        <w:t> </w:t>
      </w:r>
      <w:r>
        <w:rPr/>
        <w:t>年</w:t>
      </w:r>
      <w:r>
        <w:rPr>
          <w:spacing w:val="-45"/>
        </w:rPr>
        <w:t> </w:t>
      </w:r>
      <w:r>
        <w:rPr/>
        <w:t>12</w:t>
      </w:r>
      <w:r>
        <w:rPr>
          <w:spacing w:val="-46"/>
        </w:rPr>
        <w:t> </w:t>
      </w:r>
      <w:r>
        <w:rPr/>
        <w:t>月</w:t>
      </w:r>
      <w:r>
        <w:rPr>
          <w:spacing w:val="-46"/>
        </w:rPr>
        <w:t> </w:t>
      </w:r>
      <w:r>
        <w:rPr/>
        <w:t>31</w:t>
      </w:r>
      <w:r>
        <w:rPr>
          <w:spacing w:val="-46"/>
        </w:rPr>
        <w:t> </w:t>
      </w:r>
      <w:r>
        <w:rPr/>
        <w:t>日止，第一年租金总额为</w:t>
      </w:r>
      <w:r>
        <w:rPr>
          <w:spacing w:val="-46"/>
        </w:rPr>
        <w:t> </w:t>
      </w:r>
      <w:r>
        <w:rPr/>
        <w:t>110</w:t>
      </w:r>
      <w:r>
        <w:rPr>
          <w:spacing w:val="-46"/>
        </w:rPr>
        <w:t> </w:t>
      </w:r>
      <w:r>
        <w:rPr/>
        <w:t>万元，以后每年递增</w:t>
      </w:r>
    </w:p>
    <w:p>
      <w:pPr>
        <w:pStyle w:val="BodyText"/>
        <w:spacing w:line="240" w:lineRule="auto" w:before="154"/>
        <w:ind w:left="144" w:right="108"/>
        <w:jc w:val="left"/>
      </w:pPr>
      <w:r>
        <w:rPr/>
        <w:t>2%。</w:t>
      </w:r>
    </w:p>
    <w:p>
      <w:pPr>
        <w:pStyle w:val="BodyText"/>
        <w:spacing w:line="357" w:lineRule="auto" w:before="154"/>
        <w:ind w:right="218" w:firstLine="410"/>
        <w:jc w:val="both"/>
      </w:pPr>
      <w:r>
        <w:rPr/>
        <w:t>（4）2007</w:t>
      </w:r>
      <w:r>
        <w:rPr>
          <w:spacing w:val="-39"/>
        </w:rPr>
        <w:t> </w:t>
      </w:r>
      <w:r>
        <w:rPr/>
        <w:t>年</w:t>
      </w:r>
      <w:r>
        <w:rPr>
          <w:spacing w:val="-39"/>
        </w:rPr>
        <w:t> </w:t>
      </w:r>
      <w:r>
        <w:rPr/>
        <w:t>12</w:t>
      </w:r>
      <w:r>
        <w:rPr>
          <w:spacing w:val="-39"/>
        </w:rPr>
        <w:t> </w:t>
      </w:r>
      <w:r>
        <w:rPr/>
        <w:t>月</w:t>
      </w:r>
      <w:r>
        <w:rPr>
          <w:spacing w:val="-38"/>
        </w:rPr>
        <w:t> </w:t>
      </w:r>
      <w:r>
        <w:rPr/>
        <w:t>4</w:t>
      </w:r>
      <w:r>
        <w:rPr>
          <w:spacing w:val="-38"/>
        </w:rPr>
        <w:t> </w:t>
      </w:r>
      <w:r>
        <w:rPr/>
        <w:t>日，公司与银河国际签订《备忘录</w:t>
      </w:r>
      <w:r>
        <w:rPr>
          <w:spacing w:val="-120"/>
        </w:rPr>
        <w:t>》</w:t>
      </w:r>
      <w:r>
        <w:rPr/>
        <w:t>，一致同意因经营需</w:t>
      </w:r>
      <w:r>
        <w:rPr/>
        <w:t> 要提前解除</w:t>
      </w:r>
      <w:r>
        <w:rPr>
          <w:spacing w:val="-44"/>
        </w:rPr>
        <w:t> </w:t>
      </w:r>
      <w:r>
        <w:rPr/>
        <w:t>200</w:t>
      </w:r>
      <w:r>
        <w:rPr>
          <w:spacing w:val="76"/>
        </w:rPr>
        <w:t>7年4</w:t>
      </w:r>
      <w:r>
        <w:rPr/>
        <w:t>月</w:t>
      </w:r>
      <w:r>
        <w:rPr>
          <w:spacing w:val="-44"/>
        </w:rPr>
        <w:t> </w:t>
      </w:r>
      <w:r>
        <w:rPr/>
        <w:t>18</w:t>
      </w:r>
      <w:r>
        <w:rPr>
          <w:spacing w:val="-44"/>
        </w:rPr>
        <w:t> </w:t>
      </w:r>
      <w:r>
        <w:rPr/>
        <w:t>日签订的《房屋租赁合同</w:t>
      </w:r>
      <w:r>
        <w:rPr>
          <w:spacing w:val="-120"/>
        </w:rPr>
        <w:t>》</w:t>
      </w:r>
      <w:r>
        <w:rPr/>
        <w:t>，双方另行签订了新的《房</w:t>
      </w:r>
      <w:r>
        <w:rPr/>
        <w:t> 屋租赁合同</w:t>
      </w:r>
      <w:r>
        <w:rPr>
          <w:spacing w:val="-120"/>
        </w:rPr>
        <w:t>》</w:t>
      </w:r>
      <w:r>
        <w:rPr/>
        <w:t>，承租银河国际位于南京市中山南路</w:t>
      </w:r>
      <w:r>
        <w:rPr>
          <w:spacing w:val="-60"/>
        </w:rPr>
        <w:t> </w:t>
      </w:r>
      <w:r>
        <w:rPr/>
        <w:t>49</w:t>
      </w:r>
      <w:r>
        <w:rPr>
          <w:spacing w:val="-60"/>
        </w:rPr>
        <w:t> </w:t>
      </w:r>
      <w:r>
        <w:rPr/>
        <w:t>号商贸世纪大厦一层至五层，</w:t>
      </w:r>
    </w:p>
    <w:p>
      <w:pPr>
        <w:pStyle w:val="BodyText"/>
        <w:spacing w:line="240" w:lineRule="auto" w:before="36"/>
        <w:ind w:right="108"/>
        <w:jc w:val="left"/>
      </w:pPr>
      <w:r>
        <w:rPr/>
        <w:t>共约</w:t>
      </w:r>
      <w:r>
        <w:rPr>
          <w:spacing w:val="-48"/>
        </w:rPr>
        <w:t> </w:t>
      </w:r>
      <w:r>
        <w:rPr/>
        <w:t>17,600</w:t>
      </w:r>
      <w:r>
        <w:rPr>
          <w:spacing w:val="-48"/>
        </w:rPr>
        <w:t> </w:t>
      </w:r>
      <w:r>
        <w:rPr/>
        <w:t>平方米的面积，租赁期限自</w:t>
      </w:r>
      <w:r>
        <w:rPr>
          <w:spacing w:val="-48"/>
        </w:rPr>
        <w:t> </w:t>
      </w:r>
      <w:r>
        <w:rPr/>
        <w:t>2007</w:t>
      </w:r>
      <w:r>
        <w:rPr>
          <w:spacing w:val="-48"/>
        </w:rPr>
        <w:t> </w:t>
      </w:r>
      <w:r>
        <w:rPr/>
        <w:t>年</w:t>
      </w:r>
      <w:r>
        <w:rPr>
          <w:spacing w:val="-48"/>
        </w:rPr>
        <w:t> </w:t>
      </w:r>
      <w:r>
        <w:rPr/>
        <w:t>12</w:t>
      </w:r>
      <w:r>
        <w:rPr>
          <w:spacing w:val="-48"/>
        </w:rPr>
        <w:t> </w:t>
      </w:r>
      <w:r>
        <w:rPr/>
        <w:t>月</w:t>
      </w:r>
      <w:r>
        <w:rPr>
          <w:spacing w:val="-47"/>
        </w:rPr>
        <w:t> </w:t>
      </w:r>
      <w:r>
        <w:rPr/>
        <w:t>23</w:t>
      </w:r>
      <w:r>
        <w:rPr>
          <w:spacing w:val="-48"/>
        </w:rPr>
        <w:t> </w:t>
      </w:r>
      <w:r>
        <w:rPr/>
        <w:t>日起至</w:t>
      </w:r>
      <w:r>
        <w:rPr>
          <w:spacing w:val="-48"/>
        </w:rPr>
        <w:t> </w:t>
      </w:r>
      <w:r>
        <w:rPr/>
        <w:t>2013</w:t>
      </w:r>
      <w:r>
        <w:rPr>
          <w:spacing w:val="-48"/>
        </w:rPr>
        <w:t> </w:t>
      </w:r>
      <w:r>
        <w:rPr/>
        <w:t>年</w:t>
      </w:r>
      <w:r>
        <w:rPr>
          <w:spacing w:val="-48"/>
        </w:rPr>
        <w:t> </w:t>
      </w:r>
      <w:r>
        <w:rPr/>
        <w:t>12</w:t>
      </w:r>
      <w:r>
        <w:rPr>
          <w:spacing w:val="-47"/>
        </w:rPr>
        <w:t> </w:t>
      </w:r>
      <w:r>
        <w:rPr/>
        <w:t>月</w:t>
      </w:r>
      <w:r>
        <w:rPr>
          <w:spacing w:val="-48"/>
        </w:rPr>
        <w:t> </w:t>
      </w:r>
      <w:r>
        <w:rPr/>
        <w:t>22</w:t>
      </w:r>
    </w:p>
    <w:p>
      <w:pPr>
        <w:pStyle w:val="BodyText"/>
        <w:spacing w:line="357" w:lineRule="auto" w:before="154"/>
        <w:ind w:right="225"/>
        <w:jc w:val="left"/>
      </w:pPr>
      <w:r>
        <w:rPr/>
        <w:t>日止，租赁费用为首年单价人民币</w:t>
      </w:r>
      <w:r>
        <w:rPr>
          <w:spacing w:val="-44"/>
        </w:rPr>
        <w:t> </w:t>
      </w:r>
      <w:r>
        <w:rPr/>
        <w:t>3.11</w:t>
      </w:r>
      <w:r>
        <w:rPr>
          <w:spacing w:val="-44"/>
        </w:rPr>
        <w:t> </w:t>
      </w:r>
      <w:r>
        <w:rPr/>
        <w:t>元/平方米/天，自第</w:t>
      </w:r>
      <w:r>
        <w:rPr>
          <w:spacing w:val="-44"/>
        </w:rPr>
        <w:t> </w:t>
      </w:r>
      <w:r>
        <w:rPr/>
        <w:t>2</w:t>
      </w:r>
      <w:r>
        <w:rPr>
          <w:spacing w:val="-44"/>
        </w:rPr>
        <w:t> </w:t>
      </w:r>
      <w:r>
        <w:rPr/>
        <w:t>年起每</w:t>
      </w:r>
      <w:r>
        <w:rPr>
          <w:spacing w:val="-44"/>
        </w:rPr>
        <w:t> </w:t>
      </w:r>
      <w:r>
        <w:rPr/>
        <w:t>3</w:t>
      </w:r>
      <w:r>
        <w:rPr>
          <w:spacing w:val="-44"/>
        </w:rPr>
        <w:t> </w:t>
      </w:r>
      <w:r>
        <w:rPr/>
        <w:t>年在上一</w:t>
      </w:r>
      <w:r>
        <w:rPr/>
        <w:t> 年基础上递增</w:t>
      </w:r>
      <w:r>
        <w:rPr>
          <w:spacing w:val="-60"/>
        </w:rPr>
        <w:t> </w:t>
      </w:r>
      <w:r>
        <w:rPr/>
        <w:t>5%。</w:t>
      </w:r>
    </w:p>
    <w:p>
      <w:pPr>
        <w:pStyle w:val="BodyText"/>
        <w:spacing w:line="240" w:lineRule="auto" w:before="115"/>
        <w:ind w:left="623" w:right="0"/>
        <w:jc w:val="left"/>
      </w:pPr>
      <w:r>
        <w:rPr/>
        <w:t>（5）根据上述租赁协议，公司向关联方支付的租赁费、物业管理费情况如下：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line="408" w:lineRule="auto" w:before="0"/>
        <w:ind w:left="6876" w:right="1046" w:firstLine="315"/>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(人民币千元)</w:t>
      </w:r>
    </w:p>
    <w:p>
      <w:pPr>
        <w:tabs>
          <w:tab w:pos="7406" w:val="left" w:leader="none"/>
        </w:tabs>
        <w:spacing w:before="38"/>
        <w:ind w:left="625" w:right="108" w:firstLine="0"/>
        <w:jc w:val="left"/>
        <w:rPr>
          <w:rFonts w:ascii="Arial" w:hAnsi="Arial" w:cs="Arial" w:eastAsia="Arial" w:hint="default"/>
          <w:sz w:val="18"/>
          <w:szCs w:val="18"/>
        </w:rPr>
      </w:pPr>
      <w:r>
        <w:rPr>
          <w:rFonts w:ascii="宋体" w:hAnsi="宋体" w:cs="宋体" w:eastAsia="宋体" w:hint="default"/>
          <w:sz w:val="18"/>
          <w:szCs w:val="18"/>
        </w:rPr>
        <w:t>江苏苏宁电器集团有限公司</w:t>
        <w:tab/>
      </w:r>
      <w:r>
        <w:rPr>
          <w:rFonts w:ascii="Arial" w:hAnsi="Arial" w:cs="Arial" w:eastAsia="Arial" w:hint="default"/>
          <w:sz w:val="18"/>
          <w:szCs w:val="18"/>
        </w:rPr>
        <w:t>17,403</w:t>
      </w:r>
    </w:p>
    <w:p>
      <w:pPr>
        <w:tabs>
          <w:tab w:pos="7406" w:val="left" w:leader="none"/>
        </w:tabs>
        <w:spacing w:before="152"/>
        <w:ind w:left="625" w:right="108" w:firstLine="0"/>
        <w:jc w:val="left"/>
        <w:rPr>
          <w:rFonts w:ascii="Arial" w:hAnsi="Arial" w:cs="Arial" w:eastAsia="Arial" w:hint="default"/>
          <w:sz w:val="18"/>
          <w:szCs w:val="18"/>
        </w:rPr>
      </w:pPr>
      <w:r>
        <w:rPr>
          <w:rFonts w:ascii="宋体" w:hAnsi="宋体" w:cs="宋体" w:eastAsia="宋体" w:hint="default"/>
          <w:sz w:val="18"/>
          <w:szCs w:val="18"/>
        </w:rPr>
        <w:t>银河国际</w:t>
        <w:tab/>
      </w:r>
      <w:r>
        <w:rPr>
          <w:rFonts w:ascii="Arial" w:hAnsi="Arial" w:cs="Arial" w:eastAsia="Arial" w:hint="default"/>
          <w:sz w:val="18"/>
          <w:szCs w:val="18"/>
        </w:rPr>
        <w:t>18,357</w:t>
      </w:r>
    </w:p>
    <w:p>
      <w:pPr>
        <w:spacing w:line="240" w:lineRule="auto" w:before="7"/>
        <w:rPr>
          <w:rFonts w:ascii="Arial" w:hAnsi="Arial" w:cs="Arial" w:eastAsia="Arial" w:hint="default"/>
          <w:sz w:val="3"/>
          <w:szCs w:val="3"/>
        </w:rPr>
      </w:pPr>
    </w:p>
    <w:p>
      <w:pPr>
        <w:spacing w:line="20" w:lineRule="exact"/>
        <w:ind w:left="3372" w:right="0" w:firstLine="0"/>
        <w:rPr>
          <w:rFonts w:ascii="Arial" w:hAnsi="Arial" w:cs="Arial" w:eastAsia="Arial" w:hint="default"/>
          <w:sz w:val="2"/>
          <w:szCs w:val="2"/>
        </w:rPr>
      </w:pPr>
      <w:r>
        <w:rPr>
          <w:rFonts w:ascii="Arial" w:hAnsi="Arial" w:cs="Arial" w:eastAsia="Arial" w:hint="default"/>
          <w:sz w:val="2"/>
          <w:szCs w:val="2"/>
        </w:rPr>
        <w:pict>
          <v:group style="width:234.5pt;height:.5pt;mso-position-horizontal-relative:char;mso-position-vertical-relative:line" coordorigin="0,0" coordsize="4690,10">
            <v:group style="position:absolute;left:5;top:5;width:4680;height:2" coordorigin="5,5" coordsize="4680,2">
              <v:shape style="position:absolute;left:5;top:5;width:4680;height:2" coordorigin="5,5" coordsize="4680,0" path="m5,5l4685,5e" filled="false" stroked="true" strokeweight=".47998pt" strokecolor="#000000">
                <v:path arrowok="t"/>
              </v:shape>
            </v:group>
          </v:group>
        </w:pict>
      </w:r>
      <w:r>
        <w:rPr>
          <w:rFonts w:ascii="Arial" w:hAnsi="Arial" w:cs="Arial" w:eastAsia="Arial" w:hint="default"/>
          <w:sz w:val="2"/>
          <w:szCs w:val="2"/>
        </w:rPr>
      </w:r>
    </w:p>
    <w:p>
      <w:pPr>
        <w:spacing w:before="141"/>
        <w:ind w:left="0" w:right="1046" w:firstLine="0"/>
        <w:jc w:val="right"/>
        <w:rPr>
          <w:rFonts w:ascii="Arial" w:hAnsi="Arial" w:cs="Arial" w:eastAsia="Arial" w:hint="default"/>
          <w:sz w:val="18"/>
          <w:szCs w:val="18"/>
        </w:rPr>
      </w:pPr>
      <w:r>
        <w:rPr>
          <w:rFonts w:ascii="Arial"/>
          <w:spacing w:val="-1"/>
          <w:sz w:val="18"/>
        </w:rPr>
        <w:t>35,760</w:t>
      </w:r>
    </w:p>
    <w:p>
      <w:pPr>
        <w:spacing w:line="240" w:lineRule="auto" w:before="8"/>
        <w:rPr>
          <w:rFonts w:ascii="Arial" w:hAnsi="Arial" w:cs="Arial" w:eastAsia="Arial" w:hint="default"/>
          <w:sz w:val="3"/>
          <w:szCs w:val="3"/>
        </w:rPr>
      </w:pPr>
    </w:p>
    <w:p>
      <w:pPr>
        <w:spacing w:line="30" w:lineRule="exact"/>
        <w:ind w:left="3354" w:right="0" w:firstLine="0"/>
        <w:rPr>
          <w:rFonts w:ascii="Arial" w:hAnsi="Arial" w:cs="Arial" w:eastAsia="Arial" w:hint="default"/>
          <w:sz w:val="3"/>
          <w:szCs w:val="3"/>
        </w:rPr>
      </w:pPr>
      <w:r>
        <w:rPr>
          <w:rFonts w:ascii="Arial" w:hAnsi="Arial" w:cs="Arial" w:eastAsia="Arial" w:hint="default"/>
          <w:position w:val="0"/>
          <w:sz w:val="3"/>
          <w:szCs w:val="3"/>
        </w:rPr>
        <w:pict>
          <v:group style="width:236.25pt;height:1.5pt;mso-position-horizontal-relative:char;mso-position-vertical-relative:line" coordorigin="0,0" coordsize="4725,30">
            <v:group style="position:absolute;left:15;top:15;width:4695;height:2" coordorigin="15,15" coordsize="4695,2">
              <v:shape style="position:absolute;left:15;top:15;width:4695;height:2" coordorigin="15,15" coordsize="4695,0" path="m15,15l4709,15e" filled="false" stroked="true" strokeweight="1.5pt" strokecolor="#000000">
                <v:path arrowok="t"/>
              </v:shape>
            </v:group>
          </v:group>
        </w:pict>
      </w:r>
      <w:r>
        <w:rPr>
          <w:rFonts w:ascii="Arial" w:hAnsi="Arial" w:cs="Arial" w:eastAsia="Arial" w:hint="default"/>
          <w:position w:val="0"/>
          <w:sz w:val="3"/>
          <w:szCs w:val="3"/>
        </w:rPr>
      </w:r>
    </w:p>
    <w:p>
      <w:pPr>
        <w:spacing w:after="0" w:line="30" w:lineRule="exact"/>
        <w:rPr>
          <w:rFonts w:ascii="Arial" w:hAnsi="Arial" w:cs="Arial" w:eastAsia="Arial" w:hint="default"/>
          <w:sz w:val="3"/>
          <w:szCs w:val="3"/>
        </w:rPr>
        <w:sectPr>
          <w:pgSz w:w="11910" w:h="16840"/>
          <w:pgMar w:header="826" w:footer="894" w:top="1100" w:bottom="1100" w:left="1500" w:right="1400"/>
        </w:sectPr>
      </w:pPr>
    </w:p>
    <w:p>
      <w:pPr>
        <w:pStyle w:val="BodyText"/>
        <w:spacing w:line="240" w:lineRule="auto" w:before="106"/>
        <w:ind w:left="624" w:right="0"/>
        <w:jc w:val="left"/>
      </w:pPr>
      <w:r>
        <w:rPr/>
        <w:t>四、公司重大合同及履行情况</w:t>
      </w:r>
    </w:p>
    <w:p>
      <w:pPr>
        <w:pStyle w:val="BodyText"/>
        <w:spacing w:line="357" w:lineRule="auto" w:before="154"/>
        <w:ind w:left="144" w:right="158" w:firstLine="480"/>
        <w:jc w:val="both"/>
      </w:pPr>
      <w:r>
        <w:rPr>
          <w:spacing w:val="-1"/>
        </w:rPr>
        <w:t>（一）报告期内，公司除正常租赁房屋进行连锁店建设外，未发生也未有以前</w:t>
      </w:r>
      <w:r>
        <w:rPr/>
        <w:t> 期间发生但延续到报告期的重大托管、承包、租赁其他公司资产或其他公司托管、 承包、租赁上市公司资产事项。有关连锁店租赁房屋的合同已正常履行。</w:t>
      </w:r>
    </w:p>
    <w:p>
      <w:pPr>
        <w:pStyle w:val="BodyText"/>
        <w:spacing w:line="357" w:lineRule="auto" w:before="36"/>
        <w:ind w:right="172" w:firstLine="480"/>
        <w:jc w:val="both"/>
      </w:pPr>
      <w:r>
        <w:rPr/>
        <w:t>（二）</w:t>
      </w:r>
      <w:r>
        <w:rPr>
          <w:spacing w:val="37"/>
        </w:rPr>
        <w:t> </w:t>
      </w:r>
      <w:r>
        <w:rPr>
          <w:spacing w:val="2"/>
        </w:rPr>
        <w:t>报告期内，公司未发生委托现金资产管理事项，也无以前委托现金资</w:t>
      </w:r>
      <w:r>
        <w:rPr>
          <w:spacing w:val="3"/>
        </w:rPr>
        <w:t> </w:t>
      </w:r>
      <w:r>
        <w:rPr/>
        <w:t>产管理事项。</w:t>
      </w:r>
    </w:p>
    <w:p>
      <w:pPr>
        <w:pStyle w:val="BodyText"/>
        <w:spacing w:line="357" w:lineRule="auto" w:before="36"/>
        <w:ind w:right="172" w:firstLine="480"/>
        <w:jc w:val="both"/>
      </w:pPr>
      <w:r>
        <w:rPr/>
        <w:t>（三）</w:t>
      </w:r>
      <w:r>
        <w:rPr>
          <w:spacing w:val="37"/>
        </w:rPr>
        <w:t> </w:t>
      </w:r>
      <w:r>
        <w:rPr>
          <w:spacing w:val="2"/>
        </w:rPr>
        <w:t>报告期内，公司除对控股子公司进行担保外，不存在其他对外担保事</w:t>
      </w:r>
      <w:r>
        <w:rPr>
          <w:spacing w:val="3"/>
        </w:rPr>
        <w:t> </w:t>
      </w:r>
      <w:r>
        <w:rPr/>
        <w:t>项，也不存在以前发生并延续到报告期的其他对外担保事项，具体情况如下：</w:t>
      </w:r>
    </w:p>
    <w:p>
      <w:pPr>
        <w:pStyle w:val="BodyText"/>
        <w:spacing w:line="240" w:lineRule="auto" w:before="36"/>
        <w:ind w:left="623" w:right="0"/>
        <w:jc w:val="left"/>
      </w:pPr>
      <w:r>
        <w:rPr/>
        <w:t>1、报告期内，公司审议对外担保情况</w:t>
      </w:r>
    </w:p>
    <w:p>
      <w:pPr>
        <w:pStyle w:val="BodyText"/>
        <w:spacing w:line="357" w:lineRule="auto" w:before="154"/>
        <w:ind w:right="176" w:firstLine="410"/>
        <w:jc w:val="both"/>
      </w:pPr>
      <w:r>
        <w:rPr>
          <w:spacing w:val="17"/>
        </w:rPr>
        <w:t>（1）2008年3月</w:t>
      </w:r>
      <w:r>
        <w:rPr>
          <w:spacing w:val="-61"/>
        </w:rPr>
        <w:t> </w:t>
      </w:r>
      <w:r>
        <w:rPr/>
        <w:t>31</w:t>
      </w:r>
      <w:r>
        <w:rPr>
          <w:spacing w:val="-61"/>
        </w:rPr>
        <w:t> </w:t>
      </w:r>
      <w:r>
        <w:rPr/>
        <w:t>日，经公司第三届董事会第十三次会议审议通过，公司可</w:t>
      </w:r>
      <w:r>
        <w:rPr/>
        <w:t> </w:t>
      </w:r>
      <w:r>
        <w:rPr>
          <w:spacing w:val="10"/>
        </w:rPr>
        <w:t>为上海苏宁电器有限公司、 北京苏宁电器有限公司分别再提供 </w:t>
      </w:r>
      <w:r>
        <w:rPr/>
        <w:t>27,285</w:t>
      </w:r>
      <w:r>
        <w:rPr>
          <w:spacing w:val="30"/>
        </w:rPr>
        <w:t> </w:t>
      </w:r>
      <w:r>
        <w:rPr>
          <w:spacing w:val="6"/>
        </w:rPr>
        <w:t>万元、</w:t>
      </w:r>
      <w:r>
        <w:rPr/>
        <w:t> 18,000</w:t>
      </w:r>
      <w:r>
        <w:rPr>
          <w:spacing w:val="-60"/>
        </w:rPr>
        <w:t> </w:t>
      </w:r>
      <w:r>
        <w:rPr/>
        <w:t>万元的担保。</w:t>
      </w:r>
    </w:p>
    <w:p>
      <w:pPr>
        <w:pStyle w:val="BodyText"/>
        <w:spacing w:line="357" w:lineRule="auto" w:before="36"/>
        <w:ind w:left="144" w:right="177" w:firstLine="410"/>
        <w:jc w:val="both"/>
      </w:pPr>
      <w:r>
        <w:rPr>
          <w:spacing w:val="17"/>
        </w:rPr>
        <w:t>（2）2008年6月</w:t>
      </w:r>
      <w:r>
        <w:rPr>
          <w:spacing w:val="-61"/>
        </w:rPr>
        <w:t> </w:t>
      </w:r>
      <w:r>
        <w:rPr/>
        <w:t>30</w:t>
      </w:r>
      <w:r>
        <w:rPr>
          <w:spacing w:val="-61"/>
        </w:rPr>
        <w:t> </w:t>
      </w:r>
      <w:r>
        <w:rPr/>
        <w:t>日，经公司第三届董事会第十六次会议审议通过，公司可</w:t>
      </w:r>
      <w:r>
        <w:rPr/>
        <w:t> 为佛山市苏宁电器有限公司再提供</w:t>
      </w:r>
      <w:r>
        <w:rPr>
          <w:spacing w:val="-70"/>
        </w:rPr>
        <w:t> </w:t>
      </w:r>
      <w:r>
        <w:rPr/>
        <w:t>6,000</w:t>
      </w:r>
      <w:r>
        <w:rPr>
          <w:spacing w:val="-70"/>
        </w:rPr>
        <w:t> </w:t>
      </w:r>
      <w:r>
        <w:rPr/>
        <w:t>万元、为福建苏宁电器有限公司、陕西苏</w:t>
      </w:r>
      <w:r>
        <w:rPr/>
        <w:t> 宁电器有限责任公司分别提供</w:t>
      </w:r>
      <w:r>
        <w:rPr>
          <w:spacing w:val="-60"/>
        </w:rPr>
        <w:t> </w:t>
      </w:r>
      <w:r>
        <w:rPr/>
        <w:t>8,000</w:t>
      </w:r>
      <w:r>
        <w:rPr>
          <w:spacing w:val="-60"/>
        </w:rPr>
        <w:t> </w:t>
      </w:r>
      <w:r>
        <w:rPr/>
        <w:t>万元、2,400</w:t>
      </w:r>
      <w:r>
        <w:rPr>
          <w:spacing w:val="-60"/>
        </w:rPr>
        <w:t> </w:t>
      </w:r>
      <w:r>
        <w:rPr/>
        <w:t>万元的担保。</w:t>
      </w:r>
    </w:p>
    <w:p>
      <w:pPr>
        <w:pStyle w:val="BodyText"/>
        <w:spacing w:line="240" w:lineRule="auto" w:before="36"/>
        <w:ind w:left="554" w:right="0"/>
        <w:jc w:val="left"/>
      </w:pPr>
      <w:r>
        <w:rPr/>
        <w:t>（3）2008</w:t>
      </w:r>
      <w:r>
        <w:rPr>
          <w:spacing w:val="-39"/>
        </w:rPr>
        <w:t> </w:t>
      </w:r>
      <w:r>
        <w:rPr/>
        <w:t>年</w:t>
      </w:r>
      <w:r>
        <w:rPr>
          <w:spacing w:val="-39"/>
        </w:rPr>
        <w:t> </w:t>
      </w:r>
      <w:r>
        <w:rPr/>
        <w:t>12</w:t>
      </w:r>
      <w:r>
        <w:rPr>
          <w:spacing w:val="-39"/>
        </w:rPr>
        <w:t> </w:t>
      </w:r>
      <w:r>
        <w:rPr/>
        <w:t>月</w:t>
      </w:r>
      <w:r>
        <w:rPr>
          <w:spacing w:val="-39"/>
        </w:rPr>
        <w:t> </w:t>
      </w:r>
      <w:r>
        <w:rPr/>
        <w:t>29</w:t>
      </w:r>
      <w:r>
        <w:rPr>
          <w:spacing w:val="-39"/>
        </w:rPr>
        <w:t> </w:t>
      </w:r>
      <w:r>
        <w:rPr/>
        <w:t>日，经公司第三届董事会第二十五次会议审议通过，公</w:t>
      </w:r>
    </w:p>
    <w:p>
      <w:pPr>
        <w:pStyle w:val="BodyText"/>
        <w:spacing w:line="357" w:lineRule="auto" w:before="154"/>
        <w:ind w:left="144" w:right="177"/>
        <w:jc w:val="both"/>
      </w:pPr>
      <w:r>
        <w:rPr/>
        <w:t>司可为佛山市苏宁电器有限公司再提供</w:t>
      </w:r>
      <w:r>
        <w:rPr>
          <w:spacing w:val="-70"/>
        </w:rPr>
        <w:t> </w:t>
      </w:r>
      <w:r>
        <w:rPr/>
        <w:t>8,000</w:t>
      </w:r>
      <w:r>
        <w:rPr>
          <w:spacing w:val="-70"/>
        </w:rPr>
        <w:t> </w:t>
      </w:r>
      <w:r>
        <w:rPr/>
        <w:t>万元、为安徽苏宁电器有限公司、广</w:t>
      </w:r>
      <w:r>
        <w:rPr/>
        <w:t> 西苏宁电器有限公司、湖南苏宁电器有限公司分别提供</w:t>
      </w:r>
      <w:r>
        <w:rPr>
          <w:spacing w:val="-47"/>
        </w:rPr>
        <w:t> </w:t>
      </w:r>
      <w:r>
        <w:rPr/>
        <w:t>6,000</w:t>
      </w:r>
      <w:r>
        <w:rPr>
          <w:spacing w:val="-47"/>
        </w:rPr>
        <w:t> </w:t>
      </w:r>
      <w:r>
        <w:rPr/>
        <w:t>万元、7,700</w:t>
      </w:r>
      <w:r>
        <w:rPr>
          <w:spacing w:val="-47"/>
        </w:rPr>
        <w:t> </w:t>
      </w:r>
      <w:r>
        <w:rPr/>
        <w:t>万元、</w:t>
      </w:r>
      <w:r>
        <w:rPr/>
        <w:t> 7,200</w:t>
      </w:r>
      <w:r>
        <w:rPr>
          <w:spacing w:val="-60"/>
        </w:rPr>
        <w:t> </w:t>
      </w:r>
      <w:r>
        <w:rPr/>
        <w:t>万元的担保。</w:t>
      </w:r>
    </w:p>
    <w:p>
      <w:pPr>
        <w:pStyle w:val="BodyText"/>
        <w:spacing w:line="240" w:lineRule="auto" w:before="36"/>
        <w:ind w:left="554" w:right="0"/>
        <w:jc w:val="left"/>
      </w:pPr>
      <w:r>
        <w:rPr/>
        <w:t>2、报告期内公司实际对外担保情况</w:t>
      </w:r>
    </w:p>
    <w:p>
      <w:pPr>
        <w:pStyle w:val="BodyText"/>
        <w:spacing w:line="357" w:lineRule="auto" w:before="154"/>
        <w:ind w:right="117" w:firstLine="410"/>
        <w:jc w:val="both"/>
      </w:pPr>
      <w:r>
        <w:rPr>
          <w:spacing w:val="17"/>
        </w:rPr>
        <w:t>（1）2006年3月</w:t>
      </w:r>
      <w:r>
        <w:rPr>
          <w:spacing w:val="-60"/>
        </w:rPr>
        <w:t> </w:t>
      </w:r>
      <w:r>
        <w:rPr/>
        <w:t>29</w:t>
      </w:r>
      <w:r>
        <w:rPr>
          <w:spacing w:val="-60"/>
        </w:rPr>
        <w:t> </w:t>
      </w:r>
      <w:r>
        <w:rPr/>
        <w:t>日，公司与交通银行股份有限公司南宁分行签订最高额保</w:t>
      </w:r>
      <w:r>
        <w:rPr/>
        <w:t> 证合同，公司为广西苏宁电器有限公司自</w:t>
      </w:r>
      <w:r>
        <w:rPr>
          <w:spacing w:val="-62"/>
        </w:rPr>
        <w:t> </w:t>
      </w:r>
      <w:r>
        <w:rPr>
          <w:spacing w:val="25"/>
        </w:rPr>
        <w:t>2006年3月</w:t>
      </w:r>
      <w:r>
        <w:rPr>
          <w:spacing w:val="-62"/>
        </w:rPr>
        <w:t> </w:t>
      </w:r>
      <w:r>
        <w:rPr/>
        <w:t>29</w:t>
      </w:r>
      <w:r>
        <w:rPr>
          <w:spacing w:val="-62"/>
        </w:rPr>
        <w:t> </w:t>
      </w:r>
      <w:r>
        <w:rPr/>
        <w:t>日起至</w:t>
      </w:r>
      <w:r>
        <w:rPr>
          <w:spacing w:val="-62"/>
        </w:rPr>
        <w:t> </w:t>
      </w:r>
      <w:r>
        <w:rPr>
          <w:spacing w:val="25"/>
        </w:rPr>
        <w:t>2008年3月</w:t>
      </w:r>
      <w:r>
        <w:rPr>
          <w:spacing w:val="-62"/>
        </w:rPr>
        <w:t> </w:t>
      </w:r>
      <w:r>
        <w:rPr>
          <w:spacing w:val="20"/>
        </w:rPr>
        <w:t>29日</w:t>
      </w:r>
      <w:r>
        <w:rPr>
          <w:spacing w:val="-60"/>
        </w:rPr>
        <w:t> </w:t>
      </w:r>
      <w:r>
        <w:rPr/>
        <w:t>期间的银行授信提供连带责任保证，最高额不超过为</w:t>
      </w:r>
      <w:r>
        <w:rPr>
          <w:spacing w:val="-67"/>
        </w:rPr>
        <w:t> </w:t>
      </w:r>
      <w:r>
        <w:rPr/>
        <w:t>3,850</w:t>
      </w:r>
      <w:r>
        <w:rPr>
          <w:spacing w:val="-67"/>
        </w:rPr>
        <w:t> </w:t>
      </w:r>
      <w:r>
        <w:rPr/>
        <w:t>万元，广西苏宁电器有</w:t>
      </w:r>
      <w:r>
        <w:rPr/>
        <w:t> 限公司以其所有的存货为此提供反担保，广西苏宁电器有限公司根据上述最高额保 证合同及相关合同开具的银行承兑汇票于</w:t>
      </w:r>
      <w:r>
        <w:rPr>
          <w:spacing w:val="-64"/>
        </w:rPr>
        <w:t> </w:t>
      </w:r>
      <w:r>
        <w:rPr>
          <w:spacing w:val="25"/>
        </w:rPr>
        <w:t>2008年4月</w:t>
      </w:r>
      <w:r>
        <w:rPr>
          <w:spacing w:val="-64"/>
        </w:rPr>
        <w:t> </w:t>
      </w:r>
      <w:r>
        <w:rPr/>
        <w:t>30</w:t>
      </w:r>
      <w:r>
        <w:rPr>
          <w:spacing w:val="-64"/>
        </w:rPr>
        <w:t> </w:t>
      </w:r>
      <w:r>
        <w:rPr/>
        <w:t>日到期，已全部归还。公</w:t>
      </w:r>
      <w:r>
        <w:rPr/>
        <w:t> 司此项担保解除。</w:t>
      </w:r>
    </w:p>
    <w:p>
      <w:pPr>
        <w:pStyle w:val="BodyText"/>
        <w:spacing w:line="240" w:lineRule="auto" w:before="36"/>
        <w:ind w:left="554" w:right="0"/>
        <w:jc w:val="left"/>
      </w:pPr>
      <w:r>
        <w:rPr/>
        <w:t>（2）2006</w:t>
      </w:r>
      <w:r>
        <w:rPr>
          <w:spacing w:val="-39"/>
        </w:rPr>
        <w:t> </w:t>
      </w:r>
      <w:r>
        <w:rPr/>
        <w:t>年</w:t>
      </w:r>
      <w:r>
        <w:rPr>
          <w:spacing w:val="-39"/>
        </w:rPr>
        <w:t> </w:t>
      </w:r>
      <w:r>
        <w:rPr/>
        <w:t>12</w:t>
      </w:r>
      <w:r>
        <w:rPr>
          <w:spacing w:val="-39"/>
        </w:rPr>
        <w:t> </w:t>
      </w:r>
      <w:r>
        <w:rPr/>
        <w:t>月</w:t>
      </w:r>
      <w:r>
        <w:rPr>
          <w:spacing w:val="-39"/>
        </w:rPr>
        <w:t> </w:t>
      </w:r>
      <w:r>
        <w:rPr/>
        <w:t>13</w:t>
      </w:r>
      <w:r>
        <w:rPr>
          <w:spacing w:val="-39"/>
        </w:rPr>
        <w:t> </w:t>
      </w:r>
      <w:r>
        <w:rPr/>
        <w:t>日，公司与交通银行股份有限公司沈阳南塔支行签订最</w:t>
      </w:r>
    </w:p>
    <w:p>
      <w:pPr>
        <w:pStyle w:val="BodyText"/>
        <w:spacing w:line="240" w:lineRule="auto" w:before="154"/>
        <w:ind w:right="0"/>
        <w:jc w:val="both"/>
      </w:pPr>
      <w:r>
        <w:rPr/>
        <w:t>高额保证合同，为交通银行股份有限公司沈阳南塔支行自</w:t>
      </w:r>
      <w:r>
        <w:rPr>
          <w:spacing w:val="-44"/>
        </w:rPr>
        <w:t> </w:t>
      </w:r>
      <w:r>
        <w:rPr/>
        <w:t>2006</w:t>
      </w:r>
      <w:r>
        <w:rPr>
          <w:spacing w:val="-44"/>
        </w:rPr>
        <w:t> </w:t>
      </w:r>
      <w:r>
        <w:rPr/>
        <w:t>年</w:t>
      </w:r>
      <w:r>
        <w:rPr>
          <w:spacing w:val="-44"/>
        </w:rPr>
        <w:t> </w:t>
      </w:r>
      <w:r>
        <w:rPr/>
        <w:t>10</w:t>
      </w:r>
      <w:r>
        <w:rPr>
          <w:spacing w:val="-44"/>
        </w:rPr>
        <w:t> </w:t>
      </w:r>
      <w:r>
        <w:rPr/>
        <w:t>月</w:t>
      </w:r>
      <w:r>
        <w:rPr>
          <w:spacing w:val="-44"/>
        </w:rPr>
        <w:t> </w:t>
      </w:r>
      <w:r>
        <w:rPr/>
        <w:t>28</w:t>
      </w:r>
      <w:r>
        <w:rPr>
          <w:spacing w:val="-44"/>
        </w:rPr>
        <w:t> </w:t>
      </w:r>
      <w:r>
        <w:rPr/>
        <w:t>日起至</w:t>
      </w:r>
    </w:p>
    <w:p>
      <w:pPr>
        <w:pStyle w:val="BodyText"/>
        <w:spacing w:line="357" w:lineRule="auto" w:before="154"/>
        <w:ind w:right="174"/>
        <w:jc w:val="both"/>
      </w:pPr>
      <w:r>
        <w:rPr/>
        <w:t>2007</w:t>
      </w:r>
      <w:r>
        <w:rPr>
          <w:spacing w:val="-76"/>
        </w:rPr>
        <w:t> </w:t>
      </w:r>
      <w:r>
        <w:rPr/>
        <w:t>年</w:t>
      </w:r>
      <w:r>
        <w:rPr>
          <w:spacing w:val="-76"/>
        </w:rPr>
        <w:t> </w:t>
      </w:r>
      <w:r>
        <w:rPr/>
        <w:t>10</w:t>
      </w:r>
      <w:r>
        <w:rPr>
          <w:spacing w:val="-77"/>
        </w:rPr>
        <w:t> </w:t>
      </w:r>
      <w:r>
        <w:rPr/>
        <w:t>月</w:t>
      </w:r>
      <w:r>
        <w:rPr>
          <w:spacing w:val="-76"/>
        </w:rPr>
        <w:t> </w:t>
      </w:r>
      <w:r>
        <w:rPr/>
        <w:t>28</w:t>
      </w:r>
      <w:r>
        <w:rPr>
          <w:spacing w:val="-76"/>
        </w:rPr>
        <w:t> </w:t>
      </w:r>
      <w:r>
        <w:rPr/>
        <w:t>日期间提供给沈阳苏宁电器有限公司最高额</w:t>
      </w:r>
      <w:r>
        <w:rPr>
          <w:spacing w:val="-76"/>
        </w:rPr>
        <w:t> </w:t>
      </w:r>
      <w:r>
        <w:rPr/>
        <w:t>3,300</w:t>
      </w:r>
      <w:r>
        <w:rPr>
          <w:spacing w:val="-77"/>
        </w:rPr>
        <w:t> </w:t>
      </w:r>
      <w:r>
        <w:rPr/>
        <w:t>万元的综合授信</w:t>
      </w:r>
      <w:r>
        <w:rPr>
          <w:spacing w:val="-1"/>
        </w:rPr>
        <w:t> </w:t>
      </w:r>
      <w:r>
        <w:rPr/>
        <w:t>提供连带责任保证，</w:t>
      </w:r>
      <w:r>
        <w:rPr>
          <w:spacing w:val="23"/>
        </w:rPr>
        <w:t> </w:t>
      </w:r>
      <w:r>
        <w:rPr>
          <w:spacing w:val="2"/>
        </w:rPr>
        <w:t>沈阳苏宁电器有限公司根据上述最高额保证合同及相关合同</w:t>
      </w:r>
      <w:r>
        <w:rPr/>
      </w:r>
    </w:p>
    <w:p>
      <w:pPr>
        <w:spacing w:after="0" w:line="357" w:lineRule="auto"/>
        <w:jc w:val="both"/>
        <w:sectPr>
          <w:pgSz w:w="11910" w:h="16840"/>
          <w:pgMar w:header="826" w:footer="894" w:top="1100" w:bottom="1100" w:left="1500" w:right="1460"/>
        </w:sectPr>
      </w:pPr>
    </w:p>
    <w:p>
      <w:pPr>
        <w:pStyle w:val="BodyText"/>
        <w:spacing w:line="240" w:lineRule="auto" w:before="106"/>
        <w:ind w:left="144" w:right="0"/>
        <w:jc w:val="both"/>
      </w:pPr>
      <w:r>
        <w:rPr/>
        <w:t>开具的银行承兑汇票于</w:t>
      </w:r>
      <w:r>
        <w:rPr>
          <w:spacing w:val="-59"/>
        </w:rPr>
        <w:t> </w:t>
      </w:r>
      <w:r>
        <w:rPr>
          <w:spacing w:val="25"/>
        </w:rPr>
        <w:t>2008年1月</w:t>
      </w:r>
      <w:r>
        <w:rPr>
          <w:spacing w:val="-59"/>
        </w:rPr>
        <w:t> </w:t>
      </w:r>
      <w:r>
        <w:rPr/>
        <w:t>19</w:t>
      </w:r>
      <w:r>
        <w:rPr>
          <w:spacing w:val="-59"/>
        </w:rPr>
        <w:t> </w:t>
      </w:r>
      <w:r>
        <w:rPr/>
        <w:t>日到期，已全部归还。公司此项担保解除。</w:t>
      </w:r>
    </w:p>
    <w:p>
      <w:pPr>
        <w:pStyle w:val="BodyText"/>
        <w:spacing w:line="357" w:lineRule="auto" w:before="154"/>
        <w:ind w:left="144" w:right="177" w:firstLine="410"/>
        <w:jc w:val="both"/>
      </w:pPr>
      <w:r>
        <w:rPr>
          <w:spacing w:val="17"/>
        </w:rPr>
        <w:t>（3）2007年3月</w:t>
      </w:r>
      <w:r>
        <w:rPr>
          <w:spacing w:val="-61"/>
        </w:rPr>
        <w:t> </w:t>
      </w:r>
      <w:r>
        <w:rPr/>
        <w:t>28</w:t>
      </w:r>
      <w:r>
        <w:rPr>
          <w:spacing w:val="-61"/>
        </w:rPr>
        <w:t> </w:t>
      </w:r>
      <w:r>
        <w:rPr/>
        <w:t>日，公司与中信银行西安分行签订最高额保证合同，为陕</w:t>
      </w:r>
      <w:r>
        <w:rPr/>
        <w:t> 西苏宁电器有限责任公司自</w:t>
      </w:r>
      <w:r>
        <w:rPr>
          <w:spacing w:val="-62"/>
        </w:rPr>
        <w:t> </w:t>
      </w:r>
      <w:r>
        <w:rPr/>
        <w:t>2007</w:t>
      </w:r>
      <w:r>
        <w:rPr>
          <w:spacing w:val="-63"/>
        </w:rPr>
        <w:t> </w:t>
      </w:r>
      <w:r>
        <w:rPr>
          <w:spacing w:val="43"/>
        </w:rPr>
        <w:t>年4月2</w:t>
      </w:r>
      <w:r>
        <w:rPr>
          <w:spacing w:val="-62"/>
        </w:rPr>
        <w:t> </w:t>
      </w:r>
      <w:r>
        <w:rPr/>
        <w:t>日起至</w:t>
      </w:r>
      <w:r>
        <w:rPr>
          <w:spacing w:val="-62"/>
        </w:rPr>
        <w:t> </w:t>
      </w:r>
      <w:r>
        <w:rPr/>
        <w:t>2008</w:t>
      </w:r>
      <w:r>
        <w:rPr>
          <w:spacing w:val="-63"/>
        </w:rPr>
        <w:t> </w:t>
      </w:r>
      <w:r>
        <w:rPr>
          <w:spacing w:val="43"/>
        </w:rPr>
        <w:t>年4月1</w:t>
      </w:r>
      <w:r>
        <w:rPr>
          <w:spacing w:val="-62"/>
        </w:rPr>
        <w:t> </w:t>
      </w:r>
      <w:r>
        <w:rPr/>
        <w:t>日期间的银行承兑</w:t>
      </w:r>
    </w:p>
    <w:p>
      <w:pPr>
        <w:pStyle w:val="BodyText"/>
        <w:spacing w:line="357" w:lineRule="auto" w:before="36"/>
        <w:ind w:right="177"/>
        <w:jc w:val="both"/>
      </w:pPr>
      <w:r>
        <w:rPr/>
        <w:t>汇票提供连带责任保证，最高额度为</w:t>
      </w:r>
      <w:r>
        <w:rPr>
          <w:spacing w:val="-70"/>
        </w:rPr>
        <w:t> </w:t>
      </w:r>
      <w:r>
        <w:rPr/>
        <w:t>2,400</w:t>
      </w:r>
      <w:r>
        <w:rPr>
          <w:spacing w:val="-70"/>
        </w:rPr>
        <w:t> </w:t>
      </w:r>
      <w:r>
        <w:rPr/>
        <w:t>万。陕西苏宁电器有限责任公司根据上</w:t>
      </w:r>
      <w:r>
        <w:rPr/>
        <w:t> 述最高额保证合同开具的银行承兑汇票于</w:t>
      </w:r>
      <w:r>
        <w:rPr>
          <w:spacing w:val="-60"/>
        </w:rPr>
        <w:t> </w:t>
      </w:r>
      <w:r>
        <w:rPr>
          <w:spacing w:val="30"/>
        </w:rPr>
        <w:t>2008年4月1</w:t>
      </w:r>
      <w:r>
        <w:rPr>
          <w:spacing w:val="-60"/>
        </w:rPr>
        <w:t> </w:t>
      </w:r>
      <w:r>
        <w:rPr/>
        <w:t>日到期，</w:t>
      </w:r>
      <w:r>
        <w:rPr>
          <w:spacing w:val="-70"/>
        </w:rPr>
        <w:t> </w:t>
      </w:r>
      <w:r>
        <w:rPr/>
        <w:t>已全部归还。</w:t>
      </w:r>
      <w:r>
        <w:rPr>
          <w:spacing w:val="-70"/>
        </w:rPr>
        <w:t> </w:t>
      </w:r>
      <w:r>
        <w:rPr/>
        <w:t>公</w:t>
      </w:r>
      <w:r>
        <w:rPr/>
        <w:t> 司此项担保解除。</w:t>
      </w:r>
    </w:p>
    <w:p>
      <w:pPr>
        <w:pStyle w:val="BodyText"/>
        <w:spacing w:line="240" w:lineRule="auto" w:before="36"/>
        <w:ind w:left="554" w:right="0"/>
        <w:jc w:val="left"/>
      </w:pPr>
      <w:r>
        <w:rPr/>
        <w:t>（4）2007</w:t>
      </w:r>
      <w:r>
        <w:rPr>
          <w:spacing w:val="-39"/>
        </w:rPr>
        <w:t> </w:t>
      </w:r>
      <w:r>
        <w:rPr/>
        <w:t>年</w:t>
      </w:r>
      <w:r>
        <w:rPr>
          <w:spacing w:val="-39"/>
        </w:rPr>
        <w:t> </w:t>
      </w:r>
      <w:r>
        <w:rPr/>
        <w:t>4</w:t>
      </w:r>
      <w:r>
        <w:rPr>
          <w:spacing w:val="-39"/>
        </w:rPr>
        <w:t> </w:t>
      </w:r>
      <w:r>
        <w:rPr/>
        <w:t>月</w:t>
      </w:r>
      <w:r>
        <w:rPr>
          <w:spacing w:val="-38"/>
        </w:rPr>
        <w:t> </w:t>
      </w:r>
      <w:r>
        <w:rPr/>
        <w:t>1</w:t>
      </w:r>
      <w:r>
        <w:rPr>
          <w:spacing w:val="-38"/>
        </w:rPr>
        <w:t> </w:t>
      </w:r>
      <w:r>
        <w:rPr/>
        <w:t>日，公司与交通银行股份有限公司武汉花桥支行签订最高</w:t>
      </w:r>
    </w:p>
    <w:p>
      <w:pPr>
        <w:pStyle w:val="BodyText"/>
        <w:spacing w:line="240" w:lineRule="auto" w:before="154"/>
        <w:ind w:right="0"/>
        <w:jc w:val="both"/>
      </w:pPr>
      <w:r>
        <w:rPr/>
        <w:t>额保证合同，公司为武汉苏宁电器有限公司自</w:t>
      </w:r>
      <w:r>
        <w:rPr>
          <w:spacing w:val="-66"/>
        </w:rPr>
        <w:t> </w:t>
      </w:r>
      <w:r>
        <w:rPr>
          <w:spacing w:val="30"/>
        </w:rPr>
        <w:t>2007年4月1</w:t>
      </w:r>
      <w:r>
        <w:rPr>
          <w:spacing w:val="-66"/>
        </w:rPr>
        <w:t> </w:t>
      </w:r>
      <w:r>
        <w:rPr/>
        <w:t>日至</w:t>
      </w:r>
      <w:r>
        <w:rPr>
          <w:spacing w:val="-66"/>
        </w:rPr>
        <w:t> </w:t>
      </w:r>
      <w:r>
        <w:rPr>
          <w:spacing w:val="33"/>
        </w:rPr>
        <w:t>2008年6月1日</w:t>
      </w:r>
      <w:r>
        <w:rPr>
          <w:spacing w:val="-60"/>
        </w:rPr>
        <w:t> </w:t>
      </w:r>
      <w:r>
        <w:rPr/>
      </w:r>
    </w:p>
    <w:p>
      <w:pPr>
        <w:pStyle w:val="BodyText"/>
        <w:spacing w:line="240" w:lineRule="auto" w:before="154"/>
        <w:ind w:right="0"/>
        <w:jc w:val="both"/>
      </w:pPr>
      <w:r>
        <w:rPr/>
        <w:t>期间的银行承兑汇票提供连带责任担保，最高额度为</w:t>
      </w:r>
      <w:r>
        <w:rPr>
          <w:spacing w:val="-70"/>
        </w:rPr>
        <w:t> </w:t>
      </w:r>
      <w:r>
        <w:rPr/>
        <w:t>2,310</w:t>
      </w:r>
      <w:r>
        <w:rPr>
          <w:spacing w:val="-70"/>
        </w:rPr>
        <w:t> </w:t>
      </w:r>
      <w:r>
        <w:rPr/>
        <w:t>万元。武汉苏宁电器有</w:t>
      </w:r>
    </w:p>
    <w:p>
      <w:pPr>
        <w:pStyle w:val="BodyText"/>
        <w:spacing w:line="357" w:lineRule="auto" w:before="154"/>
        <w:ind w:right="177"/>
        <w:jc w:val="both"/>
      </w:pPr>
      <w:r>
        <w:rPr/>
        <w:t>限公司根据上述最高额保证合同及相关合同开具的银行承兑汇票于</w:t>
      </w:r>
      <w:r>
        <w:rPr>
          <w:spacing w:val="-28"/>
        </w:rPr>
        <w:t> </w:t>
      </w:r>
      <w:r>
        <w:rPr/>
        <w:t>2008</w:t>
      </w:r>
      <w:r>
        <w:rPr>
          <w:spacing w:val="-28"/>
        </w:rPr>
        <w:t> </w:t>
      </w:r>
      <w:r>
        <w:rPr/>
        <w:t>年</w:t>
      </w:r>
      <w:r>
        <w:rPr>
          <w:spacing w:val="-28"/>
        </w:rPr>
        <w:t> </w:t>
      </w:r>
      <w:r>
        <w:rPr/>
        <w:t>6</w:t>
      </w:r>
      <w:r>
        <w:rPr>
          <w:spacing w:val="-29"/>
        </w:rPr>
        <w:t> </w:t>
      </w:r>
      <w:r>
        <w:rPr/>
        <w:t>月</w:t>
      </w:r>
      <w:r>
        <w:rPr>
          <w:spacing w:val="-28"/>
        </w:rPr>
        <w:t> </w:t>
      </w:r>
      <w:r>
        <w:rPr/>
        <w:t>1</w:t>
      </w:r>
      <w:r>
        <w:rPr/>
        <w:t> 日到期，已全部归还。公司此项担保解除。</w:t>
      </w:r>
    </w:p>
    <w:p>
      <w:pPr>
        <w:pStyle w:val="BodyText"/>
        <w:spacing w:line="357" w:lineRule="auto" w:before="36"/>
        <w:ind w:right="166" w:firstLine="616"/>
        <w:jc w:val="left"/>
      </w:pPr>
      <w:r>
        <w:rPr>
          <w:spacing w:val="27"/>
        </w:rPr>
        <w:t>2007年4月</w:t>
      </w:r>
      <w:r>
        <w:rPr>
          <w:spacing w:val="-56"/>
        </w:rPr>
        <w:t> </w:t>
      </w:r>
      <w:r>
        <w:rPr/>
        <w:t>23</w:t>
      </w:r>
      <w:r>
        <w:rPr>
          <w:spacing w:val="-56"/>
        </w:rPr>
        <w:t> </w:t>
      </w:r>
      <w:r>
        <w:rPr/>
        <w:t>日，</w:t>
      </w:r>
      <w:r>
        <w:rPr>
          <w:spacing w:val="1"/>
        </w:rPr>
        <w:t> </w:t>
      </w:r>
      <w:r>
        <w:rPr/>
        <w:t>公司与招商银行股份有限公司武汉循礼门支行签订最高</w:t>
      </w:r>
      <w:r>
        <w:rPr/>
        <w:t> </w:t>
      </w:r>
      <w:r>
        <w:rPr>
          <w:spacing w:val="-4"/>
        </w:rPr>
        <w:t>额不可撤销担保书，公司为武汉苏宁电器有限公司自</w:t>
      </w:r>
      <w:r>
        <w:rPr>
          <w:spacing w:val="-58"/>
        </w:rPr>
        <w:t> </w:t>
      </w:r>
      <w:r>
        <w:rPr>
          <w:spacing w:val="25"/>
        </w:rPr>
        <w:t>2007年4月</w:t>
      </w:r>
      <w:r>
        <w:rPr>
          <w:spacing w:val="-58"/>
        </w:rPr>
        <w:t> </w:t>
      </w:r>
      <w:r>
        <w:rPr/>
        <w:t>23</w:t>
      </w:r>
      <w:r>
        <w:rPr>
          <w:spacing w:val="-58"/>
        </w:rPr>
        <w:t> </w:t>
      </w:r>
      <w:r>
        <w:rPr/>
        <w:t>日至</w:t>
      </w:r>
      <w:r>
        <w:rPr>
          <w:spacing w:val="-58"/>
        </w:rPr>
        <w:t> </w:t>
      </w:r>
      <w:r>
        <w:rPr/>
        <w:t>2008</w:t>
      </w:r>
      <w:r>
        <w:rPr>
          <w:spacing w:val="-58"/>
        </w:rPr>
        <w:t> </w:t>
      </w:r>
      <w:r>
        <w:rPr/>
        <w:t>年</w:t>
      </w:r>
      <w:r>
        <w:rPr>
          <w:spacing w:val="-58"/>
        </w:rPr>
        <w:t> </w:t>
      </w:r>
      <w:r>
        <w:rPr/>
        <w:t>4</w:t>
      </w:r>
    </w:p>
    <w:p>
      <w:pPr>
        <w:pStyle w:val="BodyText"/>
        <w:spacing w:line="240" w:lineRule="auto" w:before="36"/>
        <w:ind w:right="0"/>
        <w:jc w:val="both"/>
      </w:pPr>
      <w:r>
        <w:rPr/>
        <w:t>月</w:t>
      </w:r>
      <w:r>
        <w:rPr>
          <w:spacing w:val="-35"/>
        </w:rPr>
        <w:t> </w:t>
      </w:r>
      <w:r>
        <w:rPr/>
        <w:t>22</w:t>
      </w:r>
      <w:r>
        <w:rPr>
          <w:spacing w:val="-35"/>
        </w:rPr>
        <w:t> </w:t>
      </w:r>
      <w:r>
        <w:rPr/>
        <w:t>日期间的银行授信提供连带责任保证，最高额度为</w:t>
      </w:r>
      <w:r>
        <w:rPr>
          <w:spacing w:val="-35"/>
        </w:rPr>
        <w:t> </w:t>
      </w:r>
      <w:r>
        <w:rPr/>
        <w:t>6,000</w:t>
      </w:r>
      <w:r>
        <w:rPr>
          <w:spacing w:val="-35"/>
        </w:rPr>
        <w:t> </w:t>
      </w:r>
      <w:r>
        <w:rPr/>
        <w:t>万元。武汉苏宁电</w:t>
      </w:r>
    </w:p>
    <w:p>
      <w:pPr>
        <w:pStyle w:val="BodyText"/>
        <w:spacing w:line="240" w:lineRule="auto" w:before="154"/>
        <w:ind w:right="0"/>
        <w:jc w:val="both"/>
      </w:pPr>
      <w:r>
        <w:rPr/>
        <w:t>器有限公司根据上述最高额保证合同及相关合同开具的银行承兑汇票于</w:t>
      </w:r>
      <w:r>
        <w:rPr>
          <w:spacing w:val="-47"/>
        </w:rPr>
        <w:t> </w:t>
      </w:r>
      <w:r>
        <w:rPr/>
        <w:t>2008</w:t>
      </w:r>
      <w:r>
        <w:rPr>
          <w:spacing w:val="-47"/>
        </w:rPr>
        <w:t> </w:t>
      </w:r>
      <w:r>
        <w:rPr/>
        <w:t>年</w:t>
      </w:r>
      <w:r>
        <w:rPr>
          <w:spacing w:val="-46"/>
        </w:rPr>
        <w:t> </w:t>
      </w:r>
      <w:r>
        <w:rPr/>
        <w:t>10</w:t>
      </w:r>
    </w:p>
    <w:p>
      <w:pPr>
        <w:pStyle w:val="BodyText"/>
        <w:spacing w:line="240" w:lineRule="auto" w:before="154"/>
        <w:ind w:right="0"/>
        <w:jc w:val="both"/>
      </w:pPr>
      <w:r>
        <w:rPr/>
        <w:t>月</w:t>
      </w:r>
      <w:r>
        <w:rPr>
          <w:spacing w:val="-60"/>
        </w:rPr>
        <w:t> </w:t>
      </w:r>
      <w:r>
        <w:rPr/>
        <w:t>22</w:t>
      </w:r>
      <w:r>
        <w:rPr>
          <w:spacing w:val="-60"/>
        </w:rPr>
        <w:t> </w:t>
      </w:r>
      <w:r>
        <w:rPr/>
        <w:t>日到期，已全部归还。公司此项担保解除。</w:t>
      </w:r>
    </w:p>
    <w:p>
      <w:pPr>
        <w:pStyle w:val="BodyText"/>
        <w:spacing w:line="357" w:lineRule="auto" w:before="154"/>
        <w:ind w:right="176" w:firstLine="410"/>
        <w:jc w:val="both"/>
      </w:pPr>
      <w:r>
        <w:rPr/>
        <w:t>2007</w:t>
      </w:r>
      <w:r>
        <w:rPr>
          <w:spacing w:val="-39"/>
        </w:rPr>
        <w:t> </w:t>
      </w:r>
      <w:r>
        <w:rPr/>
        <w:t>年</w:t>
      </w:r>
      <w:r>
        <w:rPr>
          <w:spacing w:val="-39"/>
        </w:rPr>
        <w:t> </w:t>
      </w:r>
      <w:r>
        <w:rPr/>
        <w:t>4</w:t>
      </w:r>
      <w:r>
        <w:rPr>
          <w:spacing w:val="-38"/>
        </w:rPr>
        <w:t> </w:t>
      </w:r>
      <w:r>
        <w:rPr/>
        <w:t>月</w:t>
      </w:r>
      <w:r>
        <w:rPr>
          <w:spacing w:val="-39"/>
        </w:rPr>
        <w:t> </w:t>
      </w:r>
      <w:r>
        <w:rPr/>
        <w:t>26</w:t>
      </w:r>
      <w:r>
        <w:rPr>
          <w:spacing w:val="-39"/>
        </w:rPr>
        <w:t> </w:t>
      </w:r>
      <w:r>
        <w:rPr/>
        <w:t>日，公司与武汉市商业银行青年路支行签订最高额保证合同，</w:t>
      </w:r>
      <w:r>
        <w:rPr/>
        <w:t> 公司为武汉苏宁电器有限公司自</w:t>
      </w:r>
      <w:r>
        <w:rPr>
          <w:spacing w:val="-61"/>
        </w:rPr>
        <w:t> </w:t>
      </w:r>
      <w:r>
        <w:rPr>
          <w:spacing w:val="24"/>
        </w:rPr>
        <w:t>2007年4月</w:t>
      </w:r>
      <w:r>
        <w:rPr>
          <w:spacing w:val="-61"/>
        </w:rPr>
        <w:t> </w:t>
      </w:r>
      <w:r>
        <w:rPr/>
        <w:t>26</w:t>
      </w:r>
      <w:r>
        <w:rPr>
          <w:spacing w:val="-61"/>
        </w:rPr>
        <w:t> </w:t>
      </w:r>
      <w:r>
        <w:rPr/>
        <w:t>日至</w:t>
      </w:r>
      <w:r>
        <w:rPr>
          <w:spacing w:val="-61"/>
        </w:rPr>
        <w:t> </w:t>
      </w:r>
      <w:r>
        <w:rPr>
          <w:spacing w:val="24"/>
        </w:rPr>
        <w:t>2008年4月</w:t>
      </w:r>
      <w:r>
        <w:rPr>
          <w:spacing w:val="-61"/>
        </w:rPr>
        <w:t> </w:t>
      </w:r>
      <w:r>
        <w:rPr/>
        <w:t>26</w:t>
      </w:r>
      <w:r>
        <w:rPr>
          <w:spacing w:val="-61"/>
        </w:rPr>
        <w:t> </w:t>
      </w:r>
      <w:r>
        <w:rPr/>
        <w:t>日期间的银行</w:t>
      </w:r>
      <w:r>
        <w:rPr/>
        <w:t> 授信提供连带责任保证，最高额度为</w:t>
      </w:r>
      <w:r>
        <w:rPr>
          <w:spacing w:val="-70"/>
        </w:rPr>
        <w:t> </w:t>
      </w:r>
      <w:r>
        <w:rPr/>
        <w:t>3,500</w:t>
      </w:r>
      <w:r>
        <w:rPr>
          <w:spacing w:val="-70"/>
        </w:rPr>
        <w:t> </w:t>
      </w:r>
      <w:r>
        <w:rPr/>
        <w:t>万元，武汉苏宁电器有限公司根据上述</w:t>
      </w:r>
    </w:p>
    <w:p>
      <w:pPr>
        <w:pStyle w:val="BodyText"/>
        <w:spacing w:line="357" w:lineRule="auto" w:before="36"/>
        <w:ind w:right="177"/>
        <w:jc w:val="both"/>
      </w:pPr>
      <w:r>
        <w:rPr/>
        <w:t>最高额保证合同及相关合同开具的银行承兑汇票于 </w:t>
      </w:r>
      <w:r>
        <w:rPr>
          <w:spacing w:val="38"/>
        </w:rPr>
        <w:t>2008年5月1</w:t>
      </w:r>
      <w:r>
        <w:rPr>
          <w:spacing w:val="-88"/>
        </w:rPr>
        <w:t> </w:t>
      </w:r>
      <w:r>
        <w:rPr/>
        <w:t>日到期，已全部</w:t>
      </w:r>
      <w:r>
        <w:rPr/>
        <w:t> 归还。公司此项担保解除。</w:t>
      </w:r>
    </w:p>
    <w:p>
      <w:pPr>
        <w:pStyle w:val="BodyText"/>
        <w:spacing w:line="240" w:lineRule="auto" w:before="36"/>
        <w:ind w:left="554" w:right="0"/>
        <w:jc w:val="left"/>
      </w:pPr>
      <w:r>
        <w:rPr/>
        <w:t>（5）2007</w:t>
      </w:r>
      <w:r>
        <w:rPr>
          <w:spacing w:val="-39"/>
        </w:rPr>
        <w:t> </w:t>
      </w:r>
      <w:r>
        <w:rPr/>
        <w:t>年</w:t>
      </w:r>
      <w:r>
        <w:rPr>
          <w:spacing w:val="-39"/>
        </w:rPr>
        <w:t> </w:t>
      </w:r>
      <w:r>
        <w:rPr/>
        <w:t>4</w:t>
      </w:r>
      <w:r>
        <w:rPr>
          <w:spacing w:val="-39"/>
        </w:rPr>
        <w:t> </w:t>
      </w:r>
      <w:r>
        <w:rPr/>
        <w:t>月</w:t>
      </w:r>
      <w:r>
        <w:rPr>
          <w:spacing w:val="-38"/>
        </w:rPr>
        <w:t> </w:t>
      </w:r>
      <w:r>
        <w:rPr/>
        <w:t>5</w:t>
      </w:r>
      <w:r>
        <w:rPr>
          <w:spacing w:val="-38"/>
        </w:rPr>
        <w:t> </w:t>
      </w:r>
      <w:r>
        <w:rPr/>
        <w:t>日，公司与交通银行股份有限公司长沙分行府中支行签订</w:t>
      </w:r>
    </w:p>
    <w:p>
      <w:pPr>
        <w:pStyle w:val="BodyText"/>
        <w:spacing w:line="240" w:lineRule="auto" w:before="154"/>
        <w:ind w:right="0"/>
        <w:jc w:val="both"/>
      </w:pPr>
      <w:r>
        <w:rPr/>
        <w:t>了最高额保证合同，为湖南苏宁电器有限公司自</w:t>
      </w:r>
      <w:r>
        <w:rPr>
          <w:spacing w:val="-65"/>
        </w:rPr>
        <w:t> </w:t>
      </w:r>
      <w:r>
        <w:rPr>
          <w:spacing w:val="30"/>
        </w:rPr>
        <w:t>2007年4月6</w:t>
      </w:r>
      <w:r>
        <w:rPr>
          <w:spacing w:val="-65"/>
        </w:rPr>
        <w:t> </w:t>
      </w:r>
      <w:r>
        <w:rPr/>
        <w:t>日起至</w:t>
      </w:r>
      <w:r>
        <w:rPr>
          <w:spacing w:val="-65"/>
        </w:rPr>
        <w:t> </w:t>
      </w:r>
      <w:r>
        <w:rPr>
          <w:spacing w:val="25"/>
        </w:rPr>
        <w:t>2008年4月</w:t>
      </w:r>
      <w:r>
        <w:rPr>
          <w:spacing w:val="-60"/>
        </w:rPr>
        <w:t> </w:t>
      </w:r>
      <w:r>
        <w:rPr/>
      </w:r>
    </w:p>
    <w:p>
      <w:pPr>
        <w:pStyle w:val="BodyText"/>
        <w:spacing w:line="240" w:lineRule="auto" w:before="154"/>
        <w:ind w:right="0"/>
        <w:jc w:val="both"/>
      </w:pPr>
      <w:r>
        <w:rPr/>
        <w:t>6</w:t>
      </w:r>
      <w:r>
        <w:rPr>
          <w:spacing w:val="-47"/>
        </w:rPr>
        <w:t> </w:t>
      </w:r>
      <w:r>
        <w:rPr/>
        <w:t>日期间的银行承兑汇票提供连带责任保证，最高额度为</w:t>
      </w:r>
      <w:r>
        <w:rPr>
          <w:spacing w:val="-47"/>
        </w:rPr>
        <w:t> </w:t>
      </w:r>
      <w:r>
        <w:rPr/>
        <w:t>3,600</w:t>
      </w:r>
      <w:r>
        <w:rPr>
          <w:spacing w:val="-47"/>
        </w:rPr>
        <w:t> </w:t>
      </w:r>
      <w:r>
        <w:rPr/>
        <w:t>万元。湖南苏宁电</w:t>
      </w:r>
    </w:p>
    <w:p>
      <w:pPr>
        <w:pStyle w:val="BodyText"/>
        <w:spacing w:line="240" w:lineRule="auto" w:before="154"/>
        <w:ind w:right="0"/>
        <w:jc w:val="both"/>
      </w:pPr>
      <w:r>
        <w:rPr/>
        <w:t>器有限公司根据上述最高额保证合同及相关合同开具的银行承兑汇票于 2008 年</w:t>
      </w:r>
      <w:r>
        <w:rPr>
          <w:spacing w:val="-20"/>
        </w:rPr>
        <w:t> </w:t>
      </w:r>
      <w:r>
        <w:rPr/>
        <w:t>4</w:t>
      </w:r>
    </w:p>
    <w:p>
      <w:pPr>
        <w:pStyle w:val="BodyText"/>
        <w:spacing w:line="240" w:lineRule="auto" w:before="154"/>
        <w:ind w:right="0"/>
        <w:jc w:val="both"/>
      </w:pPr>
      <w:r>
        <w:rPr/>
        <w:t>月</w:t>
      </w:r>
      <w:r>
        <w:rPr>
          <w:spacing w:val="-60"/>
        </w:rPr>
        <w:t> </w:t>
      </w:r>
      <w:r>
        <w:rPr/>
        <w:t>24</w:t>
      </w:r>
      <w:r>
        <w:rPr>
          <w:spacing w:val="-60"/>
        </w:rPr>
        <w:t> </w:t>
      </w:r>
      <w:r>
        <w:rPr/>
        <w:t>日到期，已全部归还。公司此项担保解除。</w:t>
      </w:r>
    </w:p>
    <w:p>
      <w:pPr>
        <w:pStyle w:val="BodyText"/>
        <w:spacing w:line="357" w:lineRule="auto" w:before="154"/>
        <w:ind w:right="176" w:firstLine="410"/>
        <w:jc w:val="both"/>
      </w:pPr>
      <w:r>
        <w:rPr>
          <w:spacing w:val="17"/>
        </w:rPr>
        <w:t>（6）2007年4月</w:t>
      </w:r>
      <w:r>
        <w:rPr>
          <w:spacing w:val="-60"/>
        </w:rPr>
        <w:t> </w:t>
      </w:r>
      <w:r>
        <w:rPr/>
        <w:t>18</w:t>
      </w:r>
      <w:r>
        <w:rPr>
          <w:spacing w:val="-60"/>
        </w:rPr>
        <w:t> </w:t>
      </w:r>
      <w:r>
        <w:rPr/>
        <w:t>日，公司与中国民生银行股份有限公司广州分行签订了最</w:t>
      </w:r>
      <w:r>
        <w:rPr/>
        <w:t> 高额保证合同，公司为广东苏宁电器有限公司自</w:t>
      </w:r>
      <w:r>
        <w:rPr>
          <w:spacing w:val="-42"/>
        </w:rPr>
        <w:t> </w:t>
      </w:r>
      <w:r>
        <w:rPr>
          <w:spacing w:val="33"/>
        </w:rPr>
        <w:t>2007年4月</w:t>
      </w:r>
      <w:r>
        <w:rPr>
          <w:spacing w:val="-42"/>
        </w:rPr>
        <w:t> </w:t>
      </w:r>
      <w:r>
        <w:rPr/>
        <w:t>23</w:t>
      </w:r>
      <w:r>
        <w:rPr>
          <w:spacing w:val="-42"/>
        </w:rPr>
        <w:t> </w:t>
      </w:r>
      <w:r>
        <w:rPr/>
        <w:t>日起至</w:t>
      </w:r>
      <w:r>
        <w:rPr>
          <w:spacing w:val="-42"/>
        </w:rPr>
        <w:t> </w:t>
      </w:r>
      <w:r>
        <w:rPr/>
        <w:t>2008</w:t>
      </w:r>
      <w:r>
        <w:rPr>
          <w:spacing w:val="-42"/>
        </w:rPr>
        <w:t> </w:t>
      </w:r>
      <w:r>
        <w:rPr/>
        <w:t>年</w:t>
      </w:r>
      <w:r>
        <w:rPr>
          <w:spacing w:val="-42"/>
        </w:rPr>
        <w:t> </w:t>
      </w:r>
      <w:r>
        <w:rPr/>
        <w:t>3</w:t>
      </w:r>
    </w:p>
    <w:p>
      <w:pPr>
        <w:pStyle w:val="BodyText"/>
        <w:spacing w:line="240" w:lineRule="auto" w:before="36"/>
        <w:ind w:right="0"/>
        <w:jc w:val="both"/>
      </w:pPr>
      <w:r>
        <w:rPr/>
        <w:t>月</w:t>
      </w:r>
      <w:r>
        <w:rPr>
          <w:spacing w:val="-65"/>
        </w:rPr>
        <w:t> </w:t>
      </w:r>
      <w:r>
        <w:rPr/>
        <w:t>6</w:t>
      </w:r>
      <w:r>
        <w:rPr>
          <w:spacing w:val="-65"/>
        </w:rPr>
        <w:t> </w:t>
      </w:r>
      <w:r>
        <w:rPr/>
        <w:t>日期间的银行授信提供连带责任保证，最高额度为</w:t>
      </w:r>
      <w:r>
        <w:rPr>
          <w:spacing w:val="-65"/>
        </w:rPr>
        <w:t> </w:t>
      </w:r>
      <w:r>
        <w:rPr/>
        <w:t>3,000</w:t>
      </w:r>
      <w:r>
        <w:rPr>
          <w:spacing w:val="-65"/>
        </w:rPr>
        <w:t> </w:t>
      </w:r>
      <w:r>
        <w:rPr/>
        <w:t>万元。广东苏宁电器</w:t>
      </w:r>
    </w:p>
    <w:p>
      <w:pPr>
        <w:pStyle w:val="BodyText"/>
        <w:spacing w:line="240" w:lineRule="auto" w:before="154"/>
        <w:ind w:right="0"/>
        <w:jc w:val="both"/>
      </w:pPr>
      <w:r>
        <w:rPr/>
        <w:t>有限公司根据上述最高额保证合同及相关合同开具的银行承兑汇票于</w:t>
      </w:r>
      <w:r>
        <w:rPr>
          <w:spacing w:val="-76"/>
        </w:rPr>
        <w:t> </w:t>
      </w:r>
      <w:r>
        <w:rPr/>
        <w:t>2008</w:t>
      </w:r>
      <w:r>
        <w:rPr>
          <w:spacing w:val="-76"/>
        </w:rPr>
        <w:t> </w:t>
      </w:r>
      <w:r>
        <w:rPr/>
        <w:t>年</w:t>
      </w:r>
      <w:r>
        <w:rPr>
          <w:spacing w:val="-77"/>
        </w:rPr>
        <w:t> </w:t>
      </w:r>
      <w:r>
        <w:rPr/>
        <w:t>5</w:t>
      </w:r>
      <w:r>
        <w:rPr>
          <w:spacing w:val="-76"/>
        </w:rPr>
        <w:t> </w:t>
      </w:r>
      <w:r>
        <w:rPr/>
        <w:t>月</w:t>
      </w:r>
      <w:r>
        <w:rPr>
          <w:spacing w:val="-76"/>
        </w:rPr>
        <w:t> </w:t>
      </w:r>
      <w:r>
        <w:rPr/>
        <w:t>2</w:t>
      </w:r>
    </w:p>
    <w:p>
      <w:pPr>
        <w:spacing w:after="0" w:line="240" w:lineRule="auto"/>
        <w:jc w:val="both"/>
        <w:sectPr>
          <w:pgSz w:w="11910" w:h="16840"/>
          <w:pgMar w:header="826" w:footer="894" w:top="1100" w:bottom="1100" w:left="1500" w:right="1460"/>
        </w:sectPr>
      </w:pPr>
    </w:p>
    <w:p>
      <w:pPr>
        <w:pStyle w:val="BodyText"/>
        <w:spacing w:line="240" w:lineRule="auto" w:before="106"/>
        <w:ind w:left="144" w:right="0"/>
        <w:jc w:val="both"/>
      </w:pPr>
      <w:r>
        <w:rPr/>
        <w:t>日到期，已全部归还。公司此项担保解除。</w:t>
      </w:r>
    </w:p>
    <w:p>
      <w:pPr>
        <w:pStyle w:val="BodyText"/>
        <w:spacing w:line="357" w:lineRule="auto" w:before="154"/>
        <w:ind w:right="117" w:firstLine="410"/>
        <w:jc w:val="both"/>
      </w:pPr>
      <w:r>
        <w:rPr>
          <w:spacing w:val="25"/>
        </w:rPr>
        <w:t>2007年4月</w:t>
      </w:r>
      <w:r>
        <w:rPr>
          <w:spacing w:val="-59"/>
        </w:rPr>
        <w:t> </w:t>
      </w:r>
      <w:r>
        <w:rPr/>
        <w:t>24</w:t>
      </w:r>
      <w:r>
        <w:rPr>
          <w:spacing w:val="-59"/>
        </w:rPr>
        <w:t> </w:t>
      </w:r>
      <w:r>
        <w:rPr/>
        <w:t>日，</w:t>
      </w:r>
      <w:r>
        <w:rPr>
          <w:spacing w:val="-9"/>
        </w:rPr>
        <w:t> </w:t>
      </w:r>
      <w:r>
        <w:rPr/>
        <w:t>公司与上海浦东发展银行广州分行解放路支行签订了最高</w:t>
      </w:r>
      <w:r>
        <w:rPr/>
        <w:t> 额保证合同，为广东苏宁电器有限公司自</w:t>
      </w:r>
      <w:r>
        <w:rPr>
          <w:spacing w:val="-62"/>
        </w:rPr>
        <w:t> </w:t>
      </w:r>
      <w:r>
        <w:rPr>
          <w:spacing w:val="25"/>
        </w:rPr>
        <w:t>2007年4月</w:t>
      </w:r>
      <w:r>
        <w:rPr>
          <w:spacing w:val="-62"/>
        </w:rPr>
        <w:t> </w:t>
      </w:r>
      <w:r>
        <w:rPr/>
        <w:t>24</w:t>
      </w:r>
      <w:r>
        <w:rPr>
          <w:spacing w:val="-62"/>
        </w:rPr>
        <w:t> </w:t>
      </w:r>
      <w:r>
        <w:rPr/>
        <w:t>日起至</w:t>
      </w:r>
      <w:r>
        <w:rPr>
          <w:spacing w:val="-62"/>
        </w:rPr>
        <w:t> </w:t>
      </w:r>
      <w:r>
        <w:rPr>
          <w:spacing w:val="25"/>
        </w:rPr>
        <w:t>2008年3月</w:t>
      </w:r>
      <w:r>
        <w:rPr>
          <w:spacing w:val="-62"/>
        </w:rPr>
        <w:t> </w:t>
      </w:r>
      <w:r>
        <w:rPr>
          <w:spacing w:val="20"/>
        </w:rPr>
        <w:t>23日</w:t>
      </w:r>
      <w:r>
        <w:rPr>
          <w:spacing w:val="-60"/>
        </w:rPr>
        <w:t> </w:t>
      </w:r>
      <w:r>
        <w:rPr/>
        <w:t>期间的银行授信提供连带责任保证，最高额度为</w:t>
      </w:r>
      <w:r>
        <w:rPr>
          <w:spacing w:val="-67"/>
        </w:rPr>
        <w:t> </w:t>
      </w:r>
      <w:r>
        <w:rPr/>
        <w:t>5,000</w:t>
      </w:r>
      <w:r>
        <w:rPr>
          <w:spacing w:val="-67"/>
        </w:rPr>
        <w:t> </w:t>
      </w:r>
      <w:r>
        <w:rPr/>
        <w:t>万元。广东苏宁电器有限公</w:t>
      </w:r>
      <w:r>
        <w:rPr/>
        <w:t> 司根据上述最高额保证合同及相关合同开具的承兑汇票于</w:t>
      </w:r>
      <w:r>
        <w:rPr>
          <w:spacing w:val="-59"/>
        </w:rPr>
        <w:t> </w:t>
      </w:r>
      <w:r>
        <w:rPr>
          <w:spacing w:val="25"/>
        </w:rPr>
        <w:t>2008年9月</w:t>
      </w:r>
      <w:r>
        <w:rPr>
          <w:spacing w:val="-59"/>
        </w:rPr>
        <w:t> </w:t>
      </w:r>
      <w:r>
        <w:rPr/>
        <w:t>12</w:t>
      </w:r>
      <w:r>
        <w:rPr>
          <w:spacing w:val="-59"/>
        </w:rPr>
        <w:t> </w:t>
      </w:r>
      <w:r>
        <w:rPr/>
        <w:t>日到期，</w:t>
      </w:r>
      <w:r>
        <w:rPr/>
        <w:t> 已全部归还，公司此项担保解除。</w:t>
      </w:r>
    </w:p>
    <w:p>
      <w:pPr>
        <w:pStyle w:val="BodyText"/>
        <w:spacing w:line="357" w:lineRule="auto" w:before="36"/>
        <w:ind w:left="144" w:right="176" w:firstLine="410"/>
        <w:jc w:val="both"/>
      </w:pPr>
      <w:r>
        <w:rPr>
          <w:spacing w:val="17"/>
        </w:rPr>
        <w:t>（7）2007年4月</w:t>
      </w:r>
      <w:r>
        <w:rPr>
          <w:spacing w:val="-60"/>
        </w:rPr>
        <w:t> </w:t>
      </w:r>
      <w:r>
        <w:rPr/>
        <w:t>23</w:t>
      </w:r>
      <w:r>
        <w:rPr>
          <w:spacing w:val="-60"/>
        </w:rPr>
        <w:t> </w:t>
      </w:r>
      <w:r>
        <w:rPr/>
        <w:t>日，公司与中国民生银行股份有限公司总行营业部签订最</w:t>
      </w:r>
      <w:r>
        <w:rPr/>
        <w:t> 高额保证合同，公司为北京苏宁电器有限公司自</w:t>
      </w:r>
      <w:r>
        <w:rPr>
          <w:spacing w:val="-42"/>
        </w:rPr>
        <w:t> </w:t>
      </w:r>
      <w:r>
        <w:rPr>
          <w:spacing w:val="33"/>
        </w:rPr>
        <w:t>2007年4月</w:t>
      </w:r>
      <w:r>
        <w:rPr>
          <w:spacing w:val="-42"/>
        </w:rPr>
        <w:t> </w:t>
      </w:r>
      <w:r>
        <w:rPr/>
        <w:t>23</w:t>
      </w:r>
      <w:r>
        <w:rPr>
          <w:spacing w:val="-42"/>
        </w:rPr>
        <w:t> </w:t>
      </w:r>
      <w:r>
        <w:rPr/>
        <w:t>日起至</w:t>
      </w:r>
      <w:r>
        <w:rPr>
          <w:spacing w:val="-42"/>
        </w:rPr>
        <w:t> </w:t>
      </w:r>
      <w:r>
        <w:rPr/>
        <w:t>2008</w:t>
      </w:r>
      <w:r>
        <w:rPr>
          <w:spacing w:val="-42"/>
        </w:rPr>
        <w:t> </w:t>
      </w:r>
      <w:r>
        <w:rPr/>
        <w:t>年</w:t>
      </w:r>
      <w:r>
        <w:rPr>
          <w:spacing w:val="-42"/>
        </w:rPr>
        <w:t> </w:t>
      </w:r>
      <w:r>
        <w:rPr/>
        <w:t>3</w:t>
      </w:r>
    </w:p>
    <w:p>
      <w:pPr>
        <w:pStyle w:val="BodyText"/>
        <w:spacing w:line="240" w:lineRule="auto" w:before="36"/>
        <w:ind w:left="144" w:right="0"/>
        <w:jc w:val="both"/>
      </w:pPr>
      <w:r>
        <w:rPr/>
        <w:t>月</w:t>
      </w:r>
      <w:r>
        <w:rPr>
          <w:spacing w:val="-65"/>
        </w:rPr>
        <w:t> </w:t>
      </w:r>
      <w:r>
        <w:rPr/>
        <w:t>6</w:t>
      </w:r>
      <w:r>
        <w:rPr>
          <w:spacing w:val="-65"/>
        </w:rPr>
        <w:t> </w:t>
      </w:r>
      <w:r>
        <w:rPr/>
        <w:t>日期间的银行授信提供连带责任保证，最高额度为</w:t>
      </w:r>
      <w:r>
        <w:rPr>
          <w:spacing w:val="-65"/>
        </w:rPr>
        <w:t> </w:t>
      </w:r>
      <w:r>
        <w:rPr/>
        <w:t>3,000</w:t>
      </w:r>
      <w:r>
        <w:rPr>
          <w:spacing w:val="-65"/>
        </w:rPr>
        <w:t> </w:t>
      </w:r>
      <w:r>
        <w:rPr/>
        <w:t>万元。北京苏宁电器</w:t>
      </w:r>
    </w:p>
    <w:p>
      <w:pPr>
        <w:pStyle w:val="BodyText"/>
        <w:spacing w:line="357" w:lineRule="auto" w:before="154"/>
        <w:ind w:left="144" w:right="177"/>
        <w:jc w:val="both"/>
      </w:pPr>
      <w:r>
        <w:rPr/>
        <w:t>有限公司根据上述最高额保证合同及相关合同开具的银行承兑汇票于</w:t>
      </w:r>
      <w:r>
        <w:rPr>
          <w:spacing w:val="-76"/>
        </w:rPr>
        <w:t> </w:t>
      </w:r>
      <w:r>
        <w:rPr/>
        <w:t>2008</w:t>
      </w:r>
      <w:r>
        <w:rPr>
          <w:spacing w:val="-76"/>
        </w:rPr>
        <w:t> </w:t>
      </w:r>
      <w:r>
        <w:rPr/>
        <w:t>年</w:t>
      </w:r>
      <w:r>
        <w:rPr>
          <w:spacing w:val="-77"/>
        </w:rPr>
        <w:t> </w:t>
      </w:r>
      <w:r>
        <w:rPr/>
        <w:t>5</w:t>
      </w:r>
      <w:r>
        <w:rPr>
          <w:spacing w:val="-76"/>
        </w:rPr>
        <w:t> </w:t>
      </w:r>
      <w:r>
        <w:rPr/>
        <w:t>月</w:t>
      </w:r>
      <w:r>
        <w:rPr>
          <w:spacing w:val="-76"/>
        </w:rPr>
        <w:t> </w:t>
      </w:r>
      <w:r>
        <w:rPr/>
        <w:t>2</w:t>
      </w:r>
      <w:r>
        <w:rPr/>
        <w:t> 日到期，已全部归还。公司此项担保解除。</w:t>
      </w:r>
    </w:p>
    <w:p>
      <w:pPr>
        <w:pStyle w:val="BodyText"/>
        <w:spacing w:line="240" w:lineRule="auto" w:before="36"/>
        <w:ind w:left="554" w:right="0"/>
        <w:jc w:val="left"/>
      </w:pPr>
      <w:r>
        <w:rPr/>
        <w:t>2008</w:t>
      </w:r>
      <w:r>
        <w:rPr>
          <w:spacing w:val="-39"/>
        </w:rPr>
        <w:t> </w:t>
      </w:r>
      <w:r>
        <w:rPr/>
        <w:t>年</w:t>
      </w:r>
      <w:r>
        <w:rPr>
          <w:spacing w:val="-39"/>
        </w:rPr>
        <w:t> </w:t>
      </w:r>
      <w:r>
        <w:rPr/>
        <w:t>4</w:t>
      </w:r>
      <w:r>
        <w:rPr>
          <w:spacing w:val="-38"/>
        </w:rPr>
        <w:t> </w:t>
      </w:r>
      <w:r>
        <w:rPr/>
        <w:t>月</w:t>
      </w:r>
      <w:r>
        <w:rPr>
          <w:spacing w:val="-39"/>
        </w:rPr>
        <w:t> </w:t>
      </w:r>
      <w:r>
        <w:rPr/>
        <w:t>7</w:t>
      </w:r>
      <w:r>
        <w:rPr>
          <w:spacing w:val="-39"/>
        </w:rPr>
        <w:t> </w:t>
      </w:r>
      <w:r>
        <w:rPr/>
        <w:t>日， 公司与华夏银行股份有限公司北京平安支行签订最高额保</w:t>
      </w:r>
    </w:p>
    <w:p>
      <w:pPr>
        <w:pStyle w:val="BodyText"/>
        <w:spacing w:line="240" w:lineRule="auto" w:before="154"/>
        <w:ind w:left="144" w:right="0"/>
        <w:jc w:val="both"/>
      </w:pPr>
      <w:r>
        <w:rPr/>
        <w:t>证合同， 公司为北京苏宁电器有限公司自</w:t>
      </w:r>
      <w:r>
        <w:rPr>
          <w:spacing w:val="-46"/>
        </w:rPr>
        <w:t> </w:t>
      </w:r>
      <w:r>
        <w:rPr/>
        <w:t>2008</w:t>
      </w:r>
      <w:r>
        <w:rPr>
          <w:spacing w:val="-46"/>
        </w:rPr>
        <w:t> </w:t>
      </w:r>
      <w:r>
        <w:rPr/>
        <w:t>年</w:t>
      </w:r>
      <w:r>
        <w:rPr>
          <w:spacing w:val="-46"/>
        </w:rPr>
        <w:t> </w:t>
      </w:r>
      <w:r>
        <w:rPr/>
        <w:t>4</w:t>
      </w:r>
      <w:r>
        <w:rPr>
          <w:spacing w:val="-45"/>
        </w:rPr>
        <w:t> </w:t>
      </w:r>
      <w:r>
        <w:rPr/>
        <w:t>月</w:t>
      </w:r>
      <w:r>
        <w:rPr>
          <w:spacing w:val="-46"/>
        </w:rPr>
        <w:t> </w:t>
      </w:r>
      <w:r>
        <w:rPr/>
        <w:t>21</w:t>
      </w:r>
      <w:r>
        <w:rPr>
          <w:spacing w:val="-46"/>
        </w:rPr>
        <w:t> </w:t>
      </w:r>
      <w:r>
        <w:rPr/>
        <w:t>日起至</w:t>
      </w:r>
      <w:r>
        <w:rPr>
          <w:spacing w:val="-46"/>
        </w:rPr>
        <w:t> </w:t>
      </w:r>
      <w:r>
        <w:rPr/>
        <w:t>2009</w:t>
      </w:r>
      <w:r>
        <w:rPr>
          <w:spacing w:val="-46"/>
        </w:rPr>
        <w:t> </w:t>
      </w:r>
      <w:r>
        <w:rPr/>
        <w:t>年</w:t>
      </w:r>
      <w:r>
        <w:rPr>
          <w:spacing w:val="-45"/>
        </w:rPr>
        <w:t> </w:t>
      </w:r>
      <w:r>
        <w:rPr/>
        <w:t>4</w:t>
      </w:r>
      <w:r>
        <w:rPr>
          <w:spacing w:val="-46"/>
        </w:rPr>
        <w:t> </w:t>
      </w:r>
      <w:r>
        <w:rPr/>
        <w:t>月</w:t>
      </w:r>
      <w:r>
        <w:rPr>
          <w:spacing w:val="-46"/>
        </w:rPr>
        <w:t> </w:t>
      </w:r>
      <w:r>
        <w:rPr/>
        <w:t>21</w:t>
      </w:r>
    </w:p>
    <w:p>
      <w:pPr>
        <w:pStyle w:val="BodyText"/>
        <w:spacing w:line="240" w:lineRule="auto" w:before="154"/>
        <w:ind w:left="144" w:right="0"/>
        <w:jc w:val="both"/>
      </w:pPr>
      <w:r>
        <w:rPr/>
        <w:t>日期间的银行授信提供连带责任保证，最高额度为</w:t>
      </w:r>
      <w:r>
        <w:rPr>
          <w:spacing w:val="-28"/>
        </w:rPr>
        <w:t> </w:t>
      </w:r>
      <w:r>
        <w:rPr/>
        <w:t>18,000</w:t>
      </w:r>
      <w:r>
        <w:rPr>
          <w:spacing w:val="-28"/>
        </w:rPr>
        <w:t> </w:t>
      </w:r>
      <w:r>
        <w:rPr/>
        <w:t>万元。截至</w:t>
      </w:r>
      <w:r>
        <w:rPr>
          <w:spacing w:val="-28"/>
        </w:rPr>
        <w:t> </w:t>
      </w:r>
      <w:r>
        <w:rPr/>
        <w:t>2008</w:t>
      </w:r>
      <w:r>
        <w:rPr>
          <w:spacing w:val="-28"/>
        </w:rPr>
        <w:t> </w:t>
      </w:r>
      <w:r>
        <w:rPr/>
        <w:t>年</w:t>
      </w:r>
      <w:r>
        <w:rPr>
          <w:spacing w:val="-28"/>
        </w:rPr>
        <w:t> </w:t>
      </w:r>
      <w:r>
        <w:rPr/>
        <w:t>12</w:t>
      </w:r>
    </w:p>
    <w:p>
      <w:pPr>
        <w:pStyle w:val="BodyText"/>
        <w:spacing w:line="357" w:lineRule="auto" w:before="154"/>
        <w:ind w:left="144" w:right="177"/>
        <w:jc w:val="both"/>
      </w:pPr>
      <w:r>
        <w:rPr/>
        <w:t>月 31</w:t>
      </w:r>
      <w:r>
        <w:rPr>
          <w:spacing w:val="-20"/>
        </w:rPr>
        <w:t> </w:t>
      </w:r>
      <w:r>
        <w:rPr/>
        <w:t>日，北京苏宁电器有限公司根据上述最高额保证合同及相关合同开具的承兑</w:t>
      </w:r>
      <w:r>
        <w:rPr/>
        <w:t> 汇票尚未到期，公司继续为其提供连带责任保证。</w:t>
      </w:r>
    </w:p>
    <w:p>
      <w:pPr>
        <w:pStyle w:val="BodyText"/>
        <w:spacing w:line="357" w:lineRule="auto" w:before="36"/>
        <w:ind w:left="144" w:right="177" w:firstLine="410"/>
        <w:jc w:val="both"/>
      </w:pPr>
      <w:r>
        <w:rPr>
          <w:spacing w:val="17"/>
        </w:rPr>
        <w:t>（8）2007年4月</w:t>
      </w:r>
      <w:r>
        <w:rPr>
          <w:spacing w:val="-60"/>
        </w:rPr>
        <w:t> </w:t>
      </w:r>
      <w:r>
        <w:rPr/>
        <w:t>24</w:t>
      </w:r>
      <w:r>
        <w:rPr>
          <w:spacing w:val="-60"/>
        </w:rPr>
        <w:t> </w:t>
      </w:r>
      <w:r>
        <w:rPr/>
        <w:t>日，公司与中国民生银行股份有限公司上海分行签订最高</w:t>
      </w:r>
      <w:r>
        <w:rPr/>
        <w:t> 额保证合同，为上海苏宁电器有限公司自</w:t>
      </w:r>
      <w:r>
        <w:rPr>
          <w:spacing w:val="-62"/>
        </w:rPr>
        <w:t> </w:t>
      </w:r>
      <w:r>
        <w:rPr>
          <w:spacing w:val="25"/>
        </w:rPr>
        <w:t>2007年4月</w:t>
      </w:r>
      <w:r>
        <w:rPr>
          <w:spacing w:val="-62"/>
        </w:rPr>
        <w:t> </w:t>
      </w:r>
      <w:r>
        <w:rPr/>
        <w:t>24</w:t>
      </w:r>
      <w:r>
        <w:rPr>
          <w:spacing w:val="-62"/>
        </w:rPr>
        <w:t> </w:t>
      </w:r>
      <w:r>
        <w:rPr/>
        <w:t>日至</w:t>
      </w:r>
      <w:r>
        <w:rPr>
          <w:spacing w:val="-62"/>
        </w:rPr>
        <w:t> </w:t>
      </w:r>
      <w:r>
        <w:rPr>
          <w:spacing w:val="25"/>
        </w:rPr>
        <w:t>2008年4月</w:t>
      </w:r>
      <w:r>
        <w:rPr>
          <w:spacing w:val="-62"/>
        </w:rPr>
        <w:t> </w:t>
      </w:r>
      <w:r>
        <w:rPr/>
        <w:t>23</w:t>
      </w:r>
      <w:r>
        <w:rPr>
          <w:spacing w:val="-62"/>
        </w:rPr>
        <w:t> </w:t>
      </w:r>
      <w:r>
        <w:rPr/>
        <w:t>日期</w:t>
      </w:r>
      <w:r>
        <w:rPr/>
        <w:t> 间的银行授信提供连带责任担保，最高额度为</w:t>
      </w:r>
      <w:r>
        <w:rPr>
          <w:spacing w:val="-70"/>
        </w:rPr>
        <w:t> </w:t>
      </w:r>
      <w:r>
        <w:rPr/>
        <w:t>5,000</w:t>
      </w:r>
      <w:r>
        <w:rPr>
          <w:spacing w:val="-70"/>
        </w:rPr>
        <w:t> </w:t>
      </w:r>
      <w:r>
        <w:rPr/>
        <w:t>万元。上海苏宁电器有限公司</w:t>
      </w:r>
    </w:p>
    <w:p>
      <w:pPr>
        <w:pStyle w:val="BodyText"/>
        <w:spacing w:line="357" w:lineRule="auto" w:before="36"/>
        <w:ind w:left="144" w:right="177"/>
        <w:jc w:val="both"/>
      </w:pPr>
      <w:r>
        <w:rPr/>
        <w:t>根据上述最高额保证合同以及相关合同开具的银行承兑汇票于</w:t>
      </w:r>
      <w:r>
        <w:rPr>
          <w:spacing w:val="-64"/>
        </w:rPr>
        <w:t> </w:t>
      </w:r>
      <w:r>
        <w:rPr/>
        <w:t>2008</w:t>
      </w:r>
      <w:r>
        <w:rPr>
          <w:spacing w:val="-63"/>
        </w:rPr>
        <w:t> </w:t>
      </w:r>
      <w:r>
        <w:rPr/>
        <w:t>年</w:t>
      </w:r>
      <w:r>
        <w:rPr>
          <w:spacing w:val="-64"/>
        </w:rPr>
        <w:t> </w:t>
      </w:r>
      <w:r>
        <w:rPr/>
        <w:t>10</w:t>
      </w:r>
      <w:r>
        <w:rPr>
          <w:spacing w:val="-64"/>
        </w:rPr>
        <w:t> </w:t>
      </w:r>
      <w:r>
        <w:rPr/>
        <w:t>月</w:t>
      </w:r>
      <w:r>
        <w:rPr>
          <w:spacing w:val="-64"/>
        </w:rPr>
        <w:t> </w:t>
      </w:r>
      <w:r>
        <w:rPr/>
        <w:t>2</w:t>
      </w:r>
      <w:r>
        <w:rPr>
          <w:spacing w:val="-63"/>
        </w:rPr>
        <w:t> </w:t>
      </w:r>
      <w:r>
        <w:rPr/>
        <w:t>日到</w:t>
      </w:r>
      <w:r>
        <w:rPr/>
        <w:t> 期，已全部归还，公司此项担保解除。</w:t>
      </w:r>
    </w:p>
    <w:p>
      <w:pPr>
        <w:pStyle w:val="BodyText"/>
        <w:spacing w:line="357" w:lineRule="auto" w:before="36"/>
        <w:ind w:left="144" w:right="176" w:firstLine="410"/>
        <w:jc w:val="both"/>
      </w:pPr>
      <w:r>
        <w:rPr>
          <w:spacing w:val="25"/>
        </w:rPr>
        <w:t>2007年6月</w:t>
      </w:r>
      <w:r>
        <w:rPr>
          <w:spacing w:val="-59"/>
        </w:rPr>
        <w:t> </w:t>
      </w:r>
      <w:r>
        <w:rPr/>
        <w:t>21</w:t>
      </w:r>
      <w:r>
        <w:rPr>
          <w:spacing w:val="-59"/>
        </w:rPr>
        <w:t> </w:t>
      </w:r>
      <w:r>
        <w:rPr/>
        <w:t>日，</w:t>
      </w:r>
      <w:r>
        <w:rPr>
          <w:spacing w:val="-8"/>
        </w:rPr>
        <w:t> </w:t>
      </w:r>
      <w:r>
        <w:rPr/>
        <w:t>公司与招商银行股份有限公司上海分行兰溪支行签订了最</w:t>
      </w:r>
      <w:r>
        <w:rPr/>
        <w:t> 高额不可撤销担保书， 公司为上海苏宁电器有限公司自</w:t>
      </w:r>
      <w:r>
        <w:rPr>
          <w:spacing w:val="-54"/>
        </w:rPr>
        <w:t> </w:t>
      </w:r>
      <w:r>
        <w:rPr>
          <w:spacing w:val="28"/>
        </w:rPr>
        <w:t>2007年6月</w:t>
      </w:r>
      <w:r>
        <w:rPr>
          <w:spacing w:val="-54"/>
        </w:rPr>
        <w:t> </w:t>
      </w:r>
      <w:r>
        <w:rPr/>
        <w:t>25</w:t>
      </w:r>
      <w:r>
        <w:rPr>
          <w:spacing w:val="-54"/>
        </w:rPr>
        <w:t> </w:t>
      </w:r>
      <w:r>
        <w:rPr/>
        <w:t>日至</w:t>
      </w:r>
      <w:r>
        <w:rPr>
          <w:spacing w:val="-54"/>
        </w:rPr>
        <w:t> </w:t>
      </w:r>
      <w:r>
        <w:rPr/>
        <w:t>2008</w:t>
      </w:r>
    </w:p>
    <w:p>
      <w:pPr>
        <w:pStyle w:val="BodyText"/>
        <w:spacing w:line="357" w:lineRule="auto" w:before="36"/>
        <w:ind w:left="144" w:right="122"/>
        <w:jc w:val="both"/>
      </w:pPr>
      <w:r>
        <w:rPr>
          <w:spacing w:val="57"/>
        </w:rPr>
        <w:t>年6月4</w:t>
      </w:r>
      <w:r>
        <w:rPr>
          <w:spacing w:val="-44"/>
        </w:rPr>
        <w:t> </w:t>
      </w:r>
      <w:r>
        <w:rPr/>
        <w:t>日期间的银行授信提供连带责任担保，最高额度为</w:t>
      </w:r>
      <w:r>
        <w:rPr>
          <w:spacing w:val="-44"/>
        </w:rPr>
        <w:t> </w:t>
      </w:r>
      <w:r>
        <w:rPr/>
        <w:t>10,000</w:t>
      </w:r>
      <w:r>
        <w:rPr>
          <w:spacing w:val="-44"/>
        </w:rPr>
        <w:t> </w:t>
      </w:r>
      <w:r>
        <w:rPr/>
        <w:t>万元。公司根</w:t>
      </w:r>
      <w:r>
        <w:rPr/>
        <w:t> 据上述最高额不可撤销担保书及相关合同开具的银行承兑汇票于</w:t>
      </w:r>
      <w:r>
        <w:rPr>
          <w:spacing w:val="-64"/>
        </w:rPr>
        <w:t> </w:t>
      </w:r>
      <w:r>
        <w:rPr>
          <w:spacing w:val="24"/>
        </w:rPr>
        <w:t>2008年7月</w:t>
      </w:r>
      <w:r>
        <w:rPr>
          <w:spacing w:val="-64"/>
        </w:rPr>
        <w:t> </w:t>
      </w:r>
      <w:r>
        <w:rPr>
          <w:spacing w:val="19"/>
        </w:rPr>
        <w:t>31日</w:t>
      </w:r>
      <w:r>
        <w:rPr>
          <w:spacing w:val="-64"/>
        </w:rPr>
        <w:t> </w:t>
      </w:r>
      <w:r>
        <w:rPr/>
        <w:t>到期，已全部归还，公司此项担保解除。</w:t>
      </w:r>
    </w:p>
    <w:p>
      <w:pPr>
        <w:pStyle w:val="BodyText"/>
        <w:spacing w:line="357" w:lineRule="auto" w:before="36"/>
        <w:ind w:left="144" w:right="176" w:firstLine="410"/>
        <w:jc w:val="both"/>
      </w:pPr>
      <w:r>
        <w:rPr>
          <w:spacing w:val="25"/>
        </w:rPr>
        <w:t>2008年1月</w:t>
      </w:r>
      <w:r>
        <w:rPr>
          <w:spacing w:val="-59"/>
        </w:rPr>
        <w:t> </w:t>
      </w:r>
      <w:r>
        <w:rPr/>
        <w:t>30</w:t>
      </w:r>
      <w:r>
        <w:rPr>
          <w:spacing w:val="-59"/>
        </w:rPr>
        <w:t> </w:t>
      </w:r>
      <w:r>
        <w:rPr/>
        <w:t>日，</w:t>
      </w:r>
      <w:r>
        <w:rPr>
          <w:spacing w:val="-8"/>
        </w:rPr>
        <w:t> </w:t>
      </w:r>
      <w:r>
        <w:rPr/>
        <w:t>公司与交通银行股份有限公司上海浦东分行签订了最高额</w:t>
      </w:r>
      <w:r>
        <w:rPr/>
        <w:t> 保证合同，为上海苏宁电器有限公司自</w:t>
      </w:r>
      <w:r>
        <w:rPr>
          <w:spacing w:val="-62"/>
        </w:rPr>
        <w:t> </w:t>
      </w:r>
      <w:r>
        <w:rPr>
          <w:spacing w:val="25"/>
        </w:rPr>
        <w:t>2008年1月</w:t>
      </w:r>
      <w:r>
        <w:rPr>
          <w:spacing w:val="-62"/>
        </w:rPr>
        <w:t> </w:t>
      </w:r>
      <w:r>
        <w:rPr/>
        <w:t>30</w:t>
      </w:r>
      <w:r>
        <w:rPr>
          <w:spacing w:val="-62"/>
        </w:rPr>
        <w:t> </w:t>
      </w:r>
      <w:r>
        <w:rPr/>
        <w:t>日起至</w:t>
      </w:r>
      <w:r>
        <w:rPr>
          <w:spacing w:val="-62"/>
        </w:rPr>
        <w:t> </w:t>
      </w:r>
      <w:r>
        <w:rPr>
          <w:spacing w:val="25"/>
        </w:rPr>
        <w:t>2008年9月</w:t>
      </w:r>
      <w:r>
        <w:rPr>
          <w:spacing w:val="-62"/>
        </w:rPr>
        <w:t> </w:t>
      </w:r>
      <w:r>
        <w:rPr/>
        <w:t>20</w:t>
      </w:r>
      <w:r>
        <w:rPr>
          <w:spacing w:val="-62"/>
        </w:rPr>
        <w:t> </w:t>
      </w:r>
      <w:r>
        <w:rPr/>
        <w:t>日期</w:t>
      </w:r>
      <w:r>
        <w:rPr/>
        <w:t> 间的银行授信提供连带责任保证，最高额度为</w:t>
      </w:r>
      <w:r>
        <w:rPr>
          <w:spacing w:val="-54"/>
        </w:rPr>
        <w:t> </w:t>
      </w:r>
      <w:r>
        <w:rPr/>
        <w:t>20,000</w:t>
      </w:r>
      <w:r>
        <w:rPr>
          <w:spacing w:val="-54"/>
        </w:rPr>
        <w:t> </w:t>
      </w:r>
      <w:r>
        <w:rPr/>
        <w:t>万元。截至</w:t>
      </w:r>
      <w:r>
        <w:rPr>
          <w:spacing w:val="-54"/>
        </w:rPr>
        <w:t> </w:t>
      </w:r>
      <w:r>
        <w:rPr/>
        <w:t>2008</w:t>
      </w:r>
      <w:r>
        <w:rPr>
          <w:spacing w:val="-54"/>
        </w:rPr>
        <w:t> </w:t>
      </w:r>
      <w:r>
        <w:rPr/>
        <w:t>年</w:t>
      </w:r>
      <w:r>
        <w:rPr>
          <w:spacing w:val="-54"/>
        </w:rPr>
        <w:t> </w:t>
      </w:r>
      <w:r>
        <w:rPr/>
        <w:t>12</w:t>
      </w:r>
      <w:r>
        <w:rPr>
          <w:spacing w:val="-54"/>
        </w:rPr>
        <w:t> </w:t>
      </w:r>
      <w:r>
        <w:rPr/>
        <w:t>月</w:t>
      </w:r>
      <w:r>
        <w:rPr>
          <w:spacing w:val="-54"/>
        </w:rPr>
        <w:t> </w:t>
      </w:r>
      <w:r>
        <w:rPr/>
        <w:t>31</w:t>
      </w:r>
      <w:r>
        <w:rPr/>
        <w:t> </w:t>
      </w:r>
      <w:r>
        <w:rPr>
          <w:spacing w:val="-1"/>
        </w:rPr>
        <w:t>日，上海苏宁电器有限公司根据上述最高额保证合同及相关合同开具的承兑汇票尚</w:t>
      </w:r>
    </w:p>
    <w:p>
      <w:pPr>
        <w:spacing w:after="0" w:line="357" w:lineRule="auto"/>
        <w:jc w:val="both"/>
        <w:sectPr>
          <w:pgSz w:w="11910" w:h="16840"/>
          <w:pgMar w:header="826" w:footer="894" w:top="1100" w:bottom="1100" w:left="1500" w:right="1460"/>
        </w:sectPr>
      </w:pPr>
    </w:p>
    <w:p>
      <w:pPr>
        <w:pStyle w:val="BodyText"/>
        <w:spacing w:line="240" w:lineRule="auto" w:before="106"/>
        <w:ind w:left="144" w:right="108"/>
        <w:jc w:val="left"/>
      </w:pPr>
      <w:r>
        <w:rPr/>
        <w:t>未到期，公司继续为其提供连带责任保证。</w:t>
      </w:r>
    </w:p>
    <w:p>
      <w:pPr>
        <w:pStyle w:val="BodyText"/>
        <w:spacing w:line="357" w:lineRule="auto" w:before="154"/>
        <w:ind w:right="237" w:firstLine="410"/>
        <w:jc w:val="both"/>
      </w:pPr>
      <w:r>
        <w:rPr/>
        <w:t>2008</w:t>
      </w:r>
      <w:r>
        <w:rPr>
          <w:spacing w:val="-39"/>
        </w:rPr>
        <w:t> </w:t>
      </w:r>
      <w:r>
        <w:rPr/>
        <w:t>年</w:t>
      </w:r>
      <w:r>
        <w:rPr>
          <w:spacing w:val="-39"/>
        </w:rPr>
        <w:t> </w:t>
      </w:r>
      <w:r>
        <w:rPr/>
        <w:t>4</w:t>
      </w:r>
      <w:r>
        <w:rPr>
          <w:spacing w:val="-38"/>
        </w:rPr>
        <w:t> </w:t>
      </w:r>
      <w:r>
        <w:rPr/>
        <w:t>月</w:t>
      </w:r>
      <w:r>
        <w:rPr>
          <w:spacing w:val="-39"/>
        </w:rPr>
        <w:t> </w:t>
      </w:r>
      <w:r>
        <w:rPr/>
        <w:t>11</w:t>
      </w:r>
      <w:r>
        <w:rPr>
          <w:spacing w:val="-39"/>
        </w:rPr>
        <w:t> </w:t>
      </w:r>
      <w:r>
        <w:rPr/>
        <w:t>日，公司与中信银行股份有限公司上海分行签订最高额保证合</w:t>
      </w:r>
      <w:r>
        <w:rPr/>
        <w:t> 同，为中信银行股份有限公司上海分行自</w:t>
      </w:r>
      <w:r>
        <w:rPr>
          <w:spacing w:val="-62"/>
        </w:rPr>
        <w:t> </w:t>
      </w:r>
      <w:r>
        <w:rPr>
          <w:spacing w:val="25"/>
        </w:rPr>
        <w:t>2008年4月</w:t>
      </w:r>
      <w:r>
        <w:rPr>
          <w:spacing w:val="-62"/>
        </w:rPr>
        <w:t> </w:t>
      </w:r>
      <w:r>
        <w:rPr/>
        <w:t>11</w:t>
      </w:r>
      <w:r>
        <w:rPr>
          <w:spacing w:val="-62"/>
        </w:rPr>
        <w:t> </w:t>
      </w:r>
      <w:r>
        <w:rPr/>
        <w:t>日至</w:t>
      </w:r>
      <w:r>
        <w:rPr>
          <w:spacing w:val="-62"/>
        </w:rPr>
        <w:t> </w:t>
      </w:r>
      <w:r>
        <w:rPr>
          <w:spacing w:val="25"/>
        </w:rPr>
        <w:t>2009年3月</w:t>
      </w:r>
      <w:r>
        <w:rPr>
          <w:spacing w:val="-62"/>
        </w:rPr>
        <w:t> </w:t>
      </w:r>
      <w:r>
        <w:rPr/>
        <w:t>20</w:t>
      </w:r>
      <w:r>
        <w:rPr>
          <w:spacing w:val="-62"/>
        </w:rPr>
        <w:t> </w:t>
      </w:r>
      <w:r>
        <w:rPr/>
        <w:t>日期</w:t>
      </w:r>
      <w:r>
        <w:rPr/>
        <w:t> 间提供给上海苏宁电器有限公司最高额为 14,285</w:t>
      </w:r>
      <w:r>
        <w:rPr>
          <w:spacing w:val="-20"/>
        </w:rPr>
        <w:t> </w:t>
      </w:r>
      <w:r>
        <w:rPr/>
        <w:t>万元的各项银行融资提供连带责</w:t>
      </w:r>
    </w:p>
    <w:p>
      <w:pPr>
        <w:pStyle w:val="BodyText"/>
        <w:spacing w:line="357" w:lineRule="auto" w:before="36"/>
        <w:ind w:right="225"/>
        <w:jc w:val="left"/>
      </w:pPr>
      <w:r>
        <w:rPr/>
        <w:t>任保证。截至</w:t>
      </w:r>
      <w:r>
        <w:rPr>
          <w:spacing w:val="-44"/>
        </w:rPr>
        <w:t> </w:t>
      </w:r>
      <w:r>
        <w:rPr/>
        <w:t>2008</w:t>
      </w:r>
      <w:r>
        <w:rPr>
          <w:spacing w:val="-44"/>
        </w:rPr>
        <w:t> </w:t>
      </w:r>
      <w:r>
        <w:rPr/>
        <w:t>年</w:t>
      </w:r>
      <w:r>
        <w:rPr>
          <w:spacing w:val="-44"/>
        </w:rPr>
        <w:t> </w:t>
      </w:r>
      <w:r>
        <w:rPr/>
        <w:t>12</w:t>
      </w:r>
      <w:r>
        <w:rPr>
          <w:spacing w:val="-44"/>
        </w:rPr>
        <w:t> </w:t>
      </w:r>
      <w:r>
        <w:rPr/>
        <w:t>月</w:t>
      </w:r>
      <w:r>
        <w:rPr>
          <w:spacing w:val="-44"/>
        </w:rPr>
        <w:t> </w:t>
      </w:r>
      <w:r>
        <w:rPr/>
        <w:t>31</w:t>
      </w:r>
      <w:r>
        <w:rPr>
          <w:spacing w:val="-44"/>
        </w:rPr>
        <w:t> </w:t>
      </w:r>
      <w:r>
        <w:rPr/>
        <w:t>日，上海苏宁电器有限公司根据上述最高额保证合</w:t>
      </w:r>
      <w:r>
        <w:rPr/>
        <w:t> 同及相关合同开具的承兑汇票尚未到期，公司继续为其提供连带责任保证。</w:t>
      </w:r>
    </w:p>
    <w:p>
      <w:pPr>
        <w:pStyle w:val="BodyText"/>
        <w:spacing w:line="357" w:lineRule="auto" w:before="36"/>
        <w:ind w:right="177" w:firstLine="410"/>
        <w:jc w:val="both"/>
      </w:pPr>
      <w:r>
        <w:rPr/>
        <w:t>2008</w:t>
      </w:r>
      <w:r>
        <w:rPr>
          <w:spacing w:val="-39"/>
        </w:rPr>
        <w:t> </w:t>
      </w:r>
      <w:r>
        <w:rPr/>
        <w:t>年</w:t>
      </w:r>
      <w:r>
        <w:rPr>
          <w:spacing w:val="-39"/>
        </w:rPr>
        <w:t> </w:t>
      </w:r>
      <w:r>
        <w:rPr/>
        <w:t>4</w:t>
      </w:r>
      <w:r>
        <w:rPr>
          <w:spacing w:val="-38"/>
        </w:rPr>
        <w:t> </w:t>
      </w:r>
      <w:r>
        <w:rPr/>
        <w:t>月</w:t>
      </w:r>
      <w:r>
        <w:rPr>
          <w:spacing w:val="-39"/>
        </w:rPr>
        <w:t> </w:t>
      </w:r>
      <w:r>
        <w:rPr/>
        <w:t>11</w:t>
      </w:r>
      <w:r>
        <w:rPr>
          <w:spacing w:val="-39"/>
        </w:rPr>
        <w:t> </w:t>
      </w:r>
      <w:r>
        <w:rPr/>
        <w:t>日，公司与招商银行股份有限公司上海曹杨支行签订最高额不</w:t>
      </w:r>
      <w:r>
        <w:rPr/>
        <w:t> 可撤销担保书，为上海苏宁电器有限公司自</w:t>
      </w:r>
      <w:r>
        <w:rPr>
          <w:spacing w:val="-62"/>
        </w:rPr>
        <w:t> </w:t>
      </w:r>
      <w:r>
        <w:rPr>
          <w:spacing w:val="25"/>
        </w:rPr>
        <w:t>2008年4月</w:t>
      </w:r>
      <w:r>
        <w:rPr>
          <w:spacing w:val="-62"/>
        </w:rPr>
        <w:t> </w:t>
      </w:r>
      <w:r>
        <w:rPr/>
        <w:t>11</w:t>
      </w:r>
      <w:r>
        <w:rPr>
          <w:spacing w:val="-62"/>
        </w:rPr>
        <w:t> </w:t>
      </w:r>
      <w:r>
        <w:rPr/>
        <w:t>日至</w:t>
      </w:r>
      <w:r>
        <w:rPr>
          <w:spacing w:val="-62"/>
        </w:rPr>
        <w:t> </w:t>
      </w:r>
      <w:r>
        <w:rPr>
          <w:spacing w:val="25"/>
        </w:rPr>
        <w:t>2009年4月</w:t>
      </w:r>
      <w:r>
        <w:rPr>
          <w:spacing w:val="-62"/>
        </w:rPr>
        <w:t> </w:t>
      </w:r>
      <w:r>
        <w:rPr>
          <w:spacing w:val="20"/>
        </w:rPr>
        <w:t>10日</w:t>
      </w:r>
      <w:r>
        <w:rPr>
          <w:spacing w:val="-60"/>
        </w:rPr>
        <w:t> </w:t>
      </w:r>
      <w:r>
        <w:rPr/>
        <w:t>期间的银行授信提供连带责任保证，最高额度为</w:t>
      </w:r>
      <w:r>
        <w:rPr>
          <w:spacing w:val="-44"/>
        </w:rPr>
        <w:t> </w:t>
      </w:r>
      <w:r>
        <w:rPr/>
        <w:t>13,000</w:t>
      </w:r>
      <w:r>
        <w:rPr>
          <w:spacing w:val="-44"/>
        </w:rPr>
        <w:t> </w:t>
      </w:r>
      <w:r>
        <w:rPr/>
        <w:t>万元。截至</w:t>
      </w:r>
      <w:r>
        <w:rPr>
          <w:spacing w:val="-44"/>
        </w:rPr>
        <w:t> </w:t>
      </w:r>
      <w:r>
        <w:rPr/>
        <w:t>2008</w:t>
      </w:r>
      <w:r>
        <w:rPr>
          <w:spacing w:val="-44"/>
        </w:rPr>
        <w:t> </w:t>
      </w:r>
      <w:r>
        <w:rPr/>
        <w:t>年</w:t>
      </w:r>
      <w:r>
        <w:rPr>
          <w:spacing w:val="-44"/>
        </w:rPr>
        <w:t> </w:t>
      </w:r>
      <w:r>
        <w:rPr/>
        <w:t>12</w:t>
      </w:r>
      <w:r>
        <w:rPr>
          <w:spacing w:val="-44"/>
        </w:rPr>
        <w:t> </w:t>
      </w:r>
      <w:r>
        <w:rPr/>
        <w:t>月</w:t>
      </w:r>
    </w:p>
    <w:p>
      <w:pPr>
        <w:pStyle w:val="BodyText"/>
        <w:spacing w:line="357" w:lineRule="auto" w:before="36"/>
        <w:ind w:right="225"/>
        <w:jc w:val="left"/>
      </w:pPr>
      <w:r>
        <w:rPr/>
        <w:t>31</w:t>
      </w:r>
      <w:r>
        <w:rPr>
          <w:spacing w:val="-39"/>
        </w:rPr>
        <w:t> </w:t>
      </w:r>
      <w:r>
        <w:rPr>
          <w:spacing w:val="-3"/>
        </w:rPr>
        <w:t>日，上海苏宁电器有限公司根据上述最高额保证合同及相关合同开具的承兑汇票</w:t>
      </w:r>
      <w:r>
        <w:rPr>
          <w:spacing w:val="-117"/>
        </w:rPr>
        <w:t> </w:t>
      </w:r>
      <w:r>
        <w:rPr>
          <w:spacing w:val="-117"/>
        </w:rPr>
      </w:r>
      <w:r>
        <w:rPr/>
        <w:t>尚未到期，公司继续为其提供连带责任保证。</w:t>
      </w:r>
    </w:p>
    <w:p>
      <w:pPr>
        <w:pStyle w:val="BodyText"/>
        <w:spacing w:line="357" w:lineRule="auto" w:before="36"/>
        <w:ind w:left="144" w:right="237" w:firstLine="410"/>
        <w:jc w:val="both"/>
      </w:pPr>
      <w:r>
        <w:rPr>
          <w:spacing w:val="17"/>
        </w:rPr>
        <w:t>（9）2007年6月</w:t>
      </w:r>
      <w:r>
        <w:rPr>
          <w:spacing w:val="-61"/>
        </w:rPr>
        <w:t> </w:t>
      </w:r>
      <w:r>
        <w:rPr/>
        <w:t>26</w:t>
      </w:r>
      <w:r>
        <w:rPr>
          <w:spacing w:val="-61"/>
        </w:rPr>
        <w:t> </w:t>
      </w:r>
      <w:r>
        <w:rPr/>
        <w:t>日，公司与交通银行合肥分行签订最高额保证合同，为安</w:t>
      </w:r>
      <w:r>
        <w:rPr/>
        <w:t> 徽苏宁电器有限公司自</w:t>
      </w:r>
      <w:r>
        <w:rPr>
          <w:spacing w:val="-62"/>
        </w:rPr>
        <w:t> </w:t>
      </w:r>
      <w:r>
        <w:rPr/>
        <w:t>2007</w:t>
      </w:r>
      <w:r>
        <w:rPr>
          <w:spacing w:val="-62"/>
        </w:rPr>
        <w:t> </w:t>
      </w:r>
      <w:r>
        <w:rPr/>
        <w:t>年</w:t>
      </w:r>
      <w:r>
        <w:rPr>
          <w:spacing w:val="-63"/>
        </w:rPr>
        <w:t> </w:t>
      </w:r>
      <w:r>
        <w:rPr/>
        <w:t>6</w:t>
      </w:r>
      <w:r>
        <w:rPr>
          <w:spacing w:val="-62"/>
        </w:rPr>
        <w:t> </w:t>
      </w:r>
      <w:r>
        <w:rPr/>
        <w:t>月</w:t>
      </w:r>
      <w:r>
        <w:rPr>
          <w:spacing w:val="-62"/>
        </w:rPr>
        <w:t> </w:t>
      </w:r>
      <w:r>
        <w:rPr/>
        <w:t>26</w:t>
      </w:r>
      <w:r>
        <w:rPr>
          <w:spacing w:val="-62"/>
        </w:rPr>
        <w:t> </w:t>
      </w:r>
      <w:r>
        <w:rPr/>
        <w:t>日起至</w:t>
      </w:r>
      <w:r>
        <w:rPr>
          <w:spacing w:val="-62"/>
        </w:rPr>
        <w:t> </w:t>
      </w:r>
      <w:r>
        <w:rPr/>
        <w:t>2008</w:t>
      </w:r>
      <w:r>
        <w:rPr>
          <w:spacing w:val="-63"/>
        </w:rPr>
        <w:t> </w:t>
      </w:r>
      <w:r>
        <w:rPr>
          <w:spacing w:val="38"/>
        </w:rPr>
        <w:t>年5月</w:t>
      </w:r>
      <w:r>
        <w:rPr>
          <w:spacing w:val="-62"/>
        </w:rPr>
        <w:t> </w:t>
      </w:r>
      <w:r>
        <w:rPr/>
        <w:t>24</w:t>
      </w:r>
      <w:r>
        <w:rPr>
          <w:spacing w:val="-62"/>
        </w:rPr>
        <w:t> </w:t>
      </w:r>
      <w:r>
        <w:rPr/>
        <w:t>日期间的银行承兑汇</w:t>
      </w:r>
    </w:p>
    <w:p>
      <w:pPr>
        <w:pStyle w:val="BodyText"/>
        <w:spacing w:line="357" w:lineRule="auto" w:before="36"/>
        <w:ind w:left="144" w:right="226"/>
        <w:jc w:val="left"/>
      </w:pPr>
      <w:r>
        <w:rPr/>
        <w:t>票提供连带责任保证，最高额度为</w:t>
      </w:r>
      <w:r>
        <w:rPr>
          <w:spacing w:val="-38"/>
        </w:rPr>
        <w:t> </w:t>
      </w:r>
      <w:r>
        <w:rPr/>
        <w:t>3,000</w:t>
      </w:r>
      <w:r>
        <w:rPr>
          <w:spacing w:val="-38"/>
        </w:rPr>
        <w:t> </w:t>
      </w:r>
      <w:r>
        <w:rPr/>
        <w:t>万元；上述承兑汇票于</w:t>
      </w:r>
      <w:r>
        <w:rPr>
          <w:spacing w:val="-38"/>
        </w:rPr>
        <w:t> </w:t>
      </w:r>
      <w:r>
        <w:rPr/>
        <w:t>2008</w:t>
      </w:r>
      <w:r>
        <w:rPr>
          <w:spacing w:val="-38"/>
        </w:rPr>
        <w:t> </w:t>
      </w:r>
      <w:r>
        <w:rPr/>
        <w:t>年</w:t>
      </w:r>
      <w:r>
        <w:rPr>
          <w:spacing w:val="-38"/>
        </w:rPr>
        <w:t> </w:t>
      </w:r>
      <w:r>
        <w:rPr/>
        <w:t>11</w:t>
      </w:r>
      <w:r>
        <w:rPr>
          <w:spacing w:val="-38"/>
        </w:rPr>
        <w:t> </w:t>
      </w:r>
      <w:r>
        <w:rPr/>
        <w:t>月</w:t>
      </w:r>
      <w:r>
        <w:rPr>
          <w:spacing w:val="-38"/>
        </w:rPr>
        <w:t> </w:t>
      </w:r>
      <w:r>
        <w:rPr/>
        <w:t>22</w:t>
      </w:r>
      <w:r>
        <w:rPr/>
        <w:t> 日到期，已全部归还，公司此项担保解除。</w:t>
      </w:r>
    </w:p>
    <w:p>
      <w:pPr>
        <w:pStyle w:val="BodyText"/>
        <w:spacing w:line="357" w:lineRule="auto" w:before="36"/>
        <w:ind w:left="144" w:right="236" w:firstLine="410"/>
        <w:jc w:val="both"/>
      </w:pPr>
      <w:r>
        <w:rPr/>
        <w:t>（10）2007</w:t>
      </w:r>
      <w:r>
        <w:rPr>
          <w:spacing w:val="-39"/>
        </w:rPr>
        <w:t> </w:t>
      </w:r>
      <w:r>
        <w:rPr/>
        <w:t>年</w:t>
      </w:r>
      <w:r>
        <w:rPr>
          <w:spacing w:val="-39"/>
        </w:rPr>
        <w:t> </w:t>
      </w:r>
      <w:r>
        <w:rPr/>
        <w:t>7</w:t>
      </w:r>
      <w:r>
        <w:rPr>
          <w:spacing w:val="-38"/>
        </w:rPr>
        <w:t> </w:t>
      </w:r>
      <w:r>
        <w:rPr/>
        <w:t>月</w:t>
      </w:r>
      <w:r>
        <w:rPr>
          <w:spacing w:val="-39"/>
        </w:rPr>
        <w:t> </w:t>
      </w:r>
      <w:r>
        <w:rPr/>
        <w:t>14</w:t>
      </w:r>
      <w:r>
        <w:rPr>
          <w:spacing w:val="-39"/>
        </w:rPr>
        <w:t> </w:t>
      </w:r>
      <w:r>
        <w:rPr/>
        <w:t>日，公司与交通银行佛山分行签订最高额保证合同，公</w:t>
      </w:r>
      <w:r>
        <w:rPr/>
        <w:t> 司为佛山市苏宁电器有限公司自</w:t>
      </w:r>
      <w:r>
        <w:rPr>
          <w:spacing w:val="-61"/>
        </w:rPr>
        <w:t> </w:t>
      </w:r>
      <w:r>
        <w:rPr>
          <w:spacing w:val="24"/>
        </w:rPr>
        <w:t>2007年7月</w:t>
      </w:r>
      <w:r>
        <w:rPr>
          <w:spacing w:val="-61"/>
        </w:rPr>
        <w:t> </w:t>
      </w:r>
      <w:r>
        <w:rPr/>
        <w:t>14</w:t>
      </w:r>
      <w:r>
        <w:rPr>
          <w:spacing w:val="-61"/>
        </w:rPr>
        <w:t> </w:t>
      </w:r>
      <w:r>
        <w:rPr/>
        <w:t>日起至</w:t>
      </w:r>
      <w:r>
        <w:rPr>
          <w:spacing w:val="-61"/>
        </w:rPr>
        <w:t> </w:t>
      </w:r>
      <w:r>
        <w:rPr>
          <w:spacing w:val="24"/>
        </w:rPr>
        <w:t>2008年4月</w:t>
      </w:r>
      <w:r>
        <w:rPr>
          <w:spacing w:val="-61"/>
        </w:rPr>
        <w:t> </w:t>
      </w:r>
      <w:r>
        <w:rPr/>
        <w:t>26</w:t>
      </w:r>
      <w:r>
        <w:rPr>
          <w:spacing w:val="-61"/>
        </w:rPr>
        <w:t> </w:t>
      </w:r>
      <w:r>
        <w:rPr/>
        <w:t>日期间开具</w:t>
      </w:r>
      <w:r>
        <w:rPr/>
        <w:t> 的银行承兑汇票提供连带责任保证，最高额为</w:t>
      </w:r>
      <w:r>
        <w:rPr>
          <w:spacing w:val="-70"/>
        </w:rPr>
        <w:t> </w:t>
      </w:r>
      <w:r>
        <w:rPr/>
        <w:t>6,545</w:t>
      </w:r>
      <w:r>
        <w:rPr>
          <w:spacing w:val="-70"/>
        </w:rPr>
        <w:t> </w:t>
      </w:r>
      <w:r>
        <w:rPr/>
        <w:t>万元。佛山市苏宁电器有限公</w:t>
      </w:r>
    </w:p>
    <w:p>
      <w:pPr>
        <w:pStyle w:val="BodyText"/>
        <w:spacing w:line="357" w:lineRule="auto" w:before="36"/>
        <w:ind w:left="144" w:right="103"/>
        <w:jc w:val="left"/>
      </w:pPr>
      <w:r>
        <w:rPr/>
        <w:t>司根据上述最高额保证合同开具的承兑汇票于</w:t>
      </w:r>
      <w:r>
        <w:rPr>
          <w:spacing w:val="-64"/>
        </w:rPr>
        <w:t> </w:t>
      </w:r>
      <w:r>
        <w:rPr/>
        <w:t>2008</w:t>
      </w:r>
      <w:r>
        <w:rPr>
          <w:spacing w:val="-64"/>
        </w:rPr>
        <w:t> </w:t>
      </w:r>
      <w:r>
        <w:rPr/>
        <w:t>年</w:t>
      </w:r>
      <w:r>
        <w:rPr>
          <w:spacing w:val="-63"/>
        </w:rPr>
        <w:t> </w:t>
      </w:r>
      <w:r>
        <w:rPr/>
        <w:t>8</w:t>
      </w:r>
      <w:r>
        <w:rPr>
          <w:spacing w:val="-64"/>
        </w:rPr>
        <w:t> </w:t>
      </w:r>
      <w:r>
        <w:rPr/>
        <w:t>月</w:t>
      </w:r>
      <w:r>
        <w:rPr>
          <w:spacing w:val="-64"/>
        </w:rPr>
        <w:t> </w:t>
      </w:r>
      <w:r>
        <w:rPr/>
        <w:t>21</w:t>
      </w:r>
      <w:r>
        <w:rPr>
          <w:spacing w:val="-64"/>
        </w:rPr>
        <w:t> </w:t>
      </w:r>
      <w:r>
        <w:rPr>
          <w:spacing w:val="-12"/>
        </w:rPr>
        <w:t>日到期，已全部归还，</w:t>
      </w:r>
      <w:r>
        <w:rPr/>
        <w:t> 公司此项担保解除。</w:t>
      </w:r>
    </w:p>
    <w:p>
      <w:pPr>
        <w:pStyle w:val="BodyText"/>
        <w:spacing w:line="357" w:lineRule="auto" w:before="36"/>
        <w:ind w:right="229" w:firstLine="650"/>
        <w:jc w:val="both"/>
      </w:pPr>
      <w:r>
        <w:rPr>
          <w:spacing w:val="30"/>
        </w:rPr>
        <w:t>2008年9月5</w:t>
      </w:r>
      <w:r>
        <w:rPr>
          <w:spacing w:val="-60"/>
        </w:rPr>
        <w:t> </w:t>
      </w:r>
      <w:r>
        <w:rPr/>
        <w:t>日，公司与上海浦东发展银行广州分行签订最高额保证合同，</w:t>
      </w:r>
      <w:r>
        <w:rPr/>
        <w:t> 为佛山市苏宁电器有限公司自</w:t>
      </w:r>
      <w:r>
        <w:rPr>
          <w:spacing w:val="-62"/>
        </w:rPr>
        <w:t> </w:t>
      </w:r>
      <w:r>
        <w:rPr>
          <w:spacing w:val="24"/>
        </w:rPr>
        <w:t>2008年7月</w:t>
      </w:r>
      <w:r>
        <w:rPr>
          <w:spacing w:val="-62"/>
        </w:rPr>
        <w:t> </w:t>
      </w:r>
      <w:r>
        <w:rPr/>
        <w:t>11</w:t>
      </w:r>
      <w:r>
        <w:rPr>
          <w:spacing w:val="-62"/>
        </w:rPr>
        <w:t> </w:t>
      </w:r>
      <w:r>
        <w:rPr/>
        <w:t>日起至</w:t>
      </w:r>
      <w:r>
        <w:rPr>
          <w:spacing w:val="-62"/>
        </w:rPr>
        <w:t> </w:t>
      </w:r>
      <w:r>
        <w:rPr>
          <w:spacing w:val="24"/>
        </w:rPr>
        <w:t>2009年1月</w:t>
      </w:r>
      <w:r>
        <w:rPr>
          <w:spacing w:val="-62"/>
        </w:rPr>
        <w:t> </w:t>
      </w:r>
      <w:r>
        <w:rPr/>
        <w:t>11</w:t>
      </w:r>
      <w:r>
        <w:rPr>
          <w:spacing w:val="-62"/>
        </w:rPr>
        <w:t> </w:t>
      </w:r>
      <w:r>
        <w:rPr/>
        <w:t>日期间的银行</w:t>
      </w:r>
      <w:r>
        <w:rPr/>
        <w:t> 授信提供连带责任担保，最高额度为</w:t>
      </w:r>
      <w:r>
        <w:rPr>
          <w:spacing w:val="-51"/>
        </w:rPr>
        <w:t> </w:t>
      </w:r>
      <w:r>
        <w:rPr/>
        <w:t>6,000</w:t>
      </w:r>
      <w:r>
        <w:rPr>
          <w:spacing w:val="-51"/>
        </w:rPr>
        <w:t> </w:t>
      </w:r>
      <w:r>
        <w:rPr/>
        <w:t>万元。截至</w:t>
      </w:r>
      <w:r>
        <w:rPr>
          <w:spacing w:val="-51"/>
        </w:rPr>
        <w:t> </w:t>
      </w:r>
      <w:r>
        <w:rPr/>
        <w:t>2008</w:t>
      </w:r>
      <w:r>
        <w:rPr>
          <w:spacing w:val="-51"/>
        </w:rPr>
        <w:t> </w:t>
      </w:r>
      <w:r>
        <w:rPr/>
        <w:t>年</w:t>
      </w:r>
      <w:r>
        <w:rPr>
          <w:spacing w:val="-51"/>
        </w:rPr>
        <w:t> </w:t>
      </w:r>
      <w:r>
        <w:rPr/>
        <w:t>12</w:t>
      </w:r>
      <w:r>
        <w:rPr>
          <w:spacing w:val="-52"/>
        </w:rPr>
        <w:t> </w:t>
      </w:r>
      <w:r>
        <w:rPr/>
        <w:t>月</w:t>
      </w:r>
      <w:r>
        <w:rPr>
          <w:spacing w:val="-51"/>
        </w:rPr>
        <w:t> </w:t>
      </w:r>
      <w:r>
        <w:rPr/>
        <w:t>31</w:t>
      </w:r>
      <w:r>
        <w:rPr>
          <w:spacing w:val="-51"/>
        </w:rPr>
        <w:t> </w:t>
      </w:r>
      <w:r>
        <w:rPr/>
        <w:t>日，佛山</w:t>
      </w:r>
      <w:r>
        <w:rPr>
          <w:spacing w:val="-1"/>
        </w:rPr>
        <w:t> </w:t>
      </w:r>
      <w:r>
        <w:rPr>
          <w:spacing w:val="5"/>
        </w:rPr>
        <w:t>市苏宁电器有限公司根据上述最高额保证合同及相关合同开具的承兑汇票尚未到</w:t>
      </w:r>
      <w:r>
        <w:rPr>
          <w:spacing w:val="-96"/>
        </w:rPr>
        <w:t> </w:t>
      </w:r>
      <w:r>
        <w:rPr>
          <w:spacing w:val="-96"/>
        </w:rPr>
      </w:r>
      <w:r>
        <w:rPr/>
        <w:t>期，公司继续为其提供连带责任保证。</w:t>
      </w:r>
    </w:p>
    <w:p>
      <w:pPr>
        <w:pStyle w:val="BodyText"/>
        <w:spacing w:line="357" w:lineRule="auto" w:before="36"/>
        <w:ind w:right="117" w:firstLine="410"/>
        <w:jc w:val="both"/>
      </w:pPr>
      <w:r>
        <w:rPr>
          <w:spacing w:val="-1"/>
        </w:rPr>
        <w:t>（11）2007年</w:t>
      </w:r>
      <w:r>
        <w:rPr>
          <w:spacing w:val="-56"/>
        </w:rPr>
        <w:t> </w:t>
      </w:r>
      <w:r>
        <w:rPr>
          <w:spacing w:val="20"/>
        </w:rPr>
        <w:t>12月</w:t>
      </w:r>
      <w:r>
        <w:rPr>
          <w:spacing w:val="-56"/>
        </w:rPr>
        <w:t> </w:t>
      </w:r>
      <w:r>
        <w:rPr/>
        <w:t>31</w:t>
      </w:r>
      <w:r>
        <w:rPr>
          <w:spacing w:val="-56"/>
        </w:rPr>
        <w:t> </w:t>
      </w:r>
      <w:r>
        <w:rPr>
          <w:spacing w:val="-3"/>
        </w:rPr>
        <w:t>日，公司与中信银行杭州平海支行签订最高额保证合同，</w:t>
      </w:r>
      <w:r>
        <w:rPr/>
        <w:t> 为中信银行杭州平海支行自</w:t>
      </w:r>
      <w:r>
        <w:rPr>
          <w:spacing w:val="-63"/>
        </w:rPr>
        <w:t> </w:t>
      </w:r>
      <w:r>
        <w:rPr/>
        <w:t>2007</w:t>
      </w:r>
      <w:r>
        <w:rPr>
          <w:spacing w:val="-64"/>
        </w:rPr>
        <w:t> </w:t>
      </w:r>
      <w:r>
        <w:rPr/>
        <w:t>年</w:t>
      </w:r>
      <w:r>
        <w:rPr>
          <w:spacing w:val="-63"/>
        </w:rPr>
        <w:t> </w:t>
      </w:r>
      <w:r>
        <w:rPr/>
        <w:t>12</w:t>
      </w:r>
      <w:r>
        <w:rPr>
          <w:spacing w:val="-63"/>
        </w:rPr>
        <w:t> </w:t>
      </w:r>
      <w:r>
        <w:rPr/>
        <w:t>月</w:t>
      </w:r>
      <w:r>
        <w:rPr>
          <w:spacing w:val="-63"/>
        </w:rPr>
        <w:t> </w:t>
      </w:r>
      <w:r>
        <w:rPr/>
        <w:t>31</w:t>
      </w:r>
      <w:r>
        <w:rPr>
          <w:spacing w:val="-64"/>
        </w:rPr>
        <w:t> </w:t>
      </w:r>
      <w:r>
        <w:rPr/>
        <w:t>日起至</w:t>
      </w:r>
      <w:r>
        <w:rPr>
          <w:spacing w:val="-63"/>
        </w:rPr>
        <w:t> </w:t>
      </w:r>
      <w:r>
        <w:rPr/>
        <w:t>2008</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日期间提供给</w:t>
      </w:r>
    </w:p>
    <w:p>
      <w:pPr>
        <w:pStyle w:val="BodyText"/>
        <w:spacing w:line="240" w:lineRule="auto" w:before="36"/>
        <w:ind w:right="108"/>
        <w:jc w:val="left"/>
      </w:pPr>
      <w:r>
        <w:rPr/>
        <w:t>浙江苏宁电器有限公司最高额为</w:t>
      </w:r>
      <w:r>
        <w:rPr>
          <w:spacing w:val="-70"/>
        </w:rPr>
        <w:t> </w:t>
      </w:r>
      <w:r>
        <w:rPr/>
        <w:t>3,500</w:t>
      </w:r>
      <w:r>
        <w:rPr>
          <w:spacing w:val="-70"/>
        </w:rPr>
        <w:t> </w:t>
      </w:r>
      <w:r>
        <w:rPr/>
        <w:t>万元的各项银行融资提供连带责任保证。截</w:t>
      </w:r>
    </w:p>
    <w:p>
      <w:pPr>
        <w:pStyle w:val="BodyText"/>
        <w:spacing w:line="357" w:lineRule="auto" w:before="154"/>
        <w:ind w:right="221"/>
        <w:jc w:val="left"/>
      </w:pPr>
      <w:r>
        <w:rPr/>
        <w:t>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w:t>
      </w:r>
      <w:r>
        <w:rPr>
          <w:spacing w:val="-20"/>
        </w:rPr>
        <w:t> </w:t>
      </w:r>
      <w:r>
        <w:rPr/>
        <w:t>浙江苏宁电器有限公司根据上述最高额保证合同及相关合</w:t>
      </w:r>
      <w:r>
        <w:rPr/>
        <w:t> 同开具的承兑汇票尚未到期，公司继续为其提供连带责任保证。</w:t>
      </w:r>
    </w:p>
    <w:p>
      <w:pPr>
        <w:spacing w:after="0" w:line="357" w:lineRule="auto"/>
        <w:jc w:val="left"/>
        <w:sectPr>
          <w:pgSz w:w="11910" w:h="16840"/>
          <w:pgMar w:header="826" w:footer="894" w:top="1100" w:bottom="1100" w:left="1500" w:right="1400"/>
        </w:sectPr>
      </w:pPr>
    </w:p>
    <w:p>
      <w:pPr>
        <w:pStyle w:val="BodyText"/>
        <w:spacing w:line="357" w:lineRule="auto" w:before="106"/>
        <w:ind w:left="144" w:right="108" w:firstLine="410"/>
        <w:jc w:val="left"/>
      </w:pPr>
      <w:r>
        <w:rPr>
          <w:spacing w:val="11"/>
        </w:rPr>
        <w:t>2007年</w:t>
      </w:r>
      <w:r>
        <w:rPr>
          <w:spacing w:val="-56"/>
        </w:rPr>
        <w:t> </w:t>
      </w:r>
      <w:r>
        <w:rPr>
          <w:spacing w:val="19"/>
        </w:rPr>
        <w:t>12月</w:t>
      </w:r>
      <w:r>
        <w:rPr>
          <w:spacing w:val="-56"/>
        </w:rPr>
        <w:t> </w:t>
      </w:r>
      <w:r>
        <w:rPr/>
        <w:t>31</w:t>
      </w:r>
      <w:r>
        <w:rPr>
          <w:spacing w:val="-56"/>
        </w:rPr>
        <w:t> </w:t>
      </w:r>
      <w:r>
        <w:rPr>
          <w:spacing w:val="-6"/>
        </w:rPr>
        <w:t>日，公司与杭州市商业银行市府大楼支行签订最高额保证合同，</w:t>
      </w:r>
      <w:r>
        <w:rPr>
          <w:spacing w:val="-1"/>
        </w:rPr>
        <w:t> </w:t>
      </w:r>
      <w:r>
        <w:rPr/>
        <w:t>为杭州市商业银行市府大楼支行自</w:t>
      </w:r>
      <w:r>
        <w:rPr>
          <w:spacing w:val="-63"/>
        </w:rPr>
        <w:t> </w:t>
      </w:r>
      <w:r>
        <w:rPr/>
        <w:t>2007</w:t>
      </w:r>
      <w:r>
        <w:rPr>
          <w:spacing w:val="-63"/>
        </w:rPr>
        <w:t> </w:t>
      </w:r>
      <w:r>
        <w:rPr/>
        <w:t>年</w:t>
      </w:r>
      <w:r>
        <w:rPr>
          <w:spacing w:val="-64"/>
        </w:rPr>
        <w:t> </w:t>
      </w:r>
      <w:r>
        <w:rPr/>
        <w:t>12</w:t>
      </w:r>
      <w:r>
        <w:rPr>
          <w:spacing w:val="-63"/>
        </w:rPr>
        <w:t> </w:t>
      </w:r>
      <w:r>
        <w:rPr/>
        <w:t>月</w:t>
      </w:r>
      <w:r>
        <w:rPr>
          <w:spacing w:val="-63"/>
        </w:rPr>
        <w:t> </w:t>
      </w:r>
      <w:r>
        <w:rPr/>
        <w:t>31</w:t>
      </w:r>
      <w:r>
        <w:rPr>
          <w:spacing w:val="-63"/>
        </w:rPr>
        <w:t> </w:t>
      </w:r>
      <w:r>
        <w:rPr/>
        <w:t>日起至</w:t>
      </w:r>
      <w:r>
        <w:rPr>
          <w:spacing w:val="-63"/>
        </w:rPr>
        <w:t> </w:t>
      </w:r>
      <w:r>
        <w:rPr/>
        <w:t>2008</w:t>
      </w:r>
      <w:r>
        <w:rPr>
          <w:spacing w:val="-64"/>
        </w:rPr>
        <w:t> </w:t>
      </w:r>
      <w:r>
        <w:rPr/>
        <w:t>年</w:t>
      </w:r>
      <w:r>
        <w:rPr>
          <w:spacing w:val="-63"/>
        </w:rPr>
        <w:t> </w:t>
      </w:r>
      <w:r>
        <w:rPr/>
        <w:t>12</w:t>
      </w:r>
      <w:r>
        <w:rPr>
          <w:spacing w:val="-63"/>
        </w:rPr>
        <w:t> </w:t>
      </w:r>
      <w:r>
        <w:rPr/>
        <w:t>月</w:t>
      </w:r>
      <w:r>
        <w:rPr>
          <w:spacing w:val="-63"/>
        </w:rPr>
        <w:t> </w:t>
      </w:r>
      <w:r>
        <w:rPr/>
        <w:t>31</w:t>
      </w:r>
      <w:r>
        <w:rPr>
          <w:spacing w:val="-64"/>
        </w:rPr>
        <w:t> </w:t>
      </w:r>
      <w:r>
        <w:rPr/>
        <w:t>日期间</w:t>
      </w:r>
    </w:p>
    <w:p>
      <w:pPr>
        <w:pStyle w:val="BodyText"/>
        <w:spacing w:line="240" w:lineRule="auto" w:before="36"/>
        <w:ind w:left="144" w:right="108"/>
        <w:jc w:val="left"/>
      </w:pPr>
      <w:r>
        <w:rPr>
          <w:spacing w:val="2"/>
        </w:rPr>
        <w:t>提供给浙江苏宁电器有限公司最高额 </w:t>
      </w:r>
      <w:r>
        <w:rPr/>
        <w:t>5,000</w:t>
      </w:r>
      <w:r>
        <w:rPr>
          <w:spacing w:val="16"/>
        </w:rPr>
        <w:t> </w:t>
      </w:r>
      <w:r>
        <w:rPr>
          <w:spacing w:val="2"/>
        </w:rPr>
        <w:t>万元的各项银行融资提供连带责任保</w:t>
      </w:r>
    </w:p>
    <w:p>
      <w:pPr>
        <w:pStyle w:val="BodyText"/>
        <w:spacing w:line="357" w:lineRule="auto" w:before="154"/>
        <w:ind w:left="144" w:right="224"/>
        <w:jc w:val="left"/>
      </w:pPr>
      <w:r>
        <w:rPr/>
        <w:t>证。截至</w:t>
      </w:r>
      <w:r>
        <w:rPr>
          <w:spacing w:val="-44"/>
        </w:rPr>
        <w:t> </w:t>
      </w:r>
      <w:r>
        <w:rPr/>
        <w:t>2008</w:t>
      </w:r>
      <w:r>
        <w:rPr>
          <w:spacing w:val="-44"/>
        </w:rPr>
        <w:t> </w:t>
      </w:r>
      <w:r>
        <w:rPr/>
        <w:t>年</w:t>
      </w:r>
      <w:r>
        <w:rPr>
          <w:spacing w:val="-44"/>
        </w:rPr>
        <w:t> </w:t>
      </w:r>
      <w:r>
        <w:rPr/>
        <w:t>12</w:t>
      </w:r>
      <w:r>
        <w:rPr>
          <w:spacing w:val="-44"/>
        </w:rPr>
        <w:t> </w:t>
      </w:r>
      <w:r>
        <w:rPr/>
        <w:t>月</w:t>
      </w:r>
      <w:r>
        <w:rPr>
          <w:spacing w:val="-44"/>
        </w:rPr>
        <w:t> </w:t>
      </w:r>
      <w:r>
        <w:rPr/>
        <w:t>31</w:t>
      </w:r>
      <w:r>
        <w:rPr>
          <w:spacing w:val="-44"/>
        </w:rPr>
        <w:t> </w:t>
      </w:r>
      <w:r>
        <w:rPr/>
        <w:t>日，浙江苏宁电器有限公司根据上述最高额保证合同及</w:t>
      </w:r>
      <w:r>
        <w:rPr/>
        <w:t> 相关合同开具的银行承兑汇票尚未到期，公司继续为其提供连带责任保证。</w:t>
      </w:r>
    </w:p>
    <w:p>
      <w:pPr>
        <w:pStyle w:val="BodyText"/>
        <w:spacing w:line="240" w:lineRule="auto" w:before="36"/>
        <w:ind w:left="554" w:right="108"/>
        <w:jc w:val="left"/>
      </w:pPr>
      <w:r>
        <w:rPr/>
        <w:t>（12）2008</w:t>
      </w:r>
      <w:r>
        <w:rPr>
          <w:spacing w:val="-39"/>
        </w:rPr>
        <w:t> </w:t>
      </w:r>
      <w:r>
        <w:rPr/>
        <w:t>年</w:t>
      </w:r>
      <w:r>
        <w:rPr>
          <w:spacing w:val="-39"/>
        </w:rPr>
        <w:t> </w:t>
      </w:r>
      <w:r>
        <w:rPr/>
        <w:t>8</w:t>
      </w:r>
      <w:r>
        <w:rPr>
          <w:spacing w:val="-38"/>
        </w:rPr>
        <w:t> </w:t>
      </w:r>
      <w:r>
        <w:rPr/>
        <w:t>月</w:t>
      </w:r>
      <w:r>
        <w:rPr>
          <w:spacing w:val="-39"/>
        </w:rPr>
        <w:t> </w:t>
      </w:r>
      <w:r>
        <w:rPr/>
        <w:t>29</w:t>
      </w:r>
      <w:r>
        <w:rPr>
          <w:spacing w:val="-39"/>
        </w:rPr>
        <w:t> </w:t>
      </w:r>
      <w:r>
        <w:rPr/>
        <w:t>日，公司与福州市商业银行股份有限公司怡丰支行签订</w:t>
      </w:r>
    </w:p>
    <w:p>
      <w:pPr>
        <w:pStyle w:val="BodyText"/>
        <w:spacing w:line="240" w:lineRule="auto" w:before="154"/>
        <w:ind w:left="144" w:right="108"/>
        <w:jc w:val="left"/>
      </w:pPr>
      <w:r>
        <w:rPr/>
        <w:t>最高额保证合同，为福建苏宁电器有限公司自</w:t>
      </w:r>
      <w:r>
        <w:rPr>
          <w:spacing w:val="-56"/>
        </w:rPr>
        <w:t> </w:t>
      </w:r>
      <w:r>
        <w:rPr/>
        <w:t>2008</w:t>
      </w:r>
      <w:r>
        <w:rPr>
          <w:spacing w:val="-56"/>
        </w:rPr>
        <w:t> </w:t>
      </w:r>
      <w:r>
        <w:rPr/>
        <w:t>年</w:t>
      </w:r>
      <w:r>
        <w:rPr>
          <w:spacing w:val="-57"/>
        </w:rPr>
        <w:t> </w:t>
      </w:r>
      <w:r>
        <w:rPr/>
        <w:t>8</w:t>
      </w:r>
      <w:r>
        <w:rPr>
          <w:spacing w:val="-56"/>
        </w:rPr>
        <w:t> </w:t>
      </w:r>
      <w:r>
        <w:rPr/>
        <w:t>月</w:t>
      </w:r>
      <w:r>
        <w:rPr>
          <w:spacing w:val="-56"/>
        </w:rPr>
        <w:t> </w:t>
      </w:r>
      <w:r>
        <w:rPr/>
        <w:t>29</w:t>
      </w:r>
      <w:r>
        <w:rPr>
          <w:spacing w:val="-56"/>
        </w:rPr>
        <w:t> </w:t>
      </w:r>
      <w:r>
        <w:rPr/>
        <w:t>日起至 </w:t>
      </w:r>
      <w:r>
        <w:rPr>
          <w:spacing w:val="27"/>
        </w:rPr>
        <w:t>2009年7月</w:t>
      </w:r>
      <w:r>
        <w:rPr>
          <w:spacing w:val="-56"/>
        </w:rPr>
        <w:t> </w:t>
      </w:r>
      <w:r>
        <w:rPr/>
      </w:r>
    </w:p>
    <w:p>
      <w:pPr>
        <w:pStyle w:val="BodyText"/>
        <w:spacing w:line="240" w:lineRule="auto" w:before="154"/>
        <w:ind w:right="108"/>
        <w:jc w:val="left"/>
      </w:pPr>
      <w:r>
        <w:rPr/>
        <w:t>30 日期间开具的银行承兑汇票提供连带责任担保，最高额度为 8,000</w:t>
      </w:r>
      <w:r>
        <w:rPr>
          <w:spacing w:val="-18"/>
        </w:rPr>
        <w:t> </w:t>
      </w:r>
      <w:r>
        <w:rPr/>
        <w:t>万元。截至</w:t>
      </w:r>
    </w:p>
    <w:p>
      <w:pPr>
        <w:pStyle w:val="BodyText"/>
        <w:spacing w:line="357" w:lineRule="auto" w:before="154"/>
        <w:ind w:right="222"/>
        <w:jc w:val="left"/>
      </w:pPr>
      <w:r>
        <w:rPr>
          <w:spacing w:val="12"/>
        </w:rPr>
        <w:t>2008年</w:t>
      </w:r>
      <w:r>
        <w:rPr>
          <w:spacing w:val="-58"/>
        </w:rPr>
        <w:t> </w:t>
      </w:r>
      <w:r>
        <w:rPr>
          <w:spacing w:val="20"/>
        </w:rPr>
        <w:t>12月</w:t>
      </w:r>
      <w:r>
        <w:rPr>
          <w:spacing w:val="-58"/>
        </w:rPr>
        <w:t> </w:t>
      </w:r>
      <w:r>
        <w:rPr/>
        <w:t>31</w:t>
      </w:r>
      <w:r>
        <w:rPr>
          <w:spacing w:val="-58"/>
        </w:rPr>
        <w:t> </w:t>
      </w:r>
      <w:r>
        <w:rPr>
          <w:spacing w:val="-3"/>
        </w:rPr>
        <w:t>日，福建苏宁电器有限公司根据上述最高额保证合同及相关合同开</w:t>
      </w:r>
      <w:r>
        <w:rPr/>
        <w:t> 具的承兑汇票尚未到期，公司继续为其提供连带责任保证。</w:t>
      </w:r>
    </w:p>
    <w:p>
      <w:pPr>
        <w:pStyle w:val="BodyText"/>
        <w:spacing w:line="350" w:lineRule="auto" w:before="36"/>
        <w:ind w:right="108" w:firstLine="480"/>
        <w:jc w:val="left"/>
      </w:pPr>
      <w:r>
        <w:rPr/>
        <w:t>3、截至2008年12月31日，董事会审议批准公司可对外担保累计金额为121,285 </w:t>
      </w:r>
      <w:r>
        <w:rPr>
          <w:spacing w:val="-4"/>
        </w:rPr>
        <w:t>万元，全部为对控股子公司的担保，占公司2008年12月31日经审计净资产的13.82%；</w:t>
      </w:r>
      <w:r>
        <w:rPr>
          <w:spacing w:val="-84"/>
        </w:rPr>
        <w:t> </w:t>
      </w:r>
      <w:r>
        <w:rPr>
          <w:spacing w:val="-84"/>
        </w:rPr>
      </w:r>
      <w:r>
        <w:rPr/>
        <w:t>公司实际为控股子公司提供的尚未履行完毕的担保总额为87,785万元，占公司</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日经审计净资产的</w:t>
      </w:r>
      <w:r>
        <w:rPr>
          <w:rFonts w:ascii="Times New Roman" w:hAnsi="Times New Roman" w:cs="Times New Roman" w:eastAsia="Times New Roman" w:hint="default"/>
          <w:spacing w:val="-4"/>
        </w:rPr>
        <w:t>10.00%</w:t>
      </w:r>
      <w:r>
        <w:rPr>
          <w:spacing w:val="-4"/>
        </w:rPr>
        <w:t>；</w:t>
      </w:r>
    </w:p>
    <w:p>
      <w:pPr>
        <w:pStyle w:val="BodyText"/>
        <w:spacing w:line="357" w:lineRule="auto" w:before="13"/>
        <w:ind w:left="144" w:right="108" w:firstLine="410"/>
        <w:jc w:val="left"/>
      </w:pPr>
      <w:r>
        <w:rPr/>
        <w:t>报告期内，公司控股子公司未发生对外担保的情况，本公司及控股子公司亦未</w:t>
      </w:r>
      <w:r>
        <w:rPr>
          <w:spacing w:val="1"/>
        </w:rPr>
        <w:t> </w:t>
      </w:r>
      <w:r>
        <w:rPr/>
        <w:t>发生逾期对外担保的情况。</w:t>
      </w:r>
    </w:p>
    <w:p>
      <w:pPr>
        <w:spacing w:line="240" w:lineRule="auto" w:before="0"/>
        <w:rPr>
          <w:rFonts w:ascii="宋体" w:hAnsi="宋体" w:cs="宋体" w:eastAsia="宋体" w:hint="default"/>
          <w:sz w:val="24"/>
          <w:szCs w:val="24"/>
        </w:rPr>
      </w:pPr>
    </w:p>
    <w:p>
      <w:pPr>
        <w:pStyle w:val="BodyText"/>
        <w:spacing w:line="240" w:lineRule="auto" w:before="190"/>
        <w:ind w:left="554" w:right="108"/>
        <w:jc w:val="left"/>
      </w:pPr>
      <w:r>
        <w:rPr/>
        <w:t>五、终止股权激励计划备案情况</w:t>
      </w:r>
    </w:p>
    <w:p>
      <w:pPr>
        <w:pStyle w:val="BodyText"/>
        <w:spacing w:line="357" w:lineRule="auto" w:before="154"/>
        <w:ind w:right="108" w:firstLine="410"/>
        <w:jc w:val="left"/>
      </w:pPr>
      <w:r>
        <w:rPr/>
        <w:t>2008</w:t>
      </w:r>
      <w:r>
        <w:rPr>
          <w:spacing w:val="-65"/>
        </w:rPr>
        <w:t> </w:t>
      </w:r>
      <w:r>
        <w:rPr/>
        <w:t>年</w:t>
      </w:r>
      <w:r>
        <w:rPr>
          <w:spacing w:val="-11"/>
        </w:rPr>
        <w:t> </w:t>
      </w:r>
      <w:r>
        <w:rPr/>
        <w:t>7</w:t>
      </w:r>
      <w:r>
        <w:rPr>
          <w:spacing w:val="-65"/>
        </w:rPr>
        <w:t> </w:t>
      </w:r>
      <w:r>
        <w:rPr/>
        <w:t>月</w:t>
      </w:r>
      <w:r>
        <w:rPr>
          <w:spacing w:val="-65"/>
        </w:rPr>
        <w:t> </w:t>
      </w:r>
      <w:r>
        <w:rPr/>
        <w:t>28</w:t>
      </w:r>
      <w:r>
        <w:rPr>
          <w:spacing w:val="-66"/>
        </w:rPr>
        <w:t> </w:t>
      </w:r>
      <w:r>
        <w:rPr/>
        <w:t>日，公司召开第三届董事会第十八次会议，审议通过《2008</w:t>
      </w:r>
      <w:r>
        <w:rPr>
          <w:spacing w:val="-67"/>
        </w:rPr>
        <w:t> </w:t>
      </w:r>
      <w:r>
        <w:rPr/>
        <w:t>年</w:t>
      </w:r>
      <w:r>
        <w:rPr/>
        <w:t> </w:t>
      </w:r>
      <w:r>
        <w:rPr>
          <w:spacing w:val="-8"/>
        </w:rPr>
        <w:t>股票期权激励计划（草案）》，并随后申报了股票期权激励计划的备案材料。</w:t>
      </w:r>
    </w:p>
    <w:p>
      <w:pPr>
        <w:pStyle w:val="BodyText"/>
        <w:spacing w:line="357" w:lineRule="auto" w:before="36"/>
        <w:ind w:right="102" w:firstLine="410"/>
        <w:jc w:val="left"/>
      </w:pPr>
      <w:r>
        <w:rPr/>
        <w:t>由于国内外经济形势、证券市场发生了重大变化，若继续执行原方案将难以真</w:t>
      </w:r>
      <w:r>
        <w:rPr>
          <w:spacing w:val="1"/>
        </w:rPr>
        <w:t> </w:t>
      </w:r>
      <w:r>
        <w:rPr/>
        <w:t>正起到应有的激励效果。为维护广大股东和上市公司的长远利益，真正发挥股权激</w:t>
      </w:r>
      <w:r>
        <w:rPr/>
        <w:t> </w:t>
      </w:r>
      <w:r>
        <w:rPr>
          <w:spacing w:val="-3"/>
        </w:rPr>
        <w:t>励计划的应有作用，2008年</w:t>
      </w:r>
      <w:r>
        <w:rPr>
          <w:spacing w:val="-58"/>
        </w:rPr>
        <w:t> </w:t>
      </w:r>
      <w:r>
        <w:rPr>
          <w:spacing w:val="20"/>
        </w:rPr>
        <w:t>12月</w:t>
      </w:r>
      <w:r>
        <w:rPr>
          <w:spacing w:val="-58"/>
        </w:rPr>
        <w:t> </w:t>
      </w:r>
      <w:r>
        <w:rPr/>
        <w:t>29</w:t>
      </w:r>
      <w:r>
        <w:rPr>
          <w:spacing w:val="-58"/>
        </w:rPr>
        <w:t> </w:t>
      </w:r>
      <w:r>
        <w:rPr>
          <w:spacing w:val="-5"/>
        </w:rPr>
        <w:t>日，经第三届董事会第二十五次会议审议通过，</w:t>
      </w:r>
      <w:r>
        <w:rPr/>
        <w:t> </w:t>
      </w:r>
      <w:r>
        <w:rPr>
          <w:spacing w:val="1"/>
        </w:rPr>
        <w:t>公司决定终止《2008</w:t>
      </w:r>
      <w:r>
        <w:rPr/>
        <w:t> </w:t>
      </w:r>
      <w:r>
        <w:rPr>
          <w:spacing w:val="-7"/>
        </w:rPr>
        <w:t>年股票期权激励计划（草案）》，并及时向中国证监会提交终</w:t>
      </w:r>
      <w:r>
        <w:rPr>
          <w:spacing w:val="-105"/>
        </w:rPr>
        <w:t> </w:t>
      </w:r>
      <w:r>
        <w:rPr>
          <w:spacing w:val="-105"/>
        </w:rPr>
      </w:r>
      <w:r>
        <w:rPr/>
        <w:t>止原股权激励计划备案的申请。</w:t>
      </w:r>
    </w:p>
    <w:p>
      <w:pPr>
        <w:pStyle w:val="BodyText"/>
        <w:spacing w:line="357" w:lineRule="auto" w:before="36"/>
        <w:ind w:right="218" w:firstLine="410"/>
        <w:jc w:val="both"/>
      </w:pPr>
      <w:r>
        <w:rPr/>
        <w:t>股权激励计划是公司人才发展战略的重要组成部分，公司一直将其作为一项重</w:t>
      </w:r>
      <w:r>
        <w:rPr>
          <w:spacing w:val="1"/>
        </w:rPr>
        <w:t> </w:t>
      </w:r>
      <w:r>
        <w:rPr/>
        <w:t>大工作持续推进。后期，公司将根据证券市场的变化情况，按照相关法规的规定，</w:t>
      </w:r>
      <w:r>
        <w:rPr/>
        <w:t> </w:t>
      </w:r>
      <w:r>
        <w:rPr>
          <w:spacing w:val="-1"/>
        </w:rPr>
        <w:t>适时重新启动股权激励计划，更好的推动公司发展。此次终止股权激励计划备案对</w:t>
      </w:r>
      <w:r>
        <w:rPr>
          <w:spacing w:val="-104"/>
        </w:rPr>
        <w:t> </w:t>
      </w:r>
      <w:r>
        <w:rPr>
          <w:spacing w:val="-104"/>
        </w:rPr>
      </w:r>
      <w:r>
        <w:rPr/>
        <w:t>公司财务状况没有影响。</w:t>
      </w:r>
    </w:p>
    <w:p>
      <w:pPr>
        <w:spacing w:after="0" w:line="357" w:lineRule="auto"/>
        <w:jc w:val="both"/>
        <w:sectPr>
          <w:pgSz w:w="11910" w:h="16840"/>
          <w:pgMar w:header="826" w:footer="894" w:top="1100" w:bottom="1100" w:left="1500" w:right="1400"/>
        </w:sectPr>
      </w:pPr>
    </w:p>
    <w:p>
      <w:pPr>
        <w:pStyle w:val="BodyText"/>
        <w:spacing w:line="357" w:lineRule="auto" w:before="106"/>
        <w:ind w:left="554" w:right="220"/>
        <w:jc w:val="left"/>
      </w:pPr>
      <w:r>
        <w:rPr/>
        <w:t>六、公司或持股 5％以上股东的承诺事项 </w:t>
      </w:r>
      <w:r>
        <w:rPr>
          <w:spacing w:val="-2"/>
        </w:rPr>
        <w:t>1、为避免同业竞争损害本公司及其他股东的利益，公司股东张近东先生、江苏</w:t>
      </w:r>
    </w:p>
    <w:p>
      <w:pPr>
        <w:pStyle w:val="BodyText"/>
        <w:spacing w:line="357" w:lineRule="auto" w:before="36"/>
        <w:ind w:left="144" w:right="100"/>
        <w:jc w:val="left"/>
      </w:pPr>
      <w:r>
        <w:rPr>
          <w:spacing w:val="-5"/>
        </w:rPr>
        <w:t>苏宁电器集团有限公司、陈金凤、赵蓓已于</w:t>
      </w:r>
      <w:r>
        <w:rPr>
          <w:spacing w:val="-60"/>
        </w:rPr>
        <w:t> </w:t>
      </w:r>
      <w:r>
        <w:rPr/>
        <w:t>2002</w:t>
      </w:r>
      <w:r>
        <w:rPr>
          <w:spacing w:val="-60"/>
        </w:rPr>
        <w:t> </w:t>
      </w:r>
      <w:r>
        <w:rPr/>
        <w:t>年</w:t>
      </w:r>
      <w:r>
        <w:rPr>
          <w:spacing w:val="-60"/>
        </w:rPr>
        <w:t> </w:t>
      </w:r>
      <w:r>
        <w:rPr/>
        <w:t>11</w:t>
      </w:r>
      <w:r>
        <w:rPr>
          <w:spacing w:val="-60"/>
        </w:rPr>
        <w:t> </w:t>
      </w:r>
      <w:r>
        <w:rPr/>
        <w:t>月</w:t>
      </w:r>
      <w:r>
        <w:rPr>
          <w:spacing w:val="-60"/>
        </w:rPr>
        <w:t> </w:t>
      </w:r>
      <w:r>
        <w:rPr/>
        <w:t>15</w:t>
      </w:r>
      <w:r>
        <w:rPr>
          <w:spacing w:val="-60"/>
        </w:rPr>
        <w:t> </w:t>
      </w:r>
      <w:r>
        <w:rPr>
          <w:spacing w:val="-5"/>
        </w:rPr>
        <w:t>日分别向公司出具《不</w:t>
      </w:r>
      <w:r>
        <w:rPr/>
        <w:t> 竞争承诺函》</w:t>
      </w:r>
      <w:r>
        <w:rPr>
          <w:spacing w:val="-20"/>
        </w:rPr>
        <w:t> </w:t>
      </w:r>
      <w:r>
        <w:rPr/>
        <w:t>。报告期内，上述股东信守承诺，没有发生与公司同业竞争的行为。</w:t>
      </w:r>
    </w:p>
    <w:p>
      <w:pPr>
        <w:pStyle w:val="BodyText"/>
        <w:spacing w:line="357" w:lineRule="auto" w:before="36"/>
        <w:ind w:right="237" w:firstLine="410"/>
        <w:jc w:val="both"/>
      </w:pPr>
      <w:r>
        <w:rPr/>
        <w:t>江苏苏宁电器集团有限公司</w:t>
      </w:r>
      <w:r>
        <w:rPr>
          <w:spacing w:val="-59"/>
        </w:rPr>
        <w:t> </w:t>
      </w:r>
      <w:r>
        <w:rPr>
          <w:spacing w:val="30"/>
        </w:rPr>
        <w:t>2003年3月6</w:t>
      </w:r>
      <w:r>
        <w:rPr>
          <w:spacing w:val="-59"/>
        </w:rPr>
        <w:t> </w:t>
      </w:r>
      <w:r>
        <w:rPr>
          <w:spacing w:val="-5"/>
        </w:rPr>
        <w:t>日出具过承诺函，保证今后避免发生</w:t>
      </w:r>
      <w:r>
        <w:rPr>
          <w:spacing w:val="-1"/>
        </w:rPr>
        <w:t> 除正常业务外的一切资金往来，在报告期内，江苏苏宁电器集团有限公司执行了承</w:t>
      </w:r>
      <w:r>
        <w:rPr>
          <w:spacing w:val="-104"/>
        </w:rPr>
        <w:t> </w:t>
      </w:r>
      <w:r>
        <w:rPr>
          <w:spacing w:val="-104"/>
        </w:rPr>
      </w:r>
      <w:r>
        <w:rPr/>
        <w:t>诺。</w:t>
      </w:r>
    </w:p>
    <w:p>
      <w:pPr>
        <w:pStyle w:val="BodyText"/>
        <w:spacing w:line="240" w:lineRule="auto" w:before="36"/>
        <w:ind w:left="554" w:right="108"/>
        <w:jc w:val="left"/>
      </w:pPr>
      <w:r>
        <w:rPr/>
        <w:t>2、股权分置改革中公司原非流通股股东持续到报告期内的承诺为：</w:t>
      </w:r>
    </w:p>
    <w:p>
      <w:pPr>
        <w:pStyle w:val="BodyText"/>
        <w:spacing w:line="357" w:lineRule="auto" w:before="154"/>
        <w:ind w:right="237" w:firstLine="410"/>
        <w:jc w:val="both"/>
      </w:pPr>
      <w:r>
        <w:rPr>
          <w:spacing w:val="-3"/>
        </w:rPr>
        <w:t>（1）持有公司非流通股股份百分之五以上的股东张近东和江苏苏宁电器集团有</w:t>
      </w:r>
      <w:r>
        <w:rPr>
          <w:spacing w:val="-1"/>
        </w:rPr>
        <w:t> 限公司进一步承诺，其所持有的非流通股股份自获得上市流通权之日起，二十四个</w:t>
      </w:r>
      <w:r>
        <w:rPr>
          <w:spacing w:val="-104"/>
        </w:rPr>
        <w:t> </w:t>
      </w:r>
      <w:r>
        <w:rPr>
          <w:spacing w:val="-104"/>
        </w:rPr>
      </w:r>
      <w:r>
        <w:rPr>
          <w:spacing w:val="-1"/>
        </w:rPr>
        <w:t>月内不通过深圳证券交易所中小企业板挂牌向社会公众出售所持公司股份；二十四</w:t>
      </w:r>
      <w:r>
        <w:rPr>
          <w:spacing w:val="-104"/>
        </w:rPr>
        <w:t> </w:t>
      </w:r>
      <w:r>
        <w:rPr>
          <w:spacing w:val="-104"/>
        </w:rPr>
      </w:r>
      <w:r>
        <w:rPr>
          <w:spacing w:val="5"/>
        </w:rPr>
        <w:t>个月至三十六个月之间，若其通过深圳证券交易所中小企业板出售苏宁电器的股</w:t>
      </w:r>
      <w:r>
        <w:rPr>
          <w:spacing w:val="-96"/>
        </w:rPr>
        <w:t> </w:t>
      </w:r>
      <w:r>
        <w:rPr>
          <w:spacing w:val="-96"/>
        </w:rPr>
      </w:r>
      <w:r>
        <w:rPr>
          <w:spacing w:val="-1"/>
        </w:rPr>
        <w:t>份，则各自出售数量占公司股份总数的比例不超过百分之十，出售价格不低于每股</w:t>
      </w:r>
      <w:r>
        <w:rPr>
          <w:spacing w:val="-104"/>
        </w:rPr>
        <w:t> </w:t>
      </w:r>
      <w:r>
        <w:rPr>
          <w:spacing w:val="-104"/>
        </w:rPr>
      </w:r>
      <w:r>
        <w:rPr/>
        <w:t>6.645</w:t>
      </w:r>
      <w:r>
        <w:rPr>
          <w:spacing w:val="-20"/>
        </w:rPr>
        <w:t> </w:t>
      </w:r>
      <w:r>
        <w:rPr/>
        <w:t>元（如果自非流通股获得流通权之日起至出售股份期间有派息、送股、资本</w:t>
      </w:r>
      <w:r>
        <w:rPr/>
        <w:t> </w:t>
      </w:r>
      <w:r>
        <w:rPr>
          <w:spacing w:val="-5"/>
        </w:rPr>
        <w:t>公积金转增股本等事项，应对该价格进行除权除息处理）。</w:t>
      </w:r>
    </w:p>
    <w:p>
      <w:pPr>
        <w:pStyle w:val="BodyText"/>
        <w:spacing w:line="357" w:lineRule="auto" w:before="36"/>
        <w:ind w:right="108" w:firstLine="410"/>
        <w:jc w:val="left"/>
      </w:pPr>
      <w:r>
        <w:rPr>
          <w:spacing w:val="-6"/>
        </w:rPr>
        <w:t>（2）通过证券交易所挂牌交易出售的股份数量，达到公司股份总数百分之一的，</w:t>
      </w:r>
      <w:r>
        <w:rPr/>
        <w:t> 自该事实发生之日起两个工作日内做出公告。报告期内，公司所有原非流通股股东 均履行承诺。</w:t>
      </w:r>
    </w:p>
    <w:p>
      <w:pPr>
        <w:pStyle w:val="BodyText"/>
        <w:spacing w:line="357" w:lineRule="auto" w:before="36"/>
        <w:ind w:right="238" w:firstLine="410"/>
        <w:jc w:val="both"/>
      </w:pPr>
      <w:r>
        <w:rPr>
          <w:spacing w:val="19"/>
        </w:rPr>
        <w:t>3、2008年6月</w:t>
      </w:r>
      <w:r>
        <w:rPr>
          <w:spacing w:val="-70"/>
        </w:rPr>
        <w:t> </w:t>
      </w:r>
      <w:r>
        <w:rPr/>
        <w:t>30</w:t>
      </w:r>
      <w:r>
        <w:rPr>
          <w:spacing w:val="-70"/>
        </w:rPr>
        <w:t> </w:t>
      </w:r>
      <w:r>
        <w:rPr/>
        <w:t>日，基于对苏宁电器未来发展的信心，为促进公司长期稳定</w:t>
      </w:r>
      <w:r>
        <w:rPr>
          <w:spacing w:val="-1"/>
        </w:rPr>
        <w:t> </w:t>
      </w:r>
      <w:r>
        <w:rPr/>
        <w:t>发展，张近东先生在原股权分置改革承诺的基础上，追加股份限售承诺如下：</w:t>
      </w:r>
    </w:p>
    <w:p>
      <w:pPr>
        <w:pStyle w:val="BodyText"/>
        <w:spacing w:line="357" w:lineRule="auto" w:before="36"/>
        <w:ind w:right="237" w:firstLine="410"/>
        <w:jc w:val="both"/>
      </w:pPr>
      <w:r>
        <w:rPr>
          <w:spacing w:val="-9"/>
        </w:rPr>
        <w:t>（1）于</w:t>
      </w:r>
      <w:r>
        <w:rPr>
          <w:spacing w:val="-70"/>
        </w:rPr>
        <w:t> </w:t>
      </w:r>
      <w:r>
        <w:rPr>
          <w:spacing w:val="25"/>
        </w:rPr>
        <w:t>2010年8月</w:t>
      </w:r>
      <w:r>
        <w:rPr>
          <w:spacing w:val="-70"/>
        </w:rPr>
        <w:t> </w:t>
      </w:r>
      <w:r>
        <w:rPr/>
        <w:t>10</w:t>
      </w:r>
      <w:r>
        <w:rPr>
          <w:spacing w:val="-70"/>
        </w:rPr>
        <w:t> </w:t>
      </w:r>
      <w:r>
        <w:rPr/>
        <w:t>日前，张近东先生持有的所有苏宁电器股份不通过证券</w:t>
      </w:r>
      <w:r>
        <w:rPr/>
        <w:t> 交易系统（含大宗交易系统）挂牌交易的方式减持；</w:t>
      </w:r>
    </w:p>
    <w:p>
      <w:pPr>
        <w:pStyle w:val="BodyText"/>
        <w:spacing w:line="357" w:lineRule="auto" w:before="36"/>
        <w:ind w:right="237" w:firstLine="410"/>
        <w:jc w:val="both"/>
      </w:pPr>
      <w:r>
        <w:rPr>
          <w:spacing w:val="-3"/>
        </w:rPr>
        <w:t>（2）张近东先生将尽快委托公司向中国证券登记结算有限责任公司深圳分公司</w:t>
      </w:r>
      <w:r>
        <w:rPr>
          <w:spacing w:val="-1"/>
        </w:rPr>
        <w:t> </w:t>
      </w:r>
      <w:r>
        <w:rPr/>
        <w:t>申请办理股份锁定事宜。</w:t>
      </w:r>
    </w:p>
    <w:p>
      <w:pPr>
        <w:pStyle w:val="BodyText"/>
        <w:spacing w:line="240" w:lineRule="auto" w:before="36"/>
        <w:ind w:left="554" w:right="108"/>
        <w:jc w:val="left"/>
      </w:pPr>
      <w:r>
        <w:rPr/>
        <w:t>报告期内，张近东先生履行其承诺。</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ind w:right="237" w:firstLine="410"/>
        <w:jc w:val="both"/>
      </w:pPr>
      <w:r>
        <w:rPr/>
        <w:t>七、报告期内，公司续聘普华永道中天会计师事务所为公司财务审计机构。该</w:t>
      </w:r>
      <w:r>
        <w:rPr>
          <w:spacing w:val="1"/>
        </w:rPr>
        <w:t> </w:t>
      </w:r>
      <w:r>
        <w:rPr/>
        <w:t>所已连续</w:t>
      </w:r>
      <w:r>
        <w:rPr>
          <w:spacing w:val="-35"/>
        </w:rPr>
        <w:t> </w:t>
      </w:r>
      <w:r>
        <w:rPr/>
        <w:t>2</w:t>
      </w:r>
      <w:r>
        <w:rPr>
          <w:spacing w:val="-35"/>
        </w:rPr>
        <w:t> </w:t>
      </w:r>
      <w:r>
        <w:rPr/>
        <w:t>年为公司提供审计服务，现为公司</w:t>
      </w:r>
      <w:r>
        <w:rPr>
          <w:spacing w:val="-35"/>
        </w:rPr>
        <w:t> </w:t>
      </w:r>
      <w:r>
        <w:rPr/>
        <w:t>2008</w:t>
      </w:r>
      <w:r>
        <w:rPr>
          <w:spacing w:val="-35"/>
        </w:rPr>
        <w:t> </w:t>
      </w:r>
      <w:r>
        <w:rPr/>
        <w:t>年年度财务报告提供审计服务</w:t>
      </w:r>
    </w:p>
    <w:p>
      <w:pPr>
        <w:pStyle w:val="BodyText"/>
        <w:spacing w:line="240" w:lineRule="auto" w:before="36"/>
        <w:ind w:right="108"/>
        <w:jc w:val="left"/>
      </w:pPr>
      <w:r>
        <w:rPr/>
        <w:t>的签字会计师为柯镇洪先生、邓锡麟先生。此次审计费用为</w:t>
      </w:r>
      <w:r>
        <w:rPr>
          <w:spacing w:val="-60"/>
        </w:rPr>
        <w:t> </w:t>
      </w:r>
      <w:r>
        <w:rPr/>
        <w:t>450</w:t>
      </w:r>
      <w:r>
        <w:rPr>
          <w:spacing w:val="-60"/>
        </w:rPr>
        <w:t> </w:t>
      </w:r>
      <w:r>
        <w:rPr/>
        <w:t>万元。</w:t>
      </w:r>
    </w:p>
    <w:p>
      <w:pPr>
        <w:spacing w:after="0" w:line="240" w:lineRule="auto"/>
        <w:jc w:val="left"/>
        <w:sectPr>
          <w:pgSz w:w="11910" w:h="16840"/>
          <w:pgMar w:header="826" w:footer="894" w:top="1100" w:bottom="1100" w:left="1500" w:right="1400"/>
        </w:sectPr>
      </w:pPr>
    </w:p>
    <w:p>
      <w:pPr>
        <w:pStyle w:val="BodyText"/>
        <w:spacing w:line="357" w:lineRule="auto" w:before="106"/>
        <w:ind w:left="483" w:right="577" w:firstLine="410"/>
        <w:jc w:val="both"/>
      </w:pPr>
      <w:r>
        <w:rPr/>
        <w:t>八、报告期间，公司董事会及董事没有受到中国证监会的稽查、中国证监会的</w:t>
      </w:r>
      <w:r>
        <w:rPr>
          <w:spacing w:val="1"/>
        </w:rPr>
        <w:t> </w:t>
      </w:r>
      <w:r>
        <w:rPr>
          <w:spacing w:val="-1"/>
        </w:rPr>
        <w:t>行政处罚、通报批评，也没有被其他行政管理部门处罚及证券交易所公开谴责的情</w:t>
      </w:r>
      <w:r>
        <w:rPr>
          <w:spacing w:val="-104"/>
        </w:rPr>
        <w:t> </w:t>
      </w:r>
      <w:r>
        <w:rPr>
          <w:spacing w:val="-104"/>
        </w:rPr>
      </w:r>
      <w:r>
        <w:rPr/>
        <w:t>况，公司董事、管理层有关人员没有被采取司法强制措施的情况。</w:t>
      </w:r>
    </w:p>
    <w:p>
      <w:pPr>
        <w:spacing w:line="240" w:lineRule="auto" w:before="0"/>
        <w:rPr>
          <w:rFonts w:ascii="宋体" w:hAnsi="宋体" w:cs="宋体" w:eastAsia="宋体" w:hint="default"/>
          <w:sz w:val="24"/>
          <w:szCs w:val="24"/>
        </w:rPr>
      </w:pPr>
    </w:p>
    <w:p>
      <w:pPr>
        <w:pStyle w:val="BodyText"/>
        <w:spacing w:line="240" w:lineRule="auto" w:before="190"/>
        <w:ind w:left="963" w:right="0"/>
        <w:jc w:val="left"/>
      </w:pPr>
      <w:r>
        <w:rPr/>
        <w:t>九、其他重要事项</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96"/>
        <w:gridCol w:w="1217"/>
        <w:gridCol w:w="4579"/>
        <w:gridCol w:w="1061"/>
        <w:gridCol w:w="1780"/>
      </w:tblGrid>
      <w:tr>
        <w:trPr>
          <w:trHeight w:val="29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日期</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公告内容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公告编号</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83" w:right="0"/>
              <w:jc w:val="left"/>
              <w:rPr>
                <w:rFonts w:ascii="宋体" w:hAnsi="宋体" w:cs="宋体" w:eastAsia="宋体" w:hint="default"/>
                <w:sz w:val="20"/>
                <w:szCs w:val="20"/>
              </w:rPr>
            </w:pPr>
            <w:r>
              <w:rPr>
                <w:rFonts w:ascii="宋体" w:hAnsi="宋体" w:cs="宋体" w:eastAsia="宋体" w:hint="default"/>
                <w:sz w:val="20"/>
                <w:szCs w:val="20"/>
              </w:rPr>
              <w:t>刊登情况</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3"/>
                <w:sz w:val="20"/>
                <w:szCs w:val="20"/>
              </w:rPr>
              <w:t> </w:t>
            </w:r>
            <w:r>
              <w:rPr>
                <w:rFonts w:ascii="宋体" w:hAnsi="宋体" w:cs="宋体" w:eastAsia="宋体" w:hint="default"/>
                <w:sz w:val="20"/>
                <w:szCs w:val="20"/>
              </w:rPr>
              <w:t>年第三次临时股东大会决议公告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sz w:val="20"/>
                <w:szCs w:val="20"/>
              </w:rPr>
              <w:t>公司章程（2008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w w:val="100"/>
                <w:sz w:val="20"/>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4"/>
                <w:sz w:val="20"/>
                <w:szCs w:val="20"/>
              </w:rPr>
              <w:t> </w:t>
            </w:r>
            <w:r>
              <w:rPr>
                <w:rFonts w:ascii="宋体" w:hAnsi="宋体" w:cs="宋体" w:eastAsia="宋体" w:hint="default"/>
                <w:sz w:val="20"/>
                <w:szCs w:val="20"/>
              </w:rPr>
              <w:t>年第三次临时股东大会的法律意见书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股东大会议事规则（2008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月修订）</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w w:val="100"/>
                <w:sz w:val="20"/>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重大投资及财务决策制度（2008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月修订）</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w w:val="100"/>
                <w:sz w:val="20"/>
              </w:rPr>
              <w:t>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2008.1.8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2008-002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2008.1.8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关于购买资产的公告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2008.1.30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第三届董事会第十一次会议决议公告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2008.1.30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审计委员会年报工作规则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2008.1.30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独立董事年报工作规则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2008.2.5</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提示性公告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第三届董事会第十二次会议决议公告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第三届监事会第五次会议决议公告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2008-007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年年度报告摘要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关于前期会计调整的公告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2008-009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董事会关于募集资金年度使用情况的专项报告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董事会关于前次募集资金使用情况报告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2008-011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关于商标使用许可的关联交易公告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独立董事对相关事项发表的独立意见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20"/>
                <w:szCs w:val="20"/>
              </w:rPr>
            </w:pPr>
            <w:r>
              <w:rPr>
                <w:rFonts w:ascii="宋体" w:hAnsi="宋体" w:cs="宋体" w:eastAsia="宋体" w:hint="default"/>
                <w:sz w:val="20"/>
                <w:szCs w:val="20"/>
              </w:rPr>
              <w:t>董事会关于召开</w:t>
            </w:r>
            <w:r>
              <w:rPr>
                <w:rFonts w:ascii="宋体" w:hAnsi="宋体" w:cs="宋体" w:eastAsia="宋体" w:hint="default"/>
                <w:spacing w:val="-57"/>
                <w:sz w:val="20"/>
                <w:szCs w:val="20"/>
              </w:rPr>
              <w:t> </w:t>
            </w: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年年度股东大会的议案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2008-014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年度述职报告（孙剑平）</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年度述职报告（戴新民）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年度述职报告（沈坤荣）</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hAnsi="宋体" w:cs="宋体" w:eastAsia="宋体" w:hint="default"/>
                <w:sz w:val="20"/>
                <w:szCs w:val="20"/>
              </w:rPr>
              <w:t>关于公司</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年度前期会计调整的专项说明</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68"/>
                <w:sz w:val="20"/>
                <w:szCs w:val="20"/>
              </w:rPr>
              <w:t> </w:t>
            </w:r>
            <w:r>
              <w:rPr>
                <w:rFonts w:ascii="宋体" w:hAnsi="宋体" w:cs="宋体" w:eastAsia="宋体" w:hint="default"/>
                <w:sz w:val="20"/>
                <w:szCs w:val="20"/>
              </w:rPr>
              <w:t>年度募集资金年度使用情况的专项报告及鉴</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证报告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bl>
    <w:p>
      <w:pPr>
        <w:spacing w:after="0" w:line="240" w:lineRule="auto"/>
        <w:jc w:val="left"/>
        <w:rPr>
          <w:rFonts w:ascii="宋体" w:hAnsi="宋体" w:cs="宋体" w:eastAsia="宋体" w:hint="default"/>
          <w:sz w:val="20"/>
          <w:szCs w:val="20"/>
        </w:rPr>
        <w:sectPr>
          <w:pgSz w:w="11910" w:h="16840"/>
          <w:pgMar w:header="826" w:footer="894" w:top="1100" w:bottom="1100" w:left="1160" w:right="1060"/>
        </w:sectPr>
      </w:pPr>
    </w:p>
    <w:p>
      <w:pPr>
        <w:spacing w:line="240" w:lineRule="auto" w:before="7"/>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796"/>
        <w:gridCol w:w="1217"/>
        <w:gridCol w:w="4579"/>
        <w:gridCol w:w="1061"/>
        <w:gridCol w:w="1780"/>
      </w:tblGrid>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26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关于公司控股股东及其他关联方占用资金情况专</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项说明</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61"/>
                <w:sz w:val="20"/>
                <w:szCs w:val="20"/>
              </w:rPr>
              <w:t> </w:t>
            </w:r>
            <w:r>
              <w:rPr>
                <w:rFonts w:ascii="宋体" w:hAnsi="宋体" w:cs="宋体" w:eastAsia="宋体" w:hint="default"/>
                <w:sz w:val="20"/>
                <w:szCs w:val="20"/>
              </w:rPr>
              <w:t>年年度财务报告及审计报告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2008.2.29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4"/>
                <w:sz w:val="20"/>
                <w:szCs w:val="20"/>
              </w:rPr>
              <w:t> </w:t>
            </w:r>
            <w:r>
              <w:rPr>
                <w:rFonts w:ascii="宋体" w:hAnsi="宋体" w:cs="宋体" w:eastAsia="宋体" w:hint="default"/>
                <w:sz w:val="20"/>
                <w:szCs w:val="20"/>
              </w:rPr>
              <w:t>年年度报告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0"/>
                <w:szCs w:val="20"/>
              </w:rPr>
            </w:pPr>
            <w:r>
              <w:rPr>
                <w:rFonts w:ascii="宋体"/>
                <w:sz w:val="20"/>
              </w:rPr>
              <w:t>2008.3.11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20"/>
                <w:szCs w:val="20"/>
              </w:rPr>
            </w:pPr>
            <w:r>
              <w:rPr>
                <w:rFonts w:ascii="宋体" w:hAnsi="宋体" w:cs="宋体" w:eastAsia="宋体" w:hint="default"/>
                <w:sz w:val="20"/>
                <w:szCs w:val="20"/>
              </w:rPr>
              <w:t>关于举行</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5"/>
                <w:sz w:val="20"/>
                <w:szCs w:val="20"/>
              </w:rPr>
              <w:t> </w:t>
            </w:r>
            <w:r>
              <w:rPr>
                <w:rFonts w:ascii="宋体" w:hAnsi="宋体" w:cs="宋体" w:eastAsia="宋体" w:hint="default"/>
                <w:sz w:val="20"/>
                <w:szCs w:val="20"/>
              </w:rPr>
              <w:t>年年度报告网上说明会的通知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2008.3.19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5"/>
                <w:sz w:val="20"/>
                <w:szCs w:val="20"/>
              </w:rPr>
              <w:t> </w:t>
            </w:r>
            <w:r>
              <w:rPr>
                <w:rFonts w:ascii="宋体" w:hAnsi="宋体" w:cs="宋体" w:eastAsia="宋体" w:hint="default"/>
                <w:sz w:val="20"/>
                <w:szCs w:val="20"/>
              </w:rPr>
              <w:t>2007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5"/>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4"/>
                <w:sz w:val="20"/>
                <w:szCs w:val="20"/>
              </w:rPr>
              <w:t> </w:t>
            </w:r>
            <w:r>
              <w:rPr>
                <w:rFonts w:ascii="宋体" w:hAnsi="宋体" w:cs="宋体" w:eastAsia="宋体" w:hint="default"/>
                <w:sz w:val="20"/>
                <w:szCs w:val="20"/>
              </w:rPr>
              <w:t>日至</w:t>
            </w:r>
            <w:r>
              <w:rPr>
                <w:rFonts w:ascii="宋体" w:hAnsi="宋体" w:cs="宋体" w:eastAsia="宋体" w:hint="default"/>
                <w:spacing w:val="-56"/>
                <w:sz w:val="20"/>
                <w:szCs w:val="20"/>
              </w:rPr>
              <w:t> </w:t>
            </w:r>
            <w:r>
              <w:rPr>
                <w:rFonts w:ascii="宋体" w:hAnsi="宋体" w:cs="宋体" w:eastAsia="宋体" w:hint="default"/>
                <w:sz w:val="20"/>
                <w:szCs w:val="20"/>
              </w:rPr>
              <w:t>2007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12</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宋体" w:hAnsi="宋体" w:cs="宋体" w:eastAsia="宋体" w:hint="default"/>
                <w:sz w:val="20"/>
                <w:szCs w:val="20"/>
              </w:rPr>
              <w:t>31</w:t>
            </w:r>
            <w:r>
              <w:rPr>
                <w:rFonts w:ascii="宋体" w:hAnsi="宋体" w:cs="宋体" w:eastAsia="宋体" w:hint="default"/>
                <w:spacing w:val="-55"/>
                <w:sz w:val="20"/>
                <w:szCs w:val="20"/>
              </w:rPr>
              <w:t> </w:t>
            </w:r>
            <w:r>
              <w:rPr>
                <w:rFonts w:ascii="宋体" w:hAnsi="宋体" w:cs="宋体" w:eastAsia="宋体" w:hint="default"/>
                <w:sz w:val="20"/>
                <w:szCs w:val="20"/>
              </w:rPr>
              <w:t>日止前次募</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集资金使用情况报告及鉴证报告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31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2008.3.21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61"/>
                <w:sz w:val="20"/>
                <w:szCs w:val="20"/>
              </w:rPr>
              <w:t> </w:t>
            </w:r>
            <w:r>
              <w:rPr>
                <w:rFonts w:ascii="宋体" w:hAnsi="宋体" w:cs="宋体" w:eastAsia="宋体" w:hint="default"/>
                <w:sz w:val="20"/>
                <w:szCs w:val="20"/>
              </w:rPr>
              <w:t>年年度股东大会的法律意见书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2008.3.21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年年度股东大会决议公告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2008.3.24</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3"/>
                <w:sz w:val="20"/>
                <w:szCs w:val="20"/>
              </w:rPr>
              <w:t> </w:t>
            </w:r>
            <w:r>
              <w:rPr>
                <w:rFonts w:ascii="宋体" w:hAnsi="宋体" w:cs="宋体" w:eastAsia="宋体" w:hint="default"/>
                <w:sz w:val="20"/>
                <w:szCs w:val="20"/>
              </w:rPr>
              <w:t>年度分红派息实施公告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2008-017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34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2008.4.2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第三届董事会第十三次会议决议公告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35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2008.4.2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关于为控股子公司提供担保的公告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2008-019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2008.4.12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关于前期会计调整和存货跌价准备计提政策的说</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明公告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2008-020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2008.4.29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年第一季度报告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2008-021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2008.5.8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关于非公开发行股票申请获得中国证券监督管理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委员会核准的公告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2008-022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2008.5.14</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关于公司受地震影响情况的公告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2008-023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第三届董事会第十五次会议决议公告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2008-024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41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非公开发行股票情况及上市公告书摘要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2008-025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61"/>
                <w:sz w:val="20"/>
                <w:szCs w:val="20"/>
              </w:rPr>
              <w:t> </w:t>
            </w:r>
            <w:r>
              <w:rPr>
                <w:rFonts w:ascii="宋体" w:hAnsi="宋体" w:cs="宋体" w:eastAsia="宋体" w:hint="default"/>
                <w:sz w:val="20"/>
                <w:szCs w:val="20"/>
              </w:rPr>
              <w:t>年非公开发行股票发行保荐书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43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非公开发行股票询价及配售过程的见证法律意见</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非公开发行</w:t>
            </w:r>
            <w:r>
              <w:rPr>
                <w:rFonts w:ascii="宋体" w:hAnsi="宋体" w:cs="宋体" w:eastAsia="宋体" w:hint="default"/>
                <w:spacing w:val="-51"/>
                <w:sz w:val="20"/>
                <w:szCs w:val="20"/>
              </w:rPr>
              <w:t> </w:t>
            </w:r>
            <w:r>
              <w:rPr>
                <w:rFonts w:ascii="宋体" w:hAnsi="宋体" w:cs="宋体" w:eastAsia="宋体" w:hint="default"/>
                <w:sz w:val="20"/>
                <w:szCs w:val="20"/>
              </w:rPr>
              <w:t>A</w:t>
            </w:r>
            <w:r>
              <w:rPr>
                <w:rFonts w:ascii="宋体" w:hAnsi="宋体" w:cs="宋体" w:eastAsia="宋体" w:hint="default"/>
                <w:spacing w:val="-51"/>
                <w:sz w:val="20"/>
                <w:szCs w:val="20"/>
              </w:rPr>
              <w:t> </w:t>
            </w:r>
            <w:r>
              <w:rPr>
                <w:rFonts w:ascii="宋体" w:hAnsi="宋体" w:cs="宋体" w:eastAsia="宋体" w:hint="default"/>
                <w:sz w:val="20"/>
                <w:szCs w:val="20"/>
              </w:rPr>
              <w:t>股法律意见书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45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2008.5.22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非公开发行股票发行情况及上市公告书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2008.5.29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关于公司受地震影响后续情况的公告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2008-026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2008.6.13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澄清公告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2008-027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2008.6.18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关于签订募集资金三方监管协议的公告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2008-028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49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2008.7.1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关于控股股东追加股份限售承诺的公告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2008-029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2008.7.1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第三届董事会第十六次会议决议公告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2008.7.1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关于为控股子公司提供担保的公告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2008.7.19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公司章程（草案）</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2008.7.19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第三届董事会第十七次会议决议公告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2008.7.19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关于公司治理整改情况说明的报告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2008-033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2008.7.19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信息披露管理制度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bl>
    <w:p>
      <w:pPr>
        <w:spacing w:after="0" w:line="240" w:lineRule="auto"/>
        <w:jc w:val="left"/>
        <w:rPr>
          <w:rFonts w:ascii="宋体" w:hAnsi="宋体" w:cs="宋体" w:eastAsia="宋体" w:hint="default"/>
          <w:sz w:val="20"/>
          <w:szCs w:val="20"/>
        </w:rPr>
        <w:sectPr>
          <w:pgSz w:w="11910" w:h="16840"/>
          <w:pgMar w:header="826" w:footer="894" w:top="1100" w:bottom="1100" w:left="1160" w:right="1060"/>
        </w:sectPr>
      </w:pPr>
    </w:p>
    <w:p>
      <w:pPr>
        <w:spacing w:line="240" w:lineRule="auto" w:before="7"/>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796"/>
        <w:gridCol w:w="1217"/>
        <w:gridCol w:w="4579"/>
        <w:gridCol w:w="1061"/>
        <w:gridCol w:w="1780"/>
      </w:tblGrid>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2008.7.19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董事、监事和高级管理人员所持公司股份及其变动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管理规则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第三届董事会第十八次会议决议公告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第三届监事会第七次会议决议公告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4"/>
                <w:sz w:val="20"/>
                <w:szCs w:val="20"/>
              </w:rPr>
              <w:t> </w:t>
            </w:r>
            <w:r>
              <w:rPr>
                <w:rFonts w:ascii="宋体" w:hAnsi="宋体" w:cs="宋体" w:eastAsia="宋体" w:hint="default"/>
                <w:sz w:val="20"/>
                <w:szCs w:val="20"/>
              </w:rPr>
              <w:t>年股票期权激励计划（草案）摘要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2008-036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4"/>
                <w:sz w:val="20"/>
                <w:szCs w:val="20"/>
              </w:rPr>
              <w:t> </w:t>
            </w:r>
            <w:r>
              <w:rPr>
                <w:rFonts w:ascii="宋体" w:hAnsi="宋体" w:cs="宋体" w:eastAsia="宋体" w:hint="default"/>
                <w:sz w:val="20"/>
                <w:szCs w:val="20"/>
              </w:rPr>
              <w:t>年股票期权激励计划实施考核办法</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w:t>
            </w:r>
            <w:r>
              <w:rPr>
                <w:rFonts w:ascii="宋体" w:hAnsi="宋体" w:cs="宋体" w:eastAsia="宋体" w:hint="default"/>
                <w:spacing w:val="-57"/>
                <w:sz w:val="20"/>
                <w:szCs w:val="20"/>
              </w:rPr>
              <w:t> </w:t>
            </w:r>
            <w:r>
              <w:rPr>
                <w:rFonts w:ascii="宋体" w:hAnsi="宋体" w:cs="宋体" w:eastAsia="宋体" w:hint="default"/>
                <w:sz w:val="20"/>
                <w:szCs w:val="20"/>
              </w:rPr>
              <w:t>2008</w:t>
            </w:r>
            <w:r>
              <w:rPr>
                <w:rFonts w:ascii="宋体" w:hAnsi="宋体" w:cs="宋体" w:eastAsia="宋体" w:hint="default"/>
                <w:spacing w:val="-56"/>
                <w:sz w:val="20"/>
                <w:szCs w:val="20"/>
              </w:rPr>
              <w:t> </w:t>
            </w:r>
            <w:r>
              <w:rPr>
                <w:rFonts w:ascii="宋体" w:hAnsi="宋体" w:cs="宋体" w:eastAsia="宋体" w:hint="default"/>
                <w:sz w:val="20"/>
                <w:szCs w:val="20"/>
              </w:rPr>
              <w:t>年股票期权激励计划（草案）</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的独立意见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62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2008.7.29</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1"/>
                <w:sz w:val="20"/>
                <w:szCs w:val="20"/>
              </w:rPr>
              <w:t> </w:t>
            </w:r>
            <w:r>
              <w:rPr>
                <w:rFonts w:ascii="宋体" w:hAnsi="宋体" w:cs="宋体" w:eastAsia="宋体" w:hint="default"/>
                <w:sz w:val="20"/>
                <w:szCs w:val="20"/>
              </w:rPr>
              <w:t>年股票期权激励计划（草案）</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2008.8.1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第三届董事会第十九次会议决议公告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2008-037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2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关于控股股东及其关联方资金占用问题的自查报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2008-038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79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2008.8.1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独立董事关于控股股东及其他关联方资金往来、资</w:t>
            </w:r>
          </w:p>
          <w:p>
            <w:pPr>
              <w:pStyle w:val="TableParagraph"/>
              <w:spacing w:line="240" w:lineRule="auto"/>
              <w:ind w:left="103" w:right="3263"/>
              <w:jc w:val="left"/>
              <w:rPr>
                <w:rFonts w:ascii="宋体" w:hAnsi="宋体" w:cs="宋体" w:eastAsia="宋体" w:hint="default"/>
                <w:sz w:val="20"/>
                <w:szCs w:val="20"/>
              </w:rPr>
            </w:pPr>
            <w:r>
              <w:rPr>
                <w:rFonts w:ascii="宋体" w:hAnsi="宋体" w:cs="宋体" w:eastAsia="宋体" w:hint="default"/>
                <w:sz w:val="20"/>
                <w:szCs w:val="20"/>
              </w:rPr>
              <w:t>金占用情况的</w:t>
            </w:r>
            <w:r>
              <w:rPr>
                <w:rFonts w:ascii="宋体" w:hAnsi="宋体" w:cs="宋体" w:eastAsia="宋体" w:hint="default"/>
                <w:w w:val="100"/>
                <w:sz w:val="20"/>
                <w:szCs w:val="20"/>
              </w:rPr>
              <w:t> </w:t>
            </w:r>
            <w:r>
              <w:rPr>
                <w:rFonts w:ascii="宋体" w:hAnsi="宋体" w:cs="宋体" w:eastAsia="宋体" w:hint="default"/>
                <w:sz w:val="20"/>
                <w:szCs w:val="20"/>
              </w:rPr>
              <w:t>独立意见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2008.8.8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2008-039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2008.8.8</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关于公司有限售条件的流通股上市流通申请的核</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查意见书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第三届董事会第二十次会议决议公告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2008-040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69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第三届监事会第八次会议决议公告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2008-041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关于以募集资金置换预先已投入募投项目的自筹</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资金的公告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2008-042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独立董事关于以募集资金置换预先已投入募投项</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目的自筹资金的独立意见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2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关于公司以募集资金置换预先已投入募投项目的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自筹资金的独立意见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2008.8.23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9"/>
                <w:sz w:val="20"/>
                <w:szCs w:val="20"/>
              </w:rPr>
              <w:t> </w:t>
            </w:r>
            <w:r>
              <w:rPr>
                <w:rFonts w:ascii="宋体" w:hAnsi="宋体" w:cs="宋体" w:eastAsia="宋体" w:hint="default"/>
                <w:sz w:val="20"/>
                <w:szCs w:val="20"/>
              </w:rPr>
              <w:t>2008</w:t>
            </w:r>
            <w:r>
              <w:rPr>
                <w:rFonts w:ascii="宋体" w:hAnsi="宋体" w:cs="宋体" w:eastAsia="宋体" w:hint="default"/>
                <w:spacing w:val="-59"/>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7</w:t>
            </w:r>
            <w:r>
              <w:rPr>
                <w:rFonts w:ascii="宋体" w:hAnsi="宋体" w:cs="宋体" w:eastAsia="宋体" w:hint="default"/>
                <w:spacing w:val="-59"/>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16</w:t>
            </w:r>
            <w:r>
              <w:rPr>
                <w:rFonts w:ascii="宋体" w:hAnsi="宋体" w:cs="宋体" w:eastAsia="宋体" w:hint="default"/>
                <w:spacing w:val="-59"/>
                <w:sz w:val="20"/>
                <w:szCs w:val="20"/>
              </w:rPr>
              <w:t> </w:t>
            </w:r>
            <w:r>
              <w:rPr>
                <w:rFonts w:ascii="宋体" w:hAnsi="宋体" w:cs="宋体" w:eastAsia="宋体" w:hint="default"/>
                <w:sz w:val="20"/>
                <w:szCs w:val="20"/>
              </w:rPr>
              <w:t>日止以自筹资金预先投入募集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资金投资项目情况报告及鉴证报告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第三届董事会第二十一次会议决议公告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2008-043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第三届监事会第九次会议决议公告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2008-044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76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年半年度报告摘要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2008-045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77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关于对</w:t>
            </w:r>
            <w:r>
              <w:rPr>
                <w:rFonts w:ascii="宋体" w:hAnsi="宋体" w:cs="宋体" w:eastAsia="宋体" w:hint="default"/>
                <w:spacing w:val="-51"/>
                <w:sz w:val="20"/>
                <w:szCs w:val="20"/>
              </w:rPr>
              <w:t> </w:t>
            </w: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年半年度比较财务报表调整的公告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2008-046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6"/>
                <w:sz w:val="20"/>
                <w:szCs w:val="20"/>
              </w:rPr>
              <w:t> </w:t>
            </w:r>
            <w:r>
              <w:rPr>
                <w:rFonts w:ascii="宋体" w:hAnsi="宋体" w:cs="宋体" w:eastAsia="宋体" w:hint="default"/>
                <w:sz w:val="20"/>
                <w:szCs w:val="20"/>
              </w:rPr>
              <w:t>2008</w:t>
            </w:r>
            <w:r>
              <w:rPr>
                <w:rFonts w:ascii="宋体" w:hAnsi="宋体" w:cs="宋体" w:eastAsia="宋体" w:hint="default"/>
                <w:spacing w:val="-55"/>
                <w:sz w:val="20"/>
                <w:szCs w:val="20"/>
              </w:rPr>
              <w:t> </w:t>
            </w:r>
            <w:r>
              <w:rPr>
                <w:rFonts w:ascii="宋体" w:hAnsi="宋体" w:cs="宋体" w:eastAsia="宋体" w:hint="default"/>
                <w:sz w:val="20"/>
                <w:szCs w:val="20"/>
              </w:rPr>
              <w:t>年第一次临时股东大会的通知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2008-047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52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79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独立董事对公司与关联方资金往来、公司累计和当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期对外担保情况的专项说明和独立意见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80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1"/>
                <w:sz w:val="20"/>
                <w:szCs w:val="20"/>
              </w:rPr>
              <w:t> </w:t>
            </w:r>
            <w:r>
              <w:rPr>
                <w:rFonts w:ascii="宋体" w:hAnsi="宋体" w:cs="宋体" w:eastAsia="宋体" w:hint="default"/>
                <w:sz w:val="20"/>
                <w:szCs w:val="20"/>
              </w:rPr>
              <w:t>年半年度财务报表及审计报告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2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关于公司截至</w:t>
            </w:r>
            <w:r>
              <w:rPr>
                <w:rFonts w:ascii="宋体" w:hAnsi="宋体" w:cs="宋体" w:eastAsia="宋体" w:hint="default"/>
                <w:spacing w:val="-58"/>
                <w:sz w:val="20"/>
                <w:szCs w:val="20"/>
              </w:rPr>
              <w:t> </w:t>
            </w:r>
            <w:r>
              <w:rPr>
                <w:rFonts w:ascii="宋体" w:hAnsi="宋体" w:cs="宋体" w:eastAsia="宋体" w:hint="default"/>
                <w:sz w:val="20"/>
                <w:szCs w:val="20"/>
              </w:rPr>
              <w:t>2008</w:t>
            </w:r>
            <w:r>
              <w:rPr>
                <w:rFonts w:ascii="宋体" w:hAnsi="宋体" w:cs="宋体" w:eastAsia="宋体" w:hint="default"/>
                <w:spacing w:val="-57"/>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6</w:t>
            </w:r>
            <w:r>
              <w:rPr>
                <w:rFonts w:ascii="宋体" w:hAnsi="宋体" w:cs="宋体" w:eastAsia="宋体" w:hint="default"/>
                <w:spacing w:val="-59"/>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30</w:t>
            </w:r>
            <w:r>
              <w:rPr>
                <w:rFonts w:ascii="宋体" w:hAnsi="宋体" w:cs="宋体" w:eastAsia="宋体" w:hint="default"/>
                <w:spacing w:val="-59"/>
                <w:sz w:val="20"/>
                <w:szCs w:val="20"/>
              </w:rPr>
              <w:t> </w:t>
            </w:r>
            <w:r>
              <w:rPr>
                <w:rFonts w:ascii="宋体" w:hAnsi="宋体" w:cs="宋体" w:eastAsia="宋体" w:hint="default"/>
                <w:sz w:val="20"/>
                <w:szCs w:val="20"/>
              </w:rPr>
              <w:t>日止六个月期间前期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会计调整的专项说明</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82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2008.8.30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5"/>
                <w:sz w:val="20"/>
                <w:szCs w:val="20"/>
              </w:rPr>
              <w:t> </w:t>
            </w:r>
            <w:r>
              <w:rPr>
                <w:rFonts w:ascii="宋体" w:hAnsi="宋体" w:cs="宋体" w:eastAsia="宋体" w:hint="default"/>
                <w:sz w:val="20"/>
                <w:szCs w:val="20"/>
              </w:rPr>
              <w:t>年半年度报告</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83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2008.9.3</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澄清公告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2008-048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bl>
    <w:p>
      <w:pPr>
        <w:spacing w:after="0" w:line="240" w:lineRule="auto"/>
        <w:jc w:val="left"/>
        <w:rPr>
          <w:rFonts w:ascii="宋体" w:hAnsi="宋体" w:cs="宋体" w:eastAsia="宋体" w:hint="default"/>
          <w:sz w:val="20"/>
          <w:szCs w:val="20"/>
        </w:rPr>
        <w:sectPr>
          <w:pgSz w:w="11910" w:h="16840"/>
          <w:pgMar w:header="826" w:footer="894" w:top="1100" w:bottom="1100" w:left="1160" w:right="1060"/>
        </w:sectPr>
      </w:pPr>
    </w:p>
    <w:p>
      <w:pPr>
        <w:spacing w:line="240" w:lineRule="auto" w:before="7"/>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796"/>
        <w:gridCol w:w="1217"/>
        <w:gridCol w:w="4579"/>
        <w:gridCol w:w="1061"/>
        <w:gridCol w:w="1780"/>
      </w:tblGrid>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84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1" w:right="0"/>
              <w:jc w:val="left"/>
              <w:rPr>
                <w:rFonts w:ascii="宋体" w:hAnsi="宋体" w:cs="宋体" w:eastAsia="宋体" w:hint="default"/>
                <w:sz w:val="20"/>
                <w:szCs w:val="20"/>
              </w:rPr>
            </w:pPr>
            <w:r>
              <w:rPr>
                <w:rFonts w:ascii="宋体"/>
                <w:sz w:val="20"/>
              </w:rPr>
              <w:t>2008.9.17</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3"/>
                <w:sz w:val="20"/>
                <w:szCs w:val="20"/>
              </w:rPr>
              <w:t> </w:t>
            </w:r>
            <w:r>
              <w:rPr>
                <w:rFonts w:ascii="宋体" w:hAnsi="宋体" w:cs="宋体" w:eastAsia="宋体" w:hint="default"/>
                <w:sz w:val="20"/>
                <w:szCs w:val="20"/>
              </w:rPr>
              <w:t>年第一次临时股东大会决议公告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2008-049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0" w:right="0"/>
              <w:jc w:val="left"/>
              <w:rPr>
                <w:rFonts w:ascii="宋体" w:hAnsi="宋体" w:cs="宋体" w:eastAsia="宋体" w:hint="default"/>
                <w:sz w:val="20"/>
                <w:szCs w:val="20"/>
              </w:rPr>
            </w:pPr>
            <w:r>
              <w:rPr>
                <w:rFonts w:ascii="宋体"/>
                <w:sz w:val="20"/>
              </w:rPr>
              <w:t>2008.9.17</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hAnsi="宋体" w:cs="宋体" w:eastAsia="宋体" w:hint="default"/>
                <w:sz w:val="20"/>
                <w:szCs w:val="20"/>
              </w:rPr>
              <w:t>公司章程（2008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86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1" w:right="0"/>
              <w:jc w:val="left"/>
              <w:rPr>
                <w:rFonts w:ascii="宋体" w:hAnsi="宋体" w:cs="宋体" w:eastAsia="宋体" w:hint="default"/>
                <w:sz w:val="20"/>
                <w:szCs w:val="20"/>
              </w:rPr>
            </w:pPr>
            <w:r>
              <w:rPr>
                <w:rFonts w:ascii="宋体"/>
                <w:sz w:val="20"/>
              </w:rPr>
              <w:t>2008.9.17</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4"/>
                <w:sz w:val="20"/>
                <w:szCs w:val="20"/>
              </w:rPr>
              <w:t> </w:t>
            </w:r>
            <w:r>
              <w:rPr>
                <w:rFonts w:ascii="宋体" w:hAnsi="宋体" w:cs="宋体" w:eastAsia="宋体" w:hint="default"/>
                <w:sz w:val="20"/>
                <w:szCs w:val="20"/>
              </w:rPr>
              <w:t>年第一次临时股东大会的法律意见书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sz w:val="20"/>
              </w:rPr>
              <w:t>2008.9.22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68"/>
                <w:sz w:val="20"/>
                <w:szCs w:val="20"/>
              </w:rPr>
              <w:t> </w:t>
            </w:r>
            <w:r>
              <w:rPr>
                <w:rFonts w:ascii="宋体" w:hAnsi="宋体" w:cs="宋体" w:eastAsia="宋体" w:hint="default"/>
                <w:sz w:val="20"/>
                <w:szCs w:val="20"/>
              </w:rPr>
              <w:t>年半年度资本公积金转增股本及分红派息实</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施公告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2008-050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pacing w:val="-5"/>
                <w:sz w:val="20"/>
                <w:szCs w:val="20"/>
              </w:rPr>
              <w:t>四大证券报、网站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88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sz w:val="20"/>
              </w:rPr>
              <w:t>2008.10.10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第三届董事会第二十二次会议决议公告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sz w:val="20"/>
              </w:rPr>
              <w:t>2008-051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89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sz w:val="20"/>
              </w:rPr>
              <w:t>2008.10.10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hAnsi="宋体" w:cs="宋体" w:eastAsia="宋体" w:hint="default"/>
                <w:sz w:val="20"/>
                <w:szCs w:val="20"/>
              </w:rPr>
              <w:t>公司章程（2008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月）</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90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sz w:val="20"/>
              </w:rPr>
              <w:t>2008.10.11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关于股东增持本公司股份的公告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2008-052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sz w:val="20"/>
              </w:rPr>
              <w:t>2008.10.31</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6"/>
                <w:sz w:val="20"/>
                <w:szCs w:val="20"/>
              </w:rPr>
              <w:t> </w:t>
            </w:r>
            <w:r>
              <w:rPr>
                <w:rFonts w:ascii="宋体" w:hAnsi="宋体" w:cs="宋体" w:eastAsia="宋体" w:hint="default"/>
                <w:sz w:val="20"/>
                <w:szCs w:val="20"/>
              </w:rPr>
              <w:t>年第三季度报告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0"/>
                <w:szCs w:val="20"/>
              </w:rPr>
            </w:pPr>
            <w:r>
              <w:rPr>
                <w:rFonts w:ascii="宋体"/>
                <w:sz w:val="20"/>
              </w:rPr>
              <w:t>2008-053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92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sz w:val="20"/>
              </w:rPr>
              <w:t>2008.11.22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第三届董事会第二十四次会议决议公告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2008-054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52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sz w:val="20"/>
              </w:rPr>
              <w:t>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sz w:val="20"/>
              </w:rPr>
              <w:t>2008.11.22</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关于公司募集资金投资项目实施地点变更的保荐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意见</w:t>
            </w:r>
          </w:p>
        </w:tc>
        <w:tc>
          <w:tcPr>
            <w:tcW w:w="106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网站</w:t>
            </w:r>
          </w:p>
        </w:tc>
      </w:tr>
      <w:tr>
        <w:trPr>
          <w:trHeight w:val="46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94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sz w:val="20"/>
              </w:rPr>
              <w:t>2008.12.30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第三届董事会第二十五次会议决议公告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0"/>
                <w:szCs w:val="20"/>
              </w:rPr>
            </w:pPr>
            <w:r>
              <w:rPr>
                <w:rFonts w:ascii="宋体"/>
                <w:sz w:val="20"/>
              </w:rPr>
              <w:t>2008-055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r>
        <w:trPr>
          <w:trHeight w:val="46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0"/>
                <w:szCs w:val="20"/>
              </w:rPr>
            </w:pPr>
            <w:r>
              <w:rPr>
                <w:rFonts w:ascii="宋体"/>
                <w:sz w:val="20"/>
              </w:rPr>
              <w:t>2008.12.30</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z w:val="20"/>
                <w:szCs w:val="20"/>
              </w:rPr>
              <w:t>关于为控股子公司提供担保的公告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0"/>
                <w:szCs w:val="20"/>
              </w:rPr>
            </w:pPr>
            <w:r>
              <w:rPr>
                <w:rFonts w:ascii="宋体"/>
                <w:sz w:val="20"/>
              </w:rPr>
              <w:t>2008-056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20"/>
                <w:szCs w:val="20"/>
              </w:rPr>
            </w:pPr>
            <w:r>
              <w:rPr>
                <w:rFonts w:ascii="宋体" w:hAnsi="宋体" w:cs="宋体" w:eastAsia="宋体" w:hint="default"/>
                <w:spacing w:val="-6"/>
                <w:sz w:val="20"/>
                <w:szCs w:val="20"/>
              </w:rPr>
              <w:t>四大证券报、网站</w:t>
            </w:r>
            <w:r>
              <w:rPr>
                <w:rFonts w:ascii="宋体" w:hAnsi="宋体" w:cs="宋体" w:eastAsia="宋体" w:hint="default"/>
                <w:sz w:val="20"/>
                <w:szCs w:val="20"/>
              </w:rPr>
            </w:r>
          </w:p>
        </w:tc>
      </w:tr>
    </w:tbl>
    <w:p>
      <w:pPr>
        <w:spacing w:line="241" w:lineRule="exact" w:before="0"/>
        <w:ind w:left="90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0"/>
          <w:sz w:val="21"/>
          <w:szCs w:val="21"/>
        </w:rPr>
        <w:t>：</w:t>
      </w:r>
      <w:r>
        <w:rPr>
          <w:rFonts w:ascii="宋体" w:hAnsi="宋体" w:cs="宋体" w:eastAsia="宋体" w:hint="default"/>
          <w:sz w:val="21"/>
          <w:szCs w:val="21"/>
        </w:rPr>
        <w:t>四大证券报指公司指定信息披露报纸―</w:t>
      </w:r>
      <w:r>
        <w:rPr>
          <w:rFonts w:ascii="宋体" w:hAnsi="宋体" w:cs="宋体" w:eastAsia="宋体" w:hint="default"/>
          <w:spacing w:val="-100"/>
          <w:sz w:val="21"/>
          <w:szCs w:val="21"/>
        </w:rPr>
        <w:t>―</w:t>
      </w:r>
      <w:r>
        <w:rPr>
          <w:rFonts w:ascii="宋体" w:hAnsi="宋体" w:cs="宋体" w:eastAsia="宋体" w:hint="default"/>
          <w:sz w:val="21"/>
          <w:szCs w:val="21"/>
        </w:rPr>
        <w:t>《证券时报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34"/>
        <w:ind w:left="483" w:right="0" w:firstLine="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pacing w:val="-106"/>
          <w:sz w:val="21"/>
          <w:szCs w:val="21"/>
        </w:rPr>
        <w:t>》</w:t>
      </w:r>
      <w:r>
        <w:rPr>
          <w:rFonts w:ascii="宋体" w:hAnsi="宋体" w:cs="宋体" w:eastAsia="宋体" w:hint="default"/>
          <w:sz w:val="21"/>
          <w:szCs w:val="21"/>
        </w:rPr>
        <w:t>；网站指公司指定信息披露网站――巨潮资讯网（</w:t>
      </w:r>
      <w:hyperlink r:id="rId10">
        <w:r>
          <w:rPr>
            <w:rFonts w:ascii="Times New Roman" w:hAnsi="Times New Roman" w:cs="Times New Roman" w:eastAsia="Times New Roman" w:hint="default"/>
            <w:spacing w:val="-1"/>
            <w:w w:val="99"/>
            <w:sz w:val="21"/>
            <w:szCs w:val="21"/>
          </w:rPr>
          <w:t>ww</w:t>
        </w:r>
        <w:r>
          <w:rPr>
            <w:rFonts w:ascii="Times New Roman" w:hAnsi="Times New Roman" w:cs="Times New Roman" w:eastAsia="Times New Roman" w:hint="default"/>
            <w:spacing w:val="-14"/>
            <w:w w:val="99"/>
            <w:sz w:val="21"/>
            <w:szCs w:val="21"/>
          </w:rPr>
          <w:t>w</w:t>
        </w:r>
        <w:r>
          <w:rPr>
            <w:rFonts w:ascii="Times New Roman" w:hAnsi="Times New Roman" w:cs="Times New Roman" w:eastAsia="Times New Roman" w:hint="default"/>
            <w:sz w:val="21"/>
            <w:szCs w:val="21"/>
          </w:rPr>
          <w:t>.cn</w:t>
        </w:r>
        <w:r>
          <w:rPr>
            <w:rFonts w:ascii="Times New Roman" w:hAnsi="Times New Roman" w:cs="Times New Roman" w:eastAsia="Times New Roman" w:hint="default"/>
            <w:spacing w:val="-1"/>
            <w:sz w:val="21"/>
            <w:szCs w:val="21"/>
          </w:rPr>
          <w:t>i</w:t>
        </w:r>
        <w:r>
          <w:rPr>
            <w:rFonts w:ascii="Times New Roman" w:hAnsi="Times New Roman" w:cs="Times New Roman" w:eastAsia="Times New Roman" w:hint="default"/>
            <w:sz w:val="21"/>
            <w:szCs w:val="21"/>
          </w:rPr>
          <w:t>nfo.</w:t>
        </w:r>
        <w:r>
          <w:rPr>
            <w:rFonts w:ascii="Times New Roman" w:hAnsi="Times New Roman" w:cs="Times New Roman" w:eastAsia="Times New Roman" w:hint="default"/>
            <w:spacing w:val="-1"/>
            <w:sz w:val="21"/>
            <w:szCs w:val="21"/>
          </w:rPr>
          <w:t>c</w:t>
        </w: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3"/>
            <w:sz w:val="21"/>
            <w:szCs w:val="21"/>
          </w:rPr>
          <w:t>m</w:t>
        </w:r>
        <w:r>
          <w:rPr>
            <w:rFonts w:ascii="Times New Roman" w:hAnsi="Times New Roman" w:cs="Times New Roman" w:eastAsia="Times New Roman" w:hint="default"/>
            <w:sz w:val="21"/>
            <w:szCs w:val="21"/>
          </w:rPr>
          <w:t>.cn</w:t>
        </w:r>
      </w:hyperlink>
      <w:r>
        <w:rPr>
          <w:rFonts w:ascii="宋体" w:hAnsi="宋体" w:cs="宋体" w:eastAsia="宋体" w:hint="default"/>
          <w:spacing w:val="-105"/>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26" w:footer="894" w:top="1100" w:bottom="1100" w:left="1160" w:right="1060"/>
        </w:sectPr>
      </w:pPr>
    </w:p>
    <w:p>
      <w:pPr>
        <w:pStyle w:val="Heading1"/>
        <w:tabs>
          <w:tab w:pos="1683" w:val="left" w:leader="none"/>
        </w:tabs>
        <w:spacing w:line="240" w:lineRule="auto"/>
        <w:ind w:left="403" w:right="0"/>
        <w:jc w:val="center"/>
        <w:rPr>
          <w:b w:val="0"/>
          <w:bCs w:val="0"/>
        </w:rPr>
      </w:pPr>
      <w:bookmarkStart w:name="_TOC_250001" w:id="10"/>
      <w:r>
        <w:rPr>
          <w:w w:val="95"/>
        </w:rPr>
        <w:t>第十节</w:t>
        <w:tab/>
      </w:r>
      <w:r>
        <w:rPr/>
        <w:t>财务报告</w:t>
      </w:r>
      <w:bookmarkEnd w:id="10"/>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26"/>
        <w:ind w:left="144" w:right="0"/>
        <w:jc w:val="left"/>
      </w:pPr>
      <w:r>
        <w:rPr/>
        <w:t>一、审计报告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80" w:right="0"/>
        <w:jc w:val="center"/>
        <w:rPr>
          <w:b w:val="0"/>
          <w:bCs w:val="0"/>
        </w:rPr>
      </w:pPr>
      <w:r>
        <w:rPr/>
        <w:t>审计报告</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9"/>
          <w:szCs w:val="29"/>
        </w:rPr>
      </w:pPr>
    </w:p>
    <w:p>
      <w:pPr>
        <w:pStyle w:val="BodyText"/>
        <w:spacing w:line="240" w:lineRule="auto"/>
        <w:ind w:left="0" w:right="312"/>
        <w:jc w:val="right"/>
      </w:pPr>
      <w:r>
        <w:rPr/>
        <w:t>普华永道中天审字</w:t>
      </w:r>
      <w:r>
        <w:rPr>
          <w:rFonts w:ascii="Arial" w:hAnsi="Arial" w:cs="Arial" w:eastAsia="Arial" w:hint="default"/>
        </w:rPr>
        <w:t>(2009)</w:t>
      </w:r>
      <w:r>
        <w:rPr/>
        <w:t>第</w:t>
      </w:r>
      <w:r>
        <w:rPr>
          <w:spacing w:val="-63"/>
        </w:rPr>
        <w:t> </w:t>
      </w:r>
      <w:r>
        <w:rPr>
          <w:rFonts w:ascii="Arial" w:hAnsi="Arial" w:cs="Arial" w:eastAsia="Arial" w:hint="default"/>
        </w:rPr>
        <w:t>10021</w:t>
      </w:r>
      <w:r>
        <w:rPr>
          <w:rFonts w:ascii="Arial" w:hAnsi="Arial" w:cs="Arial" w:eastAsia="Arial" w:hint="default"/>
          <w:spacing w:val="-11"/>
        </w:rPr>
        <w:t> </w:t>
      </w:r>
      <w:r>
        <w:rPr/>
        <w:t>号</w:t>
      </w:r>
    </w:p>
    <w:p>
      <w:pPr>
        <w:spacing w:before="52"/>
        <w:ind w:left="0" w:right="294" w:firstLine="0"/>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第一页，共二页</w:t>
      </w:r>
      <w:r>
        <w:rPr>
          <w:rFonts w:ascii="Arial" w:hAnsi="Arial" w:cs="Arial" w:eastAsia="Arial" w:hint="default"/>
          <w:spacing w:val="-1"/>
          <w:sz w:val="21"/>
          <w:szCs w:val="21"/>
        </w:rPr>
        <w:t>)</w:t>
      </w:r>
    </w:p>
    <w:p>
      <w:pPr>
        <w:spacing w:line="240" w:lineRule="auto" w:before="11"/>
        <w:rPr>
          <w:rFonts w:ascii="Arial" w:hAnsi="Arial" w:cs="Arial" w:eastAsia="Arial" w:hint="default"/>
          <w:sz w:val="27"/>
          <w:szCs w:val="27"/>
        </w:rPr>
      </w:pPr>
    </w:p>
    <w:p>
      <w:pPr>
        <w:pStyle w:val="BodyText"/>
        <w:spacing w:line="240" w:lineRule="auto" w:before="26"/>
        <w:ind w:left="340" w:right="0"/>
        <w:jc w:val="both"/>
      </w:pPr>
      <w:r>
        <w:rPr/>
        <w:t>苏宁电器股份有限公司全体股东：</w:t>
      </w:r>
    </w:p>
    <w:p>
      <w:pPr>
        <w:spacing w:line="240" w:lineRule="auto" w:before="13"/>
        <w:rPr>
          <w:rFonts w:ascii="宋体" w:hAnsi="宋体" w:cs="宋体" w:eastAsia="宋体" w:hint="default"/>
          <w:sz w:val="27"/>
          <w:szCs w:val="27"/>
        </w:rPr>
      </w:pPr>
    </w:p>
    <w:p>
      <w:pPr>
        <w:pStyle w:val="BodyText"/>
        <w:spacing w:line="247" w:lineRule="auto"/>
        <w:ind w:left="340" w:right="101"/>
        <w:jc w:val="both"/>
      </w:pPr>
      <w:r>
        <w:rPr/>
        <w:t>我们审计了后附的苏宁电器股份有限公司</w:t>
      </w:r>
      <w:r>
        <w:rPr>
          <w:rFonts w:ascii="Arial" w:hAnsi="Arial" w:cs="Arial" w:eastAsia="Arial" w:hint="default"/>
        </w:rPr>
        <w:t>(</w:t>
      </w:r>
      <w:r>
        <w:rPr/>
        <w:t>以下简称</w:t>
      </w:r>
      <w:r>
        <w:rPr>
          <w:rFonts w:ascii="Arial" w:hAnsi="Arial" w:cs="Arial" w:eastAsia="Arial" w:hint="default"/>
        </w:rPr>
        <w:t>“</w:t>
      </w:r>
      <w:r>
        <w:rPr/>
        <w:t>苏宁电器公司</w:t>
      </w:r>
      <w:r>
        <w:rPr>
          <w:rFonts w:ascii="Arial" w:hAnsi="Arial" w:cs="Arial" w:eastAsia="Arial" w:hint="default"/>
        </w:rPr>
        <w:t>”)</w:t>
      </w:r>
      <w:r>
        <w:rPr/>
        <w:t>的财务报表，</w:t>
      </w:r>
      <w:r>
        <w:rPr>
          <w:spacing w:val="-1"/>
        </w:rPr>
        <w:t> </w:t>
      </w:r>
      <w:r>
        <w:rPr/>
        <w:t>包括</w:t>
      </w:r>
      <w:r>
        <w:rPr>
          <w:spacing w:val="-48"/>
        </w:rPr>
        <w:t> </w:t>
      </w:r>
      <w:r>
        <w:rPr>
          <w:rFonts w:ascii="Arial" w:hAnsi="Arial" w:cs="Arial" w:eastAsia="Arial" w:hint="default"/>
        </w:rPr>
        <w:t>2008</w:t>
      </w:r>
      <w:r>
        <w:rPr>
          <w:rFonts w:ascii="Arial" w:hAnsi="Arial" w:cs="Arial" w:eastAsia="Arial" w:hint="default"/>
          <w:spacing w:val="5"/>
        </w:rPr>
        <w:t> </w:t>
      </w:r>
      <w:r>
        <w:rPr/>
        <w:t>年</w:t>
      </w:r>
      <w:r>
        <w:rPr>
          <w:spacing w:val="-48"/>
        </w:rPr>
        <w:t> </w:t>
      </w:r>
      <w:r>
        <w:rPr>
          <w:rFonts w:ascii="Arial" w:hAnsi="Arial" w:cs="Arial" w:eastAsia="Arial" w:hint="default"/>
        </w:rPr>
        <w:t>12</w:t>
      </w:r>
      <w:r>
        <w:rPr>
          <w:rFonts w:ascii="Arial" w:hAnsi="Arial" w:cs="Arial" w:eastAsia="Arial" w:hint="default"/>
          <w:spacing w:val="5"/>
        </w:rPr>
        <w:t> </w:t>
      </w:r>
      <w:r>
        <w:rPr/>
        <w:t>月</w:t>
      </w:r>
      <w:r>
        <w:rPr>
          <w:spacing w:val="-48"/>
        </w:rPr>
        <w:t> </w:t>
      </w:r>
      <w:r>
        <w:rPr>
          <w:rFonts w:ascii="Arial" w:hAnsi="Arial" w:cs="Arial" w:eastAsia="Arial" w:hint="default"/>
        </w:rPr>
        <w:t>31</w:t>
      </w:r>
      <w:r>
        <w:rPr>
          <w:rFonts w:ascii="Arial" w:hAnsi="Arial" w:cs="Arial" w:eastAsia="Arial" w:hint="default"/>
          <w:spacing w:val="5"/>
        </w:rPr>
        <w:t> </w:t>
      </w:r>
      <w:r>
        <w:rPr/>
        <w:t>日的合并及公司资产负债表以及</w:t>
      </w:r>
      <w:r>
        <w:rPr>
          <w:spacing w:val="-48"/>
        </w:rPr>
        <w:t> </w:t>
      </w:r>
      <w:r>
        <w:rPr>
          <w:rFonts w:ascii="Arial" w:hAnsi="Arial" w:cs="Arial" w:eastAsia="Arial" w:hint="default"/>
        </w:rPr>
        <w:t>2008</w:t>
      </w:r>
      <w:r>
        <w:rPr>
          <w:rFonts w:ascii="Arial" w:hAnsi="Arial" w:cs="Arial" w:eastAsia="Arial" w:hint="default"/>
          <w:spacing w:val="5"/>
        </w:rPr>
        <w:t> </w:t>
      </w:r>
      <w:r>
        <w:rPr/>
        <w:t>年度的合并及公司 利润表、合并及公司现金流量表、合并及公司股东权益变动表和财务报表附注。</w:t>
      </w:r>
    </w:p>
    <w:p>
      <w:pPr>
        <w:spacing w:line="240" w:lineRule="auto" w:before="3"/>
        <w:rPr>
          <w:rFonts w:ascii="宋体" w:hAnsi="宋体" w:cs="宋体" w:eastAsia="宋体" w:hint="default"/>
          <w:sz w:val="25"/>
          <w:szCs w:val="25"/>
        </w:rPr>
      </w:pPr>
    </w:p>
    <w:p>
      <w:pPr>
        <w:pStyle w:val="BodyText"/>
        <w:spacing w:line="240" w:lineRule="auto"/>
        <w:ind w:left="340" w:right="0"/>
        <w:jc w:val="both"/>
      </w:pPr>
      <w:r>
        <w:rPr/>
        <w:t>一、管理层对财务报表的责任</w:t>
      </w:r>
    </w:p>
    <w:p>
      <w:pPr>
        <w:spacing w:line="240" w:lineRule="auto" w:before="2"/>
        <w:rPr>
          <w:rFonts w:ascii="宋体" w:hAnsi="宋体" w:cs="宋体" w:eastAsia="宋体" w:hint="default"/>
          <w:sz w:val="23"/>
          <w:szCs w:val="23"/>
        </w:rPr>
      </w:pPr>
    </w:p>
    <w:p>
      <w:pPr>
        <w:pStyle w:val="BodyText"/>
        <w:spacing w:line="259" w:lineRule="auto"/>
        <w:ind w:left="340" w:right="155"/>
        <w:jc w:val="both"/>
      </w:pPr>
      <w:r>
        <w:rPr/>
        <w:t>按照企业会计准则的规定编制财务报表是苏宁电器公司管理层的责任。这种责任 包括：</w:t>
      </w:r>
    </w:p>
    <w:p>
      <w:pPr>
        <w:pStyle w:val="BodyText"/>
        <w:spacing w:line="247" w:lineRule="auto" w:before="7"/>
        <w:ind w:left="981" w:right="0" w:hanging="392"/>
        <w:jc w:val="left"/>
      </w:pPr>
      <w:r>
        <w:rPr>
          <w:rFonts w:ascii="Arial" w:hAnsi="Arial" w:cs="Arial" w:eastAsia="Arial" w:hint="default"/>
        </w:rPr>
        <w:t>(1)</w:t>
      </w:r>
      <w:r>
        <w:rPr>
          <w:rFonts w:ascii="Arial" w:hAnsi="Arial" w:cs="Arial" w:eastAsia="Arial" w:hint="default"/>
          <w:spacing w:val="40"/>
        </w:rPr>
        <w:t> </w:t>
      </w:r>
      <w:r>
        <w:rPr/>
        <w:t>设计、实施和维护与财务报表编制相关的内部控制，以使财务报表不存在</w:t>
      </w:r>
      <w:r>
        <w:rPr>
          <w:spacing w:val="-109"/>
        </w:rPr>
        <w:t> </w:t>
      </w:r>
      <w:r>
        <w:rPr/>
        <w:t>由于舞弊或错误而导致的重大错报；</w:t>
      </w:r>
    </w:p>
    <w:p>
      <w:pPr>
        <w:pStyle w:val="BodyText"/>
        <w:spacing w:line="240" w:lineRule="auto" w:before="18"/>
        <w:ind w:left="592" w:right="0"/>
        <w:jc w:val="left"/>
      </w:pPr>
      <w:r>
        <w:rPr>
          <w:rFonts w:ascii="Arial" w:hAnsi="Arial" w:cs="Arial" w:eastAsia="Arial" w:hint="default"/>
        </w:rPr>
        <w:t>(2)</w:t>
      </w:r>
      <w:r>
        <w:rPr>
          <w:rFonts w:ascii="Arial" w:hAnsi="Arial" w:cs="Arial" w:eastAsia="Arial" w:hint="default"/>
          <w:spacing w:val="39"/>
        </w:rPr>
        <w:t> </w:t>
      </w:r>
      <w:r>
        <w:rPr/>
        <w:t>选择和运用恰当的会计政策；</w:t>
      </w:r>
    </w:p>
    <w:p>
      <w:pPr>
        <w:pStyle w:val="BodyText"/>
        <w:spacing w:line="240" w:lineRule="auto" w:before="9"/>
        <w:ind w:left="592" w:right="0"/>
        <w:jc w:val="left"/>
      </w:pPr>
      <w:r>
        <w:rPr>
          <w:rFonts w:ascii="Arial" w:hAnsi="Arial" w:cs="Arial" w:eastAsia="Arial" w:hint="default"/>
        </w:rPr>
        <w:t>(3)</w:t>
      </w:r>
      <w:r>
        <w:rPr>
          <w:rFonts w:ascii="Arial" w:hAnsi="Arial" w:cs="Arial" w:eastAsia="Arial" w:hint="default"/>
          <w:spacing w:val="42"/>
        </w:rPr>
        <w:t> </w:t>
      </w:r>
      <w:r>
        <w:rPr/>
        <w:t>作出合理的会计估计。</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ind w:left="340" w:right="0"/>
        <w:jc w:val="both"/>
      </w:pPr>
      <w:r>
        <w:rPr/>
        <w:t>二、注册会计师的责任</w:t>
      </w:r>
    </w:p>
    <w:p>
      <w:pPr>
        <w:spacing w:line="240" w:lineRule="auto" w:before="4"/>
        <w:rPr>
          <w:rFonts w:ascii="宋体" w:hAnsi="宋体" w:cs="宋体" w:eastAsia="宋体" w:hint="default"/>
          <w:sz w:val="23"/>
          <w:szCs w:val="23"/>
        </w:rPr>
      </w:pPr>
    </w:p>
    <w:p>
      <w:pPr>
        <w:pStyle w:val="BodyText"/>
        <w:spacing w:line="312" w:lineRule="exact"/>
        <w:ind w:left="340" w:right="155"/>
        <w:jc w:val="both"/>
      </w:pPr>
      <w:r>
        <w:rPr/>
        <w:t>我们的责任是在实施审计工作的基础上对财务报表发表审计意见。我们按照中国 注册会计师审计准则的规定执行了审计工作。中国注册会计师审计准则要求我们 遵守职业道德规范，计划和实施审计工作以对财务报表是否不存在重大错报获取 合理保证。</w:t>
      </w:r>
    </w:p>
    <w:p>
      <w:pPr>
        <w:spacing w:after="0" w:line="312" w:lineRule="exact"/>
        <w:jc w:val="both"/>
        <w:sectPr>
          <w:pgSz w:w="11910" w:h="16840"/>
          <w:pgMar w:header="826" w:footer="894" w:top="1100" w:bottom="1100" w:left="150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26"/>
        <w:ind w:left="4789" w:right="0"/>
        <w:jc w:val="left"/>
      </w:pPr>
      <w:r>
        <w:rPr/>
        <w:t>普华永道中天审字</w:t>
      </w:r>
      <w:r>
        <w:rPr>
          <w:rFonts w:ascii="Arial" w:hAnsi="Arial" w:cs="Arial" w:eastAsia="Arial" w:hint="default"/>
        </w:rPr>
        <w:t>(2009)</w:t>
      </w:r>
      <w:r>
        <w:rPr/>
        <w:t>第</w:t>
      </w:r>
      <w:r>
        <w:rPr>
          <w:spacing w:val="-63"/>
        </w:rPr>
        <w:t> </w:t>
      </w:r>
      <w:r>
        <w:rPr>
          <w:rFonts w:ascii="Arial" w:hAnsi="Arial" w:cs="Arial" w:eastAsia="Arial" w:hint="default"/>
        </w:rPr>
        <w:t>10021</w:t>
      </w:r>
      <w:r>
        <w:rPr>
          <w:rFonts w:ascii="Arial" w:hAnsi="Arial" w:cs="Arial" w:eastAsia="Arial" w:hint="default"/>
          <w:spacing w:val="-11"/>
        </w:rPr>
        <w:t> </w:t>
      </w:r>
      <w:r>
        <w:rPr/>
        <w:t>号</w:t>
      </w:r>
    </w:p>
    <w:p>
      <w:pPr>
        <w:spacing w:before="52"/>
        <w:ind w:left="7040"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第二页，共二页</w:t>
      </w:r>
      <w:r>
        <w:rPr>
          <w:rFonts w:ascii="Arial" w:hAnsi="Arial" w:cs="Arial" w:eastAsia="Arial" w:hint="default"/>
          <w:sz w:val="21"/>
          <w:szCs w:val="21"/>
        </w:rPr>
        <w:t>)</w:t>
      </w:r>
    </w:p>
    <w:p>
      <w:pPr>
        <w:spacing w:line="240" w:lineRule="auto" w:before="5"/>
        <w:rPr>
          <w:rFonts w:ascii="Arial" w:hAnsi="Arial" w:cs="Arial" w:eastAsia="Arial" w:hint="default"/>
          <w:sz w:val="22"/>
          <w:szCs w:val="22"/>
        </w:rPr>
      </w:pPr>
    </w:p>
    <w:p>
      <w:pPr>
        <w:pStyle w:val="BodyText"/>
        <w:spacing w:line="237" w:lineRule="auto"/>
        <w:ind w:right="115"/>
        <w:jc w:val="both"/>
      </w:pPr>
      <w:r>
        <w:rPr/>
        <w:t>审计工作涉及实施审计程序，以获取有关财务报表金额和披露的审计证据。选择的</w:t>
      </w:r>
      <w:r>
        <w:rPr>
          <w:spacing w:val="-85"/>
        </w:rPr>
        <w:t> </w:t>
      </w:r>
      <w:r>
        <w:rPr/>
        <w:t>审计程序取决于注册会计师的判断，包括对由于舞弊或错误导致的财务报表重大错</w:t>
      </w:r>
      <w:r>
        <w:rPr>
          <w:spacing w:val="-85"/>
        </w:rPr>
        <w:t> </w:t>
      </w:r>
      <w:r>
        <w:rPr/>
        <w:t>报风险的评估。在进行风险评估时，我们考虑与财务报表编制相关的内部控制，以</w:t>
      </w:r>
      <w:r>
        <w:rPr>
          <w:spacing w:val="-85"/>
        </w:rPr>
        <w:t> </w:t>
      </w:r>
      <w:r>
        <w:rPr/>
        <w:t>设计恰当的审计程序，但目的并非对内部控制的有效性发表意见。审计工作还包括</w:t>
      </w:r>
      <w:r>
        <w:rPr>
          <w:spacing w:val="-85"/>
        </w:rPr>
        <w:t> </w:t>
      </w:r>
      <w:r>
        <w:rPr/>
        <w:t>评价管理层选用会计政策的恰当性和作出会计估计的合理性，以及评价财务报表的</w:t>
      </w:r>
      <w:r>
        <w:rPr>
          <w:spacing w:val="-85"/>
        </w:rPr>
        <w:t> </w:t>
      </w:r>
      <w:r>
        <w:rPr/>
        <w:t>总体列报。</w:t>
      </w:r>
    </w:p>
    <w:p>
      <w:pPr>
        <w:spacing w:line="240" w:lineRule="auto" w:before="13"/>
        <w:rPr>
          <w:rFonts w:ascii="宋体" w:hAnsi="宋体" w:cs="宋体" w:eastAsia="宋体" w:hint="default"/>
          <w:sz w:val="20"/>
          <w:szCs w:val="20"/>
        </w:rPr>
      </w:pPr>
    </w:p>
    <w:p>
      <w:pPr>
        <w:pStyle w:val="BodyText"/>
        <w:spacing w:line="240" w:lineRule="auto"/>
        <w:ind w:right="0"/>
        <w:jc w:val="both"/>
      </w:pPr>
      <w:r>
        <w:rPr/>
        <w:t>我们相信，我们获取的审计证据是充分、适当的，为发表审计意见提供了基础。</w:t>
      </w:r>
    </w:p>
    <w:p>
      <w:pPr>
        <w:spacing w:line="240" w:lineRule="auto" w:before="12"/>
        <w:rPr>
          <w:rFonts w:ascii="宋体" w:hAnsi="宋体" w:cs="宋体" w:eastAsia="宋体" w:hint="default"/>
          <w:sz w:val="25"/>
          <w:szCs w:val="25"/>
        </w:rPr>
      </w:pPr>
    </w:p>
    <w:p>
      <w:pPr>
        <w:pStyle w:val="BodyText"/>
        <w:spacing w:line="240" w:lineRule="auto"/>
        <w:ind w:right="0"/>
        <w:jc w:val="both"/>
      </w:pPr>
      <w:r>
        <w:rPr/>
        <w:t>三、审计意见</w:t>
      </w:r>
    </w:p>
    <w:p>
      <w:pPr>
        <w:spacing w:line="240" w:lineRule="auto" w:before="4"/>
        <w:rPr>
          <w:rFonts w:ascii="宋体" w:hAnsi="宋体" w:cs="宋体" w:eastAsia="宋体" w:hint="default"/>
          <w:sz w:val="23"/>
          <w:szCs w:val="23"/>
        </w:rPr>
      </w:pPr>
    </w:p>
    <w:p>
      <w:pPr>
        <w:pStyle w:val="BodyText"/>
        <w:spacing w:line="312" w:lineRule="exact"/>
        <w:ind w:right="111"/>
        <w:jc w:val="both"/>
      </w:pPr>
      <w:r>
        <w:rPr/>
        <w:t>我们认为，上述苏宁电器公司的财务报表已经按照企业会计准则的规定编制，在所</w:t>
      </w:r>
      <w:r>
        <w:rPr>
          <w:spacing w:val="-85"/>
        </w:rPr>
        <w:t> </w:t>
      </w:r>
      <w:r>
        <w:rPr>
          <w:spacing w:val="4"/>
        </w:rPr>
        <w:t>有重大方面公允反映了苏宁电器公司</w:t>
      </w:r>
      <w:r>
        <w:rPr>
          <w:rFonts w:ascii="Arial" w:hAnsi="Arial" w:cs="Arial" w:eastAsia="Arial" w:hint="default"/>
          <w:spacing w:val="4"/>
        </w:rPr>
        <w:t>2008</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日的合并及公司财务状况以及</w:t>
      </w:r>
      <w:r>
        <w:rPr>
          <w:spacing w:val="-113"/>
        </w:rPr>
        <w:t> </w:t>
      </w:r>
      <w:r>
        <w:rPr>
          <w:rFonts w:ascii="Arial" w:hAnsi="Arial" w:cs="Arial" w:eastAsia="Arial" w:hint="default"/>
        </w:rPr>
        <w:t>2008</w:t>
      </w:r>
      <w:r>
        <w:rPr/>
        <w:t>年度的合并及公司经营成果和现金流量。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26" w:footer="894" w:top="1100" w:bottom="1100" w:left="1500" w:right="1460"/>
        </w:sectPr>
      </w:pPr>
    </w:p>
    <w:p>
      <w:pPr>
        <w:pStyle w:val="BodyText"/>
        <w:spacing w:line="261" w:lineRule="auto" w:before="26"/>
        <w:ind w:right="-19"/>
        <w:jc w:val="left"/>
      </w:pPr>
      <w:r>
        <w:rPr/>
        <w:t>普华永道中天 会计师事务所有限公司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pStyle w:val="BodyText"/>
        <w:spacing w:line="240" w:lineRule="auto"/>
        <w:ind w:right="-19"/>
        <w:jc w:val="left"/>
      </w:pPr>
      <w:r>
        <w:rPr/>
        <w:t>中国</w:t>
      </w:r>
      <w:r>
        <w:rPr>
          <w:rFonts w:ascii="Arial" w:hAnsi="Arial" w:cs="Arial" w:eastAsia="Arial" w:hint="default"/>
        </w:rPr>
        <w:t>•</w:t>
      </w:r>
      <w:r>
        <w:rPr/>
        <w:t>上海市</w:t>
      </w:r>
    </w:p>
    <w:p>
      <w:pPr>
        <w:pStyle w:val="BodyText"/>
        <w:spacing w:line="240" w:lineRule="auto" w:before="8"/>
        <w:ind w:right="-19"/>
        <w:jc w:val="left"/>
      </w:pP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2</w:t>
      </w:r>
      <w:r>
        <w:rPr>
          <w:rFonts w:ascii="Arial" w:hAnsi="Arial" w:cs="Arial" w:eastAsia="Arial" w:hint="default"/>
          <w:spacing w:val="-7"/>
        </w:rPr>
        <w:t> </w:t>
      </w:r>
      <w:r>
        <w:rPr/>
        <w:t>月</w:t>
      </w:r>
      <w:r>
        <w:rPr>
          <w:spacing w:val="-61"/>
        </w:rPr>
        <w:t> </w:t>
      </w:r>
      <w:r>
        <w:rPr>
          <w:rFonts w:ascii="Arial" w:hAnsi="Arial" w:cs="Arial" w:eastAsia="Arial" w:hint="default"/>
        </w:rPr>
        <w:t>27</w:t>
      </w:r>
      <w:r>
        <w:rPr>
          <w:rFonts w:ascii="Arial" w:hAnsi="Arial" w:cs="Arial" w:eastAsia="Arial" w:hint="default"/>
          <w:spacing w:val="-8"/>
        </w:rPr>
        <w:t> </w:t>
      </w:r>
      <w:r>
        <w:rPr/>
        <w:t>日</w:t>
      </w:r>
    </w:p>
    <w:p>
      <w:pPr>
        <w:pStyle w:val="BodyText"/>
        <w:spacing w:line="240" w:lineRule="auto" w:before="26"/>
        <w:ind w:right="-19"/>
        <w:jc w:val="left"/>
      </w:pPr>
      <w:r>
        <w:rPr/>
        <w:br w:type="column"/>
      </w:r>
      <w:r>
        <w:rPr/>
        <w:t>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3"/>
          <w:szCs w:val="33"/>
        </w:rPr>
      </w:pPr>
    </w:p>
    <w:p>
      <w:pPr>
        <w:pStyle w:val="BodyText"/>
        <w:spacing w:line="240" w:lineRule="auto"/>
        <w:ind w:right="-19"/>
        <w:jc w:val="left"/>
      </w:pPr>
      <w:r>
        <w:rPr/>
        <w:t>注册会计师</w:t>
      </w:r>
    </w:p>
    <w:p>
      <w:pPr>
        <w:spacing w:line="240" w:lineRule="auto" w:before="9"/>
        <w:rPr>
          <w:rFonts w:ascii="宋体" w:hAnsi="宋体" w:cs="宋体" w:eastAsia="宋体" w:hint="default"/>
          <w:sz w:val="28"/>
          <w:szCs w:val="28"/>
        </w:rPr>
      </w:pPr>
      <w:r>
        <w:rPr/>
        <w:br w:type="column"/>
      </w:r>
      <w:r>
        <w:rPr>
          <w:rFonts w:ascii="宋体"/>
          <w:sz w:val="28"/>
        </w:rPr>
      </w:r>
    </w:p>
    <w:p>
      <w:pPr>
        <w:pStyle w:val="BodyText"/>
        <w:spacing w:line="257" w:lineRule="exact"/>
        <w:ind w:right="0"/>
        <w:jc w:val="left"/>
        <w:rPr>
          <w:rFonts w:ascii="Arial" w:hAnsi="Arial" w:cs="Arial" w:eastAsia="Arial" w:hint="default"/>
        </w:rPr>
      </w:pPr>
      <w:r>
        <w:rPr>
          <w:rFonts w:ascii="Arial" w:hAnsi="Arial" w:cs="Arial" w:eastAsia="Arial" w:hint="default"/>
        </w:rPr>
        <w:t>————————</w:t>
      </w:r>
    </w:p>
    <w:p>
      <w:pPr>
        <w:pStyle w:val="BodyText"/>
        <w:spacing w:line="295" w:lineRule="exact"/>
        <w:ind w:right="0"/>
        <w:jc w:val="left"/>
      </w:pPr>
      <w:r>
        <w:rPr/>
        <w:t>柯镇洪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pStyle w:val="BodyText"/>
        <w:spacing w:line="257" w:lineRule="exact"/>
        <w:ind w:right="0"/>
        <w:jc w:val="left"/>
        <w:rPr>
          <w:rFonts w:ascii="Arial" w:hAnsi="Arial" w:cs="Arial" w:eastAsia="Arial" w:hint="default"/>
        </w:rPr>
      </w:pPr>
      <w:r>
        <w:rPr>
          <w:rFonts w:ascii="Arial" w:hAnsi="Arial" w:cs="Arial" w:eastAsia="Arial" w:hint="default"/>
        </w:rPr>
        <w:t>————————</w:t>
      </w:r>
    </w:p>
    <w:p>
      <w:pPr>
        <w:pStyle w:val="BodyText"/>
        <w:spacing w:line="295" w:lineRule="exact"/>
        <w:ind w:right="0"/>
        <w:jc w:val="left"/>
      </w:pPr>
      <w:r>
        <w:rPr/>
        <w:t>邓锡麟</w:t>
      </w:r>
    </w:p>
    <w:p>
      <w:pPr>
        <w:spacing w:after="0" w:line="295" w:lineRule="exact"/>
        <w:jc w:val="left"/>
        <w:sectPr>
          <w:type w:val="continuous"/>
          <w:pgSz w:w="11910" w:h="16840"/>
          <w:pgMar w:top="1600" w:bottom="280" w:left="1500" w:right="1460"/>
          <w:cols w:num="3" w:equalWidth="0">
            <w:col w:w="2545" w:space="1742"/>
            <w:col w:w="1345" w:space="669"/>
            <w:col w:w="2649"/>
          </w:cols>
        </w:sectPr>
      </w:pPr>
    </w:p>
    <w:p>
      <w:pPr>
        <w:pStyle w:val="BodyText"/>
        <w:spacing w:line="240" w:lineRule="auto" w:before="106"/>
        <w:ind w:left="144" w:right="0"/>
        <w:jc w:val="left"/>
      </w:pPr>
      <w:r>
        <w:rPr/>
        <w:t>二、经审计的会计报表及其附注</w:t>
      </w:r>
    </w:p>
    <w:p>
      <w:pPr>
        <w:spacing w:line="240" w:lineRule="auto" w:before="7"/>
        <w:rPr>
          <w:rFonts w:ascii="宋体" w:hAnsi="宋体" w:cs="宋体" w:eastAsia="宋体" w:hint="default"/>
          <w:sz w:val="29"/>
          <w:szCs w:val="29"/>
        </w:rPr>
      </w:pPr>
    </w:p>
    <w:p>
      <w:pPr>
        <w:spacing w:before="0"/>
        <w:ind w:left="181" w:right="0" w:firstLine="0"/>
        <w:jc w:val="left"/>
        <w:rPr>
          <w:rFonts w:ascii="黑体" w:hAnsi="黑体" w:cs="黑体" w:eastAsia="黑体" w:hint="default"/>
          <w:sz w:val="17"/>
          <w:szCs w:val="17"/>
        </w:rPr>
      </w:pPr>
      <w:r>
        <w:rPr>
          <w:rFonts w:ascii="黑体" w:hAnsi="黑体" w:cs="黑体" w:eastAsia="黑体" w:hint="default"/>
          <w:w w:val="105"/>
          <w:sz w:val="17"/>
          <w:szCs w:val="17"/>
        </w:rPr>
        <w:t>苏宁电器股份有限公司</w:t>
      </w:r>
      <w:r>
        <w:rPr>
          <w:rFonts w:ascii="黑体" w:hAnsi="黑体" w:cs="黑体" w:eastAsia="黑体" w:hint="default"/>
          <w:sz w:val="17"/>
          <w:szCs w:val="17"/>
        </w:rPr>
      </w:r>
    </w:p>
    <w:p>
      <w:pPr>
        <w:spacing w:line="240" w:lineRule="auto" w:before="6"/>
        <w:rPr>
          <w:rFonts w:ascii="黑体" w:hAnsi="黑体" w:cs="黑体" w:eastAsia="黑体" w:hint="default"/>
          <w:sz w:val="15"/>
          <w:szCs w:val="15"/>
        </w:rPr>
      </w:pPr>
    </w:p>
    <w:p>
      <w:pPr>
        <w:spacing w:line="226" w:lineRule="exact" w:before="0"/>
        <w:ind w:left="183" w:right="0" w:firstLine="0"/>
        <w:jc w:val="left"/>
        <w:rPr>
          <w:rFonts w:ascii="黑体" w:hAnsi="黑体" w:cs="黑体" w:eastAsia="黑体" w:hint="default"/>
          <w:sz w:val="17"/>
          <w:szCs w:val="17"/>
        </w:rPr>
      </w:pPr>
      <w:r>
        <w:rPr>
          <w:rFonts w:ascii="Arial" w:hAnsi="Arial" w:cs="Arial" w:eastAsia="Arial" w:hint="default"/>
          <w:w w:val="105"/>
          <w:sz w:val="17"/>
          <w:szCs w:val="17"/>
        </w:rPr>
        <w:t>2008</w:t>
      </w:r>
      <w:r>
        <w:rPr>
          <w:rFonts w:ascii="黑体" w:hAnsi="黑体" w:cs="黑体" w:eastAsia="黑体" w:hint="default"/>
          <w:w w:val="105"/>
          <w:sz w:val="17"/>
          <w:szCs w:val="17"/>
        </w:rPr>
        <w:t>年</w:t>
      </w:r>
      <w:r>
        <w:rPr>
          <w:rFonts w:ascii="Arial" w:hAnsi="Arial" w:cs="Arial" w:eastAsia="Arial" w:hint="default"/>
          <w:w w:val="105"/>
          <w:sz w:val="17"/>
          <w:szCs w:val="17"/>
        </w:rPr>
        <w:t>12</w:t>
      </w:r>
      <w:r>
        <w:rPr>
          <w:rFonts w:ascii="黑体" w:hAnsi="黑体" w:cs="黑体" w:eastAsia="黑体" w:hint="default"/>
          <w:w w:val="105"/>
          <w:sz w:val="17"/>
          <w:szCs w:val="17"/>
        </w:rPr>
        <w:t>月</w:t>
      </w:r>
      <w:r>
        <w:rPr>
          <w:rFonts w:ascii="Arial" w:hAnsi="Arial" w:cs="Arial" w:eastAsia="Arial" w:hint="default"/>
          <w:w w:val="105"/>
          <w:sz w:val="17"/>
          <w:szCs w:val="17"/>
        </w:rPr>
        <w:t>31</w:t>
      </w:r>
      <w:r>
        <w:rPr>
          <w:rFonts w:ascii="黑体" w:hAnsi="黑体" w:cs="黑体" w:eastAsia="黑体" w:hint="default"/>
          <w:w w:val="105"/>
          <w:sz w:val="17"/>
          <w:szCs w:val="17"/>
        </w:rPr>
        <w:t>日合并及公司资产负债表</w:t>
      </w:r>
      <w:r>
        <w:rPr>
          <w:rFonts w:ascii="黑体" w:hAnsi="黑体" w:cs="黑体" w:eastAsia="黑体" w:hint="default"/>
          <w:sz w:val="17"/>
          <w:szCs w:val="17"/>
        </w:rPr>
      </w:r>
    </w:p>
    <w:p>
      <w:pPr>
        <w:spacing w:line="227" w:lineRule="exact" w:before="0"/>
        <w:ind w:left="18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除特别注明外，金额单位为人民币千元)</w:t>
      </w:r>
      <w:r>
        <w:rPr>
          <w:rFonts w:ascii="宋体" w:hAnsi="宋体" w:cs="宋体" w:eastAsia="宋体" w:hint="default"/>
          <w:sz w:val="17"/>
          <w:szCs w:val="17"/>
        </w:rPr>
      </w:r>
    </w:p>
    <w:p>
      <w:pPr>
        <w:spacing w:line="240" w:lineRule="auto" w:before="7"/>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2584"/>
        <w:gridCol w:w="947"/>
        <w:gridCol w:w="1451"/>
        <w:gridCol w:w="1451"/>
        <w:gridCol w:w="1451"/>
        <w:gridCol w:w="1451"/>
      </w:tblGrid>
      <w:tr>
        <w:trPr>
          <w:trHeight w:val="392" w:hRule="exact"/>
        </w:trPr>
        <w:tc>
          <w:tcPr>
            <w:tcW w:w="258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591" w:val="left" w:leader="none"/>
              </w:tabs>
              <w:spacing w:line="240" w:lineRule="auto"/>
              <w:ind w:left="846" w:right="0"/>
              <w:jc w:val="left"/>
              <w:rPr>
                <w:rFonts w:ascii="黑体" w:hAnsi="黑体" w:cs="黑体" w:eastAsia="黑体" w:hint="default"/>
                <w:sz w:val="14"/>
                <w:szCs w:val="14"/>
              </w:rPr>
            </w:pPr>
            <w:r>
              <w:rPr>
                <w:rFonts w:ascii="黑体" w:hAnsi="黑体" w:cs="黑体" w:eastAsia="黑体" w:hint="default"/>
                <w:w w:val="105"/>
                <w:sz w:val="14"/>
                <w:szCs w:val="14"/>
              </w:rPr>
              <w:t>资</w:t>
              <w:tab/>
              <w:t>产</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3" w:right="0"/>
              <w:jc w:val="center"/>
              <w:rPr>
                <w:rFonts w:ascii="黑体" w:hAnsi="黑体" w:cs="黑体" w:eastAsia="黑体" w:hint="default"/>
                <w:sz w:val="14"/>
                <w:szCs w:val="14"/>
              </w:rPr>
            </w:pPr>
            <w:r>
              <w:rPr>
                <w:rFonts w:ascii="黑体" w:hAnsi="黑体" w:cs="黑体" w:eastAsia="黑体" w:hint="default"/>
                <w:w w:val="105"/>
                <w:sz w:val="14"/>
                <w:szCs w:val="14"/>
              </w:rPr>
              <w:t>附注</w:t>
            </w:r>
            <w:r>
              <w:rPr>
                <w:rFonts w:ascii="黑体" w:hAnsi="黑体" w:cs="黑体" w:eastAsia="黑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2008</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183" w:lineRule="exact"/>
              <w:ind w:left="52" w:right="0"/>
              <w:jc w:val="center"/>
              <w:rPr>
                <w:rFonts w:ascii="宋体" w:hAnsi="宋体" w:cs="宋体" w:eastAsia="宋体" w:hint="default"/>
                <w:sz w:val="14"/>
                <w:szCs w:val="14"/>
              </w:rPr>
            </w:pPr>
            <w:r>
              <w:rPr>
                <w:rFonts w:ascii="宋体" w:hAnsi="宋体" w:cs="宋体" w:eastAsia="宋体" w:hint="default"/>
                <w:w w:val="105"/>
                <w:sz w:val="14"/>
                <w:szCs w:val="14"/>
              </w:rPr>
              <w:t>合并</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2007</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183" w:lineRule="exact"/>
              <w:ind w:left="13" w:right="0"/>
              <w:jc w:val="center"/>
              <w:rPr>
                <w:rFonts w:ascii="宋体" w:hAnsi="宋体" w:cs="宋体" w:eastAsia="宋体" w:hint="default"/>
                <w:sz w:val="14"/>
                <w:szCs w:val="14"/>
              </w:rPr>
            </w:pPr>
            <w:r>
              <w:rPr>
                <w:rFonts w:ascii="宋体" w:hAnsi="宋体" w:cs="宋体" w:eastAsia="宋体" w:hint="default"/>
                <w:w w:val="105"/>
                <w:sz w:val="14"/>
                <w:szCs w:val="14"/>
              </w:rPr>
              <w:t>合并</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2008</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183" w:lineRule="exact"/>
              <w:ind w:left="52" w:right="0"/>
              <w:jc w:val="center"/>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 w:right="0"/>
              <w:jc w:val="center"/>
              <w:rPr>
                <w:rFonts w:ascii="宋体" w:hAnsi="宋体" w:cs="宋体" w:eastAsia="宋体" w:hint="default"/>
                <w:sz w:val="14"/>
                <w:szCs w:val="14"/>
              </w:rPr>
            </w:pPr>
            <w:r>
              <w:rPr>
                <w:rFonts w:ascii="Arial" w:hAnsi="Arial" w:cs="Arial" w:eastAsia="Arial" w:hint="default"/>
                <w:w w:val="105"/>
                <w:sz w:val="14"/>
                <w:szCs w:val="14"/>
              </w:rPr>
              <w:t>2007</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183" w:lineRule="exact"/>
              <w:ind w:left="13" w:right="0"/>
              <w:jc w:val="center"/>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tc>
      </w:tr>
      <w:tr>
        <w:trPr>
          <w:trHeight w:val="215" w:hRule="exact"/>
        </w:trPr>
        <w:tc>
          <w:tcPr>
            <w:tcW w:w="2584"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5803" w:type="dxa"/>
            <w:gridSpan w:val="4"/>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2" w:right="0"/>
              <w:jc w:val="center"/>
              <w:rPr>
                <w:rFonts w:ascii="Arial" w:hAnsi="Arial" w:cs="Arial" w:eastAsia="Arial" w:hint="default"/>
                <w:sz w:val="14"/>
                <w:szCs w:val="14"/>
              </w:rPr>
            </w:pPr>
            <w:r>
              <w:rPr>
                <w:rFonts w:ascii="Arial" w:hAnsi="Arial" w:cs="Arial" w:eastAsia="Arial" w:hint="default"/>
                <w:w w:val="105"/>
                <w:sz w:val="14"/>
                <w:szCs w:val="14"/>
              </w:rPr>
              <w:t>(</w:t>
            </w:r>
            <w:r>
              <w:rPr>
                <w:rFonts w:ascii="宋体" w:hAnsi="宋体" w:cs="宋体" w:eastAsia="宋体" w:hint="default"/>
                <w:w w:val="105"/>
                <w:sz w:val="14"/>
                <w:szCs w:val="14"/>
              </w:rPr>
              <w:t>人民币千元</w:t>
            </w:r>
            <w:r>
              <w:rPr>
                <w:rFonts w:ascii="Arial" w:hAnsi="Arial" w:cs="Arial" w:eastAsia="Arial" w:hint="default"/>
                <w:w w:val="105"/>
                <w:sz w:val="14"/>
                <w:szCs w:val="14"/>
              </w:rPr>
              <w:t>)</w:t>
            </w:r>
            <w:r>
              <w:rPr>
                <w:rFonts w:ascii="Arial" w:hAnsi="Arial" w:cs="Arial" w:eastAsia="Arial" w:hint="default"/>
                <w:sz w:val="14"/>
                <w:szCs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9" w:right="0"/>
              <w:jc w:val="left"/>
              <w:rPr>
                <w:rFonts w:ascii="黑体" w:hAnsi="黑体" w:cs="黑体" w:eastAsia="黑体" w:hint="default"/>
                <w:sz w:val="14"/>
                <w:szCs w:val="14"/>
              </w:rPr>
            </w:pPr>
            <w:r>
              <w:rPr>
                <w:rFonts w:ascii="黑体" w:hAnsi="黑体" w:cs="黑体" w:eastAsia="黑体" w:hint="default"/>
                <w:w w:val="105"/>
                <w:sz w:val="14"/>
                <w:szCs w:val="14"/>
              </w:rPr>
              <w:t>流动资产</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货币资金</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10,574,232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7,465,293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7,650,861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4,465,501</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应收票据</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24,447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10,430</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.3</w:t>
            </w:r>
            <w:r>
              <w:rPr>
                <w:rFonts w:ascii="宋体" w:hAnsi="宋体" w:cs="宋体" w:eastAsia="宋体" w:hint="default"/>
                <w:w w:val="105"/>
                <w:sz w:val="14"/>
                <w:szCs w:val="14"/>
              </w:rPr>
              <w:t>、十三</w:t>
            </w:r>
            <w:r>
              <w:rPr>
                <w:rFonts w:ascii="Arial" w:hAnsi="Arial" w:cs="Arial" w:eastAsia="Arial" w:hint="default"/>
                <w:w w:val="105"/>
                <w:sz w:val="14"/>
                <w:szCs w:val="14"/>
              </w:rPr>
              <w:t>.1</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110,127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107,844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2,332,662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2,366,144</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预付款项</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.4</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1,081,882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1,021,992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869,371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634,584</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应收利息</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28,463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25,805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17,426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23,719</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.3</w:t>
            </w:r>
            <w:r>
              <w:rPr>
                <w:rFonts w:ascii="宋体" w:hAnsi="宋体" w:cs="宋体" w:eastAsia="宋体" w:hint="default"/>
                <w:w w:val="105"/>
                <w:sz w:val="14"/>
                <w:szCs w:val="14"/>
              </w:rPr>
              <w:t>、十三</w:t>
            </w:r>
            <w:r>
              <w:rPr>
                <w:rFonts w:ascii="Arial" w:hAnsi="Arial" w:cs="Arial" w:eastAsia="Arial" w:hint="default"/>
                <w:w w:val="105"/>
                <w:sz w:val="14"/>
                <w:szCs w:val="14"/>
              </w:rPr>
              <w:t>.1</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94,392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69,076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59,728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45,684</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8" w:right="0"/>
              <w:jc w:val="left"/>
              <w:rPr>
                <w:rFonts w:ascii="宋体" w:hAnsi="宋体" w:cs="宋体" w:eastAsia="宋体" w:hint="default"/>
                <w:sz w:val="14"/>
                <w:szCs w:val="14"/>
              </w:rPr>
            </w:pPr>
            <w:r>
              <w:rPr>
                <w:rFonts w:ascii="宋体" w:hAnsi="宋体" w:cs="宋体" w:eastAsia="宋体" w:hint="default"/>
                <w:w w:val="105"/>
                <w:sz w:val="14"/>
                <w:szCs w:val="14"/>
              </w:rPr>
              <w:t>存货</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.5</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4,908,211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4,552,543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3,352,155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3,036,799</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其他流动资产</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.6</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390,920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331,194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22,866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19,185</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9" w:right="0"/>
              <w:jc w:val="left"/>
              <w:rPr>
                <w:rFonts w:ascii="黑体" w:hAnsi="黑体" w:cs="黑体" w:eastAsia="黑体" w:hint="default"/>
                <w:sz w:val="14"/>
                <w:szCs w:val="14"/>
              </w:rPr>
            </w:pPr>
            <w:r>
              <w:rPr>
                <w:rFonts w:ascii="黑体" w:hAnsi="黑体" w:cs="黑体" w:eastAsia="黑体" w:hint="default"/>
                <w:w w:val="105"/>
                <w:sz w:val="14"/>
                <w:szCs w:val="14"/>
              </w:rPr>
              <w:t>流动资产合计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17,188,227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13,598,194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14,305,069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10,602,046</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9" w:right="0"/>
              <w:jc w:val="left"/>
              <w:rPr>
                <w:rFonts w:ascii="黑体" w:hAnsi="黑体" w:cs="黑体" w:eastAsia="黑体" w:hint="default"/>
                <w:sz w:val="14"/>
                <w:szCs w:val="14"/>
              </w:rPr>
            </w:pPr>
            <w:r>
              <w:rPr>
                <w:rFonts w:ascii="黑体" w:hAnsi="黑体" w:cs="黑体" w:eastAsia="黑体" w:hint="default"/>
                <w:w w:val="105"/>
                <w:sz w:val="14"/>
                <w:szCs w:val="14"/>
              </w:rPr>
              <w:t>非流动资产</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长期应收款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.3</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69,091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24,662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5"/>
                <w:sz w:val="14"/>
              </w:rPr>
              <w:t>-</w:t>
            </w:r>
            <w:r>
              <w:rPr>
                <w:rFonts w:ascii="Arial"/>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长期股权投资</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.7</w:t>
            </w:r>
            <w:r>
              <w:rPr>
                <w:rFonts w:ascii="宋体" w:hAnsi="宋体" w:cs="宋体" w:eastAsia="宋体" w:hint="default"/>
                <w:w w:val="105"/>
                <w:sz w:val="14"/>
                <w:szCs w:val="14"/>
              </w:rPr>
              <w:t>、十三</w:t>
            </w:r>
            <w:r>
              <w:rPr>
                <w:rFonts w:ascii="Arial" w:hAnsi="Arial" w:cs="Arial" w:eastAsia="Arial" w:hint="default"/>
                <w:w w:val="105"/>
                <w:sz w:val="14"/>
                <w:szCs w:val="14"/>
              </w:rPr>
              <w:t>.2</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1,004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1,004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2,698,560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1,045,002</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固定资产</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.8</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3,316,431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1,869,265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717,245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641,812</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在建工程</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.9</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64,009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82,599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29,880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82,599</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无形资产</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.10</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566,354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374,313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168,054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119,410</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开发支出</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.11</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19,103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9,319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19,103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9,319</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长期待摊费用</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.12</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233,253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197,717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22,440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16,584</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67" w:right="0"/>
              <w:jc w:val="left"/>
              <w:rPr>
                <w:rFonts w:ascii="宋体" w:hAnsi="宋体" w:cs="宋体" w:eastAsia="宋体" w:hint="default"/>
                <w:sz w:val="14"/>
                <w:szCs w:val="14"/>
              </w:rPr>
            </w:pPr>
            <w:r>
              <w:rPr>
                <w:rFonts w:ascii="宋体" w:hAnsi="宋体" w:cs="宋体" w:eastAsia="宋体" w:hint="default"/>
                <w:w w:val="105"/>
                <w:sz w:val="14"/>
                <w:szCs w:val="14"/>
              </w:rPr>
              <w:t>递延所得税资产</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.22</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161,055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72,578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18,016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6,771</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9" w:right="0"/>
              <w:jc w:val="left"/>
              <w:rPr>
                <w:rFonts w:ascii="黑体" w:hAnsi="黑体" w:cs="黑体" w:eastAsia="黑体" w:hint="default"/>
                <w:sz w:val="14"/>
                <w:szCs w:val="14"/>
              </w:rPr>
            </w:pPr>
            <w:r>
              <w:rPr>
                <w:rFonts w:ascii="黑体" w:hAnsi="黑体" w:cs="黑体" w:eastAsia="黑体" w:hint="default"/>
                <w:w w:val="105"/>
                <w:sz w:val="14"/>
                <w:szCs w:val="14"/>
              </w:rPr>
              <w:t>非流动资产合计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4,430,300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2,631,457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3,673,298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1,921,497</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9" w:right="0"/>
              <w:jc w:val="left"/>
              <w:rPr>
                <w:rFonts w:ascii="黑体" w:hAnsi="黑体" w:cs="黑体" w:eastAsia="黑体" w:hint="default"/>
                <w:sz w:val="14"/>
                <w:szCs w:val="14"/>
              </w:rPr>
            </w:pPr>
            <w:r>
              <w:rPr>
                <w:rFonts w:ascii="黑体" w:hAnsi="黑体" w:cs="黑体" w:eastAsia="黑体" w:hint="default"/>
                <w:w w:val="105"/>
                <w:sz w:val="14"/>
                <w:szCs w:val="14"/>
              </w:rPr>
              <w:t>资产总计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21,618,527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16,229,651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17,978,367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12,523,543</w:t>
            </w:r>
            <w:r>
              <w:rPr>
                <w:rFonts w:ascii="Arial"/>
                <w:spacing w:val="-1"/>
                <w:sz w:val="14"/>
              </w:rPr>
            </w:r>
          </w:p>
        </w:tc>
      </w:tr>
    </w:tbl>
    <w:p>
      <w:pPr>
        <w:spacing w:after="0" w:line="240" w:lineRule="auto"/>
        <w:jc w:val="right"/>
        <w:rPr>
          <w:rFonts w:ascii="Arial" w:hAnsi="Arial" w:cs="Arial" w:eastAsia="Arial" w:hint="default"/>
          <w:sz w:val="14"/>
          <w:szCs w:val="14"/>
        </w:rPr>
        <w:sectPr>
          <w:pgSz w:w="11910" w:h="16840"/>
          <w:pgMar w:header="826" w:footer="894" w:top="1100" w:bottom="1100" w:left="1500" w:right="800"/>
        </w:sectPr>
      </w:pPr>
    </w:p>
    <w:p>
      <w:pPr>
        <w:spacing w:line="240" w:lineRule="auto" w:before="11"/>
        <w:rPr>
          <w:rFonts w:ascii="宋体" w:hAnsi="宋体" w:cs="宋体" w:eastAsia="宋体" w:hint="default"/>
          <w:sz w:val="21"/>
          <w:szCs w:val="21"/>
        </w:rPr>
      </w:pPr>
    </w:p>
    <w:p>
      <w:pPr>
        <w:spacing w:before="54"/>
        <w:ind w:left="181" w:right="0" w:firstLine="0"/>
        <w:jc w:val="left"/>
        <w:rPr>
          <w:rFonts w:ascii="黑体" w:hAnsi="黑体" w:cs="黑体" w:eastAsia="黑体" w:hint="default"/>
          <w:sz w:val="17"/>
          <w:szCs w:val="17"/>
        </w:rPr>
      </w:pPr>
      <w:r>
        <w:rPr>
          <w:rFonts w:ascii="黑体" w:hAnsi="黑体" w:cs="黑体" w:eastAsia="黑体" w:hint="default"/>
          <w:w w:val="105"/>
          <w:sz w:val="17"/>
          <w:szCs w:val="17"/>
        </w:rPr>
        <w:t>苏宁电器股份有限公司</w:t>
      </w:r>
      <w:r>
        <w:rPr>
          <w:rFonts w:ascii="黑体" w:hAnsi="黑体" w:cs="黑体" w:eastAsia="黑体" w:hint="default"/>
          <w:sz w:val="17"/>
          <w:szCs w:val="17"/>
        </w:rPr>
      </w:r>
    </w:p>
    <w:p>
      <w:pPr>
        <w:spacing w:line="240" w:lineRule="auto" w:before="11"/>
        <w:rPr>
          <w:rFonts w:ascii="黑体" w:hAnsi="黑体" w:cs="黑体" w:eastAsia="黑体" w:hint="default"/>
          <w:sz w:val="15"/>
          <w:szCs w:val="15"/>
        </w:rPr>
      </w:pPr>
    </w:p>
    <w:p>
      <w:pPr>
        <w:spacing w:line="223" w:lineRule="exact" w:before="0"/>
        <w:ind w:left="183" w:right="0" w:firstLine="0"/>
        <w:jc w:val="left"/>
        <w:rPr>
          <w:rFonts w:ascii="Arial" w:hAnsi="Arial" w:cs="Arial" w:eastAsia="Arial" w:hint="default"/>
          <w:sz w:val="17"/>
          <w:szCs w:val="17"/>
        </w:rPr>
      </w:pPr>
      <w:r>
        <w:rPr>
          <w:rFonts w:ascii="Arial" w:hAnsi="Arial" w:cs="Arial" w:eastAsia="Arial" w:hint="default"/>
          <w:w w:val="105"/>
          <w:sz w:val="17"/>
          <w:szCs w:val="17"/>
        </w:rPr>
        <w:t>2008</w:t>
      </w:r>
      <w:r>
        <w:rPr>
          <w:rFonts w:ascii="黑体" w:hAnsi="黑体" w:cs="黑体" w:eastAsia="黑体" w:hint="default"/>
          <w:w w:val="105"/>
          <w:sz w:val="17"/>
          <w:szCs w:val="17"/>
        </w:rPr>
        <w:t>年</w:t>
      </w:r>
      <w:r>
        <w:rPr>
          <w:rFonts w:ascii="Arial" w:hAnsi="Arial" w:cs="Arial" w:eastAsia="Arial" w:hint="default"/>
          <w:w w:val="105"/>
          <w:sz w:val="17"/>
          <w:szCs w:val="17"/>
        </w:rPr>
        <w:t>12</w:t>
      </w:r>
      <w:r>
        <w:rPr>
          <w:rFonts w:ascii="黑体" w:hAnsi="黑体" w:cs="黑体" w:eastAsia="黑体" w:hint="default"/>
          <w:w w:val="105"/>
          <w:sz w:val="17"/>
          <w:szCs w:val="17"/>
        </w:rPr>
        <w:t>月</w:t>
      </w:r>
      <w:r>
        <w:rPr>
          <w:rFonts w:ascii="Arial" w:hAnsi="Arial" w:cs="Arial" w:eastAsia="Arial" w:hint="default"/>
          <w:w w:val="105"/>
          <w:sz w:val="17"/>
          <w:szCs w:val="17"/>
        </w:rPr>
        <w:t>31</w:t>
      </w:r>
      <w:r>
        <w:rPr>
          <w:rFonts w:ascii="黑体" w:hAnsi="黑体" w:cs="黑体" w:eastAsia="黑体" w:hint="default"/>
          <w:w w:val="105"/>
          <w:sz w:val="17"/>
          <w:szCs w:val="17"/>
        </w:rPr>
        <w:t>日合并及公司资产负债表</w:t>
      </w:r>
      <w:r>
        <w:rPr>
          <w:rFonts w:ascii="Arial" w:hAnsi="Arial" w:cs="Arial" w:eastAsia="Arial" w:hint="default"/>
          <w:w w:val="105"/>
          <w:sz w:val="17"/>
          <w:szCs w:val="17"/>
        </w:rPr>
        <w:t>(</w:t>
      </w:r>
      <w:r>
        <w:rPr>
          <w:rFonts w:ascii="黑体" w:hAnsi="黑体" w:cs="黑体" w:eastAsia="黑体" w:hint="default"/>
          <w:w w:val="105"/>
          <w:sz w:val="17"/>
          <w:szCs w:val="17"/>
        </w:rPr>
        <w:t>续</w:t>
      </w:r>
      <w:r>
        <w:rPr>
          <w:rFonts w:ascii="Arial" w:hAnsi="Arial" w:cs="Arial" w:eastAsia="Arial" w:hint="default"/>
          <w:w w:val="105"/>
          <w:sz w:val="17"/>
          <w:szCs w:val="17"/>
        </w:rPr>
        <w:t>)</w:t>
      </w:r>
      <w:r>
        <w:rPr>
          <w:rFonts w:ascii="Arial" w:hAnsi="Arial" w:cs="Arial" w:eastAsia="Arial" w:hint="default"/>
          <w:sz w:val="17"/>
          <w:szCs w:val="17"/>
        </w:rPr>
      </w:r>
    </w:p>
    <w:p>
      <w:pPr>
        <w:spacing w:line="224" w:lineRule="exact" w:before="0"/>
        <w:ind w:left="18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除特别注明外，金额单位为人民币千元)</w:t>
      </w:r>
      <w:r>
        <w:rPr>
          <w:rFonts w:ascii="宋体" w:hAnsi="宋体" w:cs="宋体" w:eastAsia="宋体" w:hint="default"/>
          <w:sz w:val="17"/>
          <w:szCs w:val="17"/>
        </w:rPr>
      </w:r>
    </w:p>
    <w:p>
      <w:pPr>
        <w:spacing w:line="240" w:lineRule="auto" w:before="11"/>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2584"/>
        <w:gridCol w:w="947"/>
        <w:gridCol w:w="1451"/>
        <w:gridCol w:w="1451"/>
        <w:gridCol w:w="1451"/>
        <w:gridCol w:w="1451"/>
      </w:tblGrid>
      <w:tr>
        <w:trPr>
          <w:trHeight w:val="394" w:hRule="exact"/>
        </w:trPr>
        <w:tc>
          <w:tcPr>
            <w:tcW w:w="258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5" w:right="0"/>
              <w:jc w:val="left"/>
              <w:rPr>
                <w:rFonts w:ascii="黑体" w:hAnsi="黑体" w:cs="黑体" w:eastAsia="黑体" w:hint="default"/>
                <w:sz w:val="14"/>
                <w:szCs w:val="14"/>
              </w:rPr>
            </w:pPr>
            <w:r>
              <w:rPr>
                <w:rFonts w:ascii="黑体" w:hAnsi="黑体" w:cs="黑体" w:eastAsia="黑体" w:hint="default"/>
                <w:w w:val="105"/>
                <w:sz w:val="14"/>
                <w:szCs w:val="14"/>
              </w:rPr>
              <w:t>负  债  及  股  东  权 </w:t>
            </w:r>
            <w:r>
              <w:rPr>
                <w:rFonts w:ascii="黑体" w:hAnsi="黑体" w:cs="黑体" w:eastAsia="黑体" w:hint="default"/>
                <w:spacing w:val="18"/>
                <w:w w:val="105"/>
                <w:sz w:val="14"/>
                <w:szCs w:val="14"/>
              </w:rPr>
              <w:t> </w:t>
            </w:r>
            <w:r>
              <w:rPr>
                <w:rFonts w:ascii="黑体" w:hAnsi="黑体" w:cs="黑体" w:eastAsia="黑体" w:hint="default"/>
                <w:w w:val="105"/>
                <w:sz w:val="14"/>
                <w:szCs w:val="14"/>
              </w:rPr>
              <w:t>益</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 w:right="0"/>
              <w:jc w:val="center"/>
              <w:rPr>
                <w:rFonts w:ascii="黑体" w:hAnsi="黑体" w:cs="黑体" w:eastAsia="黑体" w:hint="default"/>
                <w:sz w:val="14"/>
                <w:szCs w:val="14"/>
              </w:rPr>
            </w:pPr>
            <w:r>
              <w:rPr>
                <w:rFonts w:ascii="黑体" w:hAnsi="黑体" w:cs="黑体" w:eastAsia="黑体" w:hint="default"/>
                <w:w w:val="105"/>
                <w:sz w:val="14"/>
                <w:szCs w:val="14"/>
              </w:rPr>
              <w:t>附注</w:t>
            </w:r>
            <w:r>
              <w:rPr>
                <w:rFonts w:ascii="黑体" w:hAnsi="黑体" w:cs="黑体" w:eastAsia="黑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2008</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240" w:lineRule="auto" w:before="2"/>
              <w:ind w:left="52" w:right="0"/>
              <w:jc w:val="center"/>
              <w:rPr>
                <w:rFonts w:ascii="宋体" w:hAnsi="宋体" w:cs="宋体" w:eastAsia="宋体" w:hint="default"/>
                <w:sz w:val="14"/>
                <w:szCs w:val="14"/>
              </w:rPr>
            </w:pPr>
            <w:r>
              <w:rPr>
                <w:rFonts w:ascii="宋体" w:hAnsi="宋体" w:cs="宋体" w:eastAsia="宋体" w:hint="default"/>
                <w:w w:val="105"/>
                <w:sz w:val="14"/>
                <w:szCs w:val="14"/>
              </w:rPr>
              <w:t>合并</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2007</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240" w:lineRule="auto" w:before="1"/>
              <w:ind w:left="13" w:right="0"/>
              <w:jc w:val="center"/>
              <w:rPr>
                <w:rFonts w:ascii="宋体" w:hAnsi="宋体" w:cs="宋体" w:eastAsia="宋体" w:hint="default"/>
                <w:sz w:val="14"/>
                <w:szCs w:val="14"/>
              </w:rPr>
            </w:pPr>
            <w:r>
              <w:rPr>
                <w:rFonts w:ascii="宋体" w:hAnsi="宋体" w:cs="宋体" w:eastAsia="宋体" w:hint="default"/>
                <w:w w:val="105"/>
                <w:sz w:val="14"/>
                <w:szCs w:val="14"/>
              </w:rPr>
              <w:t>合并</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 w:right="0"/>
              <w:jc w:val="center"/>
              <w:rPr>
                <w:rFonts w:ascii="宋体" w:hAnsi="宋体" w:cs="宋体" w:eastAsia="宋体" w:hint="default"/>
                <w:sz w:val="14"/>
                <w:szCs w:val="14"/>
              </w:rPr>
            </w:pPr>
            <w:r>
              <w:rPr>
                <w:rFonts w:ascii="Arial" w:hAnsi="Arial" w:cs="Arial" w:eastAsia="Arial" w:hint="default"/>
                <w:w w:val="105"/>
                <w:sz w:val="14"/>
                <w:szCs w:val="14"/>
              </w:rPr>
              <w:t>2008</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240" w:lineRule="auto" w:before="2"/>
              <w:ind w:left="52" w:right="0"/>
              <w:jc w:val="center"/>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left="11" w:right="0"/>
              <w:jc w:val="center"/>
              <w:rPr>
                <w:rFonts w:ascii="宋体" w:hAnsi="宋体" w:cs="宋体" w:eastAsia="宋体" w:hint="default"/>
                <w:sz w:val="14"/>
                <w:szCs w:val="14"/>
              </w:rPr>
            </w:pPr>
            <w:r>
              <w:rPr>
                <w:rFonts w:ascii="Arial" w:hAnsi="Arial" w:cs="Arial" w:eastAsia="Arial" w:hint="default"/>
                <w:w w:val="105"/>
                <w:sz w:val="14"/>
                <w:szCs w:val="14"/>
              </w:rPr>
              <w:t>2007</w:t>
            </w:r>
            <w:r>
              <w:rPr>
                <w:rFonts w:ascii="宋体" w:hAnsi="宋体" w:cs="宋体" w:eastAsia="宋体" w:hint="default"/>
                <w:w w:val="105"/>
                <w:sz w:val="14"/>
                <w:szCs w:val="14"/>
              </w:rPr>
              <w:t>年</w:t>
            </w:r>
            <w:r>
              <w:rPr>
                <w:rFonts w:ascii="Arial" w:hAnsi="Arial" w:cs="Arial" w:eastAsia="Arial" w:hint="default"/>
                <w:w w:val="105"/>
                <w:sz w:val="14"/>
                <w:szCs w:val="14"/>
              </w:rPr>
              <w:t>12</w:t>
            </w:r>
            <w:r>
              <w:rPr>
                <w:rFonts w:ascii="宋体" w:hAnsi="宋体" w:cs="宋体" w:eastAsia="宋体" w:hint="default"/>
                <w:w w:val="105"/>
                <w:sz w:val="14"/>
                <w:szCs w:val="14"/>
              </w:rPr>
              <w:t>月</w:t>
            </w:r>
            <w:r>
              <w:rPr>
                <w:rFonts w:ascii="Arial" w:hAnsi="Arial" w:cs="Arial" w:eastAsia="Arial" w:hint="default"/>
                <w:w w:val="105"/>
                <w:sz w:val="14"/>
                <w:szCs w:val="14"/>
              </w:rPr>
              <w:t>31</w:t>
            </w:r>
            <w:r>
              <w:rPr>
                <w:rFonts w:ascii="宋体" w:hAnsi="宋体" w:cs="宋体" w:eastAsia="宋体" w:hint="default"/>
                <w:w w:val="105"/>
                <w:sz w:val="14"/>
                <w:szCs w:val="14"/>
              </w:rPr>
              <w:t>日</w:t>
            </w:r>
            <w:r>
              <w:rPr>
                <w:rFonts w:ascii="宋体" w:hAnsi="宋体" w:cs="宋体" w:eastAsia="宋体" w:hint="default"/>
                <w:sz w:val="14"/>
                <w:szCs w:val="14"/>
              </w:rPr>
            </w:r>
          </w:p>
          <w:p>
            <w:pPr>
              <w:pStyle w:val="TableParagraph"/>
              <w:spacing w:line="240" w:lineRule="auto" w:before="1"/>
              <w:ind w:left="13" w:right="0"/>
              <w:jc w:val="center"/>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tc>
      </w:tr>
      <w:tr>
        <w:trPr>
          <w:trHeight w:val="215" w:hRule="exact"/>
        </w:trPr>
        <w:tc>
          <w:tcPr>
            <w:tcW w:w="2584"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580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2" w:right="0"/>
              <w:jc w:val="center"/>
              <w:rPr>
                <w:rFonts w:ascii="Arial" w:hAnsi="Arial" w:cs="Arial" w:eastAsia="Arial" w:hint="default"/>
                <w:sz w:val="14"/>
                <w:szCs w:val="14"/>
              </w:rPr>
            </w:pPr>
            <w:r>
              <w:rPr>
                <w:rFonts w:ascii="Arial" w:hAnsi="Arial" w:cs="Arial" w:eastAsia="Arial" w:hint="default"/>
                <w:w w:val="105"/>
                <w:sz w:val="14"/>
                <w:szCs w:val="14"/>
              </w:rPr>
              <w:t>(</w:t>
            </w:r>
            <w:r>
              <w:rPr>
                <w:rFonts w:ascii="宋体" w:hAnsi="宋体" w:cs="宋体" w:eastAsia="宋体" w:hint="default"/>
                <w:w w:val="105"/>
                <w:sz w:val="14"/>
                <w:szCs w:val="14"/>
              </w:rPr>
              <w:t>人民币千元</w:t>
            </w:r>
            <w:r>
              <w:rPr>
                <w:rFonts w:ascii="Arial" w:hAnsi="Arial" w:cs="Arial" w:eastAsia="Arial" w:hint="default"/>
                <w:w w:val="105"/>
                <w:sz w:val="14"/>
                <w:szCs w:val="14"/>
              </w:rPr>
              <w:t>)</w:t>
            </w:r>
            <w:r>
              <w:rPr>
                <w:rFonts w:ascii="Arial" w:hAnsi="Arial" w:cs="Arial" w:eastAsia="Arial" w:hint="default"/>
                <w:sz w:val="14"/>
                <w:szCs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69" w:right="0"/>
              <w:jc w:val="left"/>
              <w:rPr>
                <w:rFonts w:ascii="黑体" w:hAnsi="黑体" w:cs="黑体" w:eastAsia="黑体" w:hint="default"/>
                <w:sz w:val="14"/>
                <w:szCs w:val="14"/>
              </w:rPr>
            </w:pPr>
            <w:r>
              <w:rPr>
                <w:rFonts w:ascii="黑体" w:hAnsi="黑体" w:cs="黑体" w:eastAsia="黑体" w:hint="default"/>
                <w:w w:val="105"/>
                <w:sz w:val="14"/>
                <w:szCs w:val="14"/>
              </w:rPr>
              <w:t>流动负债</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67" w:right="0"/>
              <w:jc w:val="left"/>
              <w:rPr>
                <w:rFonts w:ascii="宋体" w:hAnsi="宋体" w:cs="宋体" w:eastAsia="宋体" w:hint="default"/>
                <w:sz w:val="14"/>
                <w:szCs w:val="14"/>
              </w:rPr>
            </w:pPr>
            <w:r>
              <w:rPr>
                <w:rFonts w:ascii="宋体" w:hAnsi="宋体" w:cs="宋体" w:eastAsia="宋体" w:hint="default"/>
                <w:w w:val="105"/>
                <w:sz w:val="14"/>
                <w:szCs w:val="14"/>
              </w:rPr>
              <w:t>短期借款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.13</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156,000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140,000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40,000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140,000</w:t>
            </w:r>
            <w:r>
              <w:rPr>
                <w:rFonts w:ascii="Arial"/>
                <w:spacing w:val="-1"/>
                <w:sz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67" w:right="0"/>
              <w:jc w:val="left"/>
              <w:rPr>
                <w:rFonts w:ascii="宋体" w:hAnsi="宋体" w:cs="宋体" w:eastAsia="宋体" w:hint="default"/>
                <w:sz w:val="14"/>
                <w:szCs w:val="14"/>
              </w:rPr>
            </w:pPr>
            <w:r>
              <w:rPr>
                <w:rFonts w:ascii="宋体" w:hAnsi="宋体" w:cs="宋体" w:eastAsia="宋体" w:hint="default"/>
                <w:w w:val="105"/>
                <w:sz w:val="14"/>
                <w:szCs w:val="14"/>
              </w:rPr>
              <w:t>应付票据</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.14</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7,096,536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6,582,678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5,459,690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5,416,854</w:t>
            </w:r>
            <w:r>
              <w:rPr>
                <w:rFonts w:ascii="Arial"/>
                <w:spacing w:val="-1"/>
                <w:sz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67" w:right="0"/>
              <w:jc w:val="left"/>
              <w:rPr>
                <w:rFonts w:ascii="宋体" w:hAnsi="宋体" w:cs="宋体" w:eastAsia="宋体" w:hint="default"/>
                <w:sz w:val="14"/>
                <w:szCs w:val="14"/>
              </w:rPr>
            </w:pPr>
            <w:r>
              <w:rPr>
                <w:rFonts w:ascii="宋体" w:hAnsi="宋体" w:cs="宋体" w:eastAsia="宋体" w:hint="default"/>
                <w:w w:val="105"/>
                <w:sz w:val="14"/>
                <w:szCs w:val="14"/>
              </w:rPr>
              <w:t>应付账款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.15</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3,633,327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3,146,318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2,347,317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2,377,457</w:t>
            </w:r>
            <w:r>
              <w:rPr>
                <w:rFonts w:ascii="Arial"/>
                <w:spacing w:val="-1"/>
                <w:sz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67" w:right="0"/>
              <w:jc w:val="left"/>
              <w:rPr>
                <w:rFonts w:ascii="宋体" w:hAnsi="宋体" w:cs="宋体" w:eastAsia="宋体" w:hint="default"/>
                <w:sz w:val="14"/>
                <w:szCs w:val="14"/>
              </w:rPr>
            </w:pPr>
            <w:r>
              <w:rPr>
                <w:rFonts w:ascii="宋体" w:hAnsi="宋体" w:cs="宋体" w:eastAsia="宋体" w:hint="default"/>
                <w:w w:val="105"/>
                <w:sz w:val="14"/>
                <w:szCs w:val="14"/>
              </w:rPr>
              <w:t>预收款项</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.16</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184,822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281,805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2,712,991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873,084</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应付职工薪酬</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.17</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134,085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101,470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27,088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25,055</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应交税费</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.18</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387,961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293,978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287,970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187,232</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应付利息</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w w:val="105"/>
                <w:sz w:val="14"/>
              </w:rPr>
              <w:t>66</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287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w w:val="105"/>
                <w:sz w:val="14"/>
              </w:rPr>
              <w:t>66</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287</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其他应付款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5"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.19</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608,046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702,946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254,538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49,094</w:t>
            </w:r>
            <w:r>
              <w:rPr>
                <w:rFonts w:ascii="Arial"/>
                <w:spacing w:val="-1"/>
                <w:sz w:val="14"/>
              </w:rPr>
            </w:r>
          </w:p>
        </w:tc>
      </w:tr>
      <w:tr>
        <w:trPr>
          <w:trHeight w:val="18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right="473"/>
              <w:jc w:val="right"/>
              <w:rPr>
                <w:rFonts w:ascii="宋体" w:hAnsi="宋体" w:cs="宋体" w:eastAsia="宋体" w:hint="default"/>
                <w:sz w:val="14"/>
                <w:szCs w:val="14"/>
              </w:rPr>
            </w:pPr>
            <w:r>
              <w:rPr>
                <w:rFonts w:ascii="宋体" w:hAnsi="宋体" w:cs="宋体" w:eastAsia="宋体" w:hint="default"/>
                <w:w w:val="105"/>
                <w:sz w:val="14"/>
                <w:szCs w:val="14"/>
              </w:rPr>
              <w:t>一年内到期的非流动负债</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15"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.20</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152,870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106,506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8,971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16,620</w:t>
            </w:r>
            <w:r>
              <w:rPr>
                <w:rFonts w:ascii="Arial"/>
                <w:spacing w:val="-1"/>
                <w:sz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7" w:right="0"/>
              <w:jc w:val="left"/>
              <w:rPr>
                <w:rFonts w:ascii="宋体" w:hAnsi="宋体" w:cs="宋体" w:eastAsia="宋体" w:hint="default"/>
                <w:sz w:val="14"/>
                <w:szCs w:val="14"/>
              </w:rPr>
            </w:pPr>
            <w:r>
              <w:rPr>
                <w:rFonts w:ascii="宋体" w:hAnsi="宋体" w:cs="宋体" w:eastAsia="宋体" w:hint="default"/>
                <w:w w:val="105"/>
                <w:sz w:val="14"/>
                <w:szCs w:val="14"/>
              </w:rPr>
              <w:t>其他流动负债</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.21</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124,852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34,657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1,846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3,218</w:t>
            </w:r>
            <w:r>
              <w:rPr>
                <w:rFonts w:ascii="Arial"/>
                <w:spacing w:val="-1"/>
                <w:sz w:val="14"/>
              </w:rPr>
            </w:r>
          </w:p>
        </w:tc>
      </w:tr>
      <w:tr>
        <w:trPr>
          <w:trHeight w:val="21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9" w:right="0"/>
              <w:jc w:val="left"/>
              <w:rPr>
                <w:rFonts w:ascii="黑体" w:hAnsi="黑体" w:cs="黑体" w:eastAsia="黑体" w:hint="default"/>
                <w:sz w:val="14"/>
                <w:szCs w:val="14"/>
              </w:rPr>
            </w:pPr>
            <w:r>
              <w:rPr>
                <w:rFonts w:ascii="黑体" w:hAnsi="黑体" w:cs="黑体" w:eastAsia="黑体" w:hint="default"/>
                <w:w w:val="105"/>
                <w:sz w:val="14"/>
                <w:szCs w:val="14"/>
              </w:rPr>
              <w:t>流动负债合计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spacing w:val="-1"/>
                <w:w w:val="105"/>
                <w:sz w:val="14"/>
              </w:rPr>
              <w:t>12,478,565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11,390,645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11,140,477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9,088,901</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非流动负债</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3"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专项应付款</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3,513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3,513</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递延所得税负债</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.22</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4,755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7,613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2,330</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其他非流动负债</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.23</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22,887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22,886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9"/>
              <w:jc w:val="right"/>
              <w:rPr>
                <w:rFonts w:ascii="Arial" w:hAnsi="Arial" w:cs="Arial" w:eastAsia="Arial" w:hint="default"/>
                <w:sz w:val="14"/>
                <w:szCs w:val="14"/>
              </w:rPr>
            </w:pPr>
            <w:r>
              <w:rPr>
                <w:rFonts w:ascii="Arial"/>
                <w:w w:val="105"/>
                <w:sz w:val="14"/>
              </w:rPr>
              <w:t>-</w:t>
            </w:r>
            <w:r>
              <w:rPr>
                <w:rFonts w:ascii="Arial"/>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非流动负债合计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27,642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11,126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22,886</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5,843</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负债合计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12,506,207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11,401,771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11,163,363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9,094,744</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股东权益</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8" w:right="0"/>
              <w:jc w:val="left"/>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.24</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2,991,008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1,441,504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2,991,008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1,441,504</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.25</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1,086,191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215,639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1,086,191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215,639</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.26</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364,270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223,870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364,270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223,870</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467"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.27</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4,334,488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2,742,549</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2,373,535</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1,547,786</w:t>
            </w:r>
            <w:r>
              <w:rPr>
                <w:rFonts w:ascii="Arial"/>
                <w:spacing w:val="-1"/>
                <w:sz w:val="14"/>
              </w:rPr>
            </w:r>
          </w:p>
        </w:tc>
      </w:tr>
      <w:tr>
        <w:trPr>
          <w:trHeight w:val="182"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right="474"/>
              <w:jc w:val="right"/>
              <w:rPr>
                <w:rFonts w:ascii="黑体" w:hAnsi="黑体" w:cs="黑体" w:eastAsia="黑体" w:hint="default"/>
                <w:sz w:val="14"/>
                <w:szCs w:val="14"/>
              </w:rPr>
            </w:pPr>
            <w:r>
              <w:rPr>
                <w:rFonts w:ascii="黑体" w:hAnsi="黑体" w:cs="黑体" w:eastAsia="黑体" w:hint="default"/>
                <w:w w:val="105"/>
                <w:sz w:val="14"/>
                <w:szCs w:val="14"/>
              </w:rPr>
              <w:t>归属于母公司股东权益合计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8,775,957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4,623,562</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6,815,004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3,428,799</w:t>
            </w:r>
            <w:r>
              <w:rPr>
                <w:rFonts w:ascii="Arial"/>
                <w:spacing w:val="-1"/>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317" w:right="0"/>
              <w:jc w:val="left"/>
              <w:rPr>
                <w:rFonts w:ascii="黑体" w:hAnsi="黑体" w:cs="黑体" w:eastAsia="黑体" w:hint="default"/>
                <w:sz w:val="14"/>
                <w:szCs w:val="14"/>
              </w:rPr>
            </w:pPr>
            <w:r>
              <w:rPr>
                <w:rFonts w:ascii="黑体" w:hAnsi="黑体" w:cs="黑体" w:eastAsia="黑体" w:hint="default"/>
                <w:w w:val="105"/>
                <w:sz w:val="14"/>
                <w:szCs w:val="14"/>
              </w:rPr>
              <w:t>少数股东权益</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.28</w:t>
            </w:r>
            <w:r>
              <w:rPr>
                <w:rFonts w:ascii="Arial" w:hAnsi="Arial" w:cs="Arial" w:eastAsia="Arial" w:hint="default"/>
                <w:sz w:val="14"/>
                <w:szCs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8"/>
              <w:jc w:val="right"/>
              <w:rPr>
                <w:rFonts w:ascii="Arial" w:hAnsi="Arial" w:cs="Arial" w:eastAsia="Arial" w:hint="default"/>
                <w:sz w:val="14"/>
                <w:szCs w:val="14"/>
              </w:rPr>
            </w:pPr>
            <w:r>
              <w:rPr>
                <w:rFonts w:ascii="Arial"/>
                <w:spacing w:val="-1"/>
                <w:w w:val="105"/>
                <w:sz w:val="14"/>
              </w:rPr>
              <w:t>336,363</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7"/>
              <w:jc w:val="right"/>
              <w:rPr>
                <w:rFonts w:ascii="Arial" w:hAnsi="Arial" w:cs="Arial" w:eastAsia="Arial" w:hint="default"/>
                <w:sz w:val="14"/>
                <w:szCs w:val="14"/>
              </w:rPr>
            </w:pPr>
            <w:r>
              <w:rPr>
                <w:rFonts w:ascii="Arial"/>
                <w:spacing w:val="-1"/>
                <w:w w:val="105"/>
                <w:sz w:val="14"/>
              </w:rPr>
              <w:t>204,318</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9"/>
              <w:jc w:val="right"/>
              <w:rPr>
                <w:rFonts w:ascii="Arial" w:hAnsi="Arial" w:cs="Arial" w:eastAsia="Arial" w:hint="default"/>
                <w:sz w:val="14"/>
                <w:szCs w:val="14"/>
              </w:rPr>
            </w:pPr>
            <w:r>
              <w:rPr>
                <w:rFonts w:ascii="Arial"/>
                <w:w w:val="105"/>
                <w:sz w:val="14"/>
              </w:rPr>
              <w:t>-</w:t>
            </w:r>
            <w:r>
              <w:rPr>
                <w:rFonts w:ascii="Arial"/>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69"/>
              <w:jc w:val="right"/>
              <w:rPr>
                <w:rFonts w:ascii="Arial" w:hAnsi="Arial" w:cs="Arial" w:eastAsia="Arial" w:hint="default"/>
                <w:sz w:val="14"/>
                <w:szCs w:val="14"/>
              </w:rPr>
            </w:pPr>
            <w:r>
              <w:rPr>
                <w:rFonts w:ascii="Arial"/>
                <w:w w:val="105"/>
                <w:sz w:val="14"/>
              </w:rPr>
              <w:t>-</w:t>
            </w:r>
            <w:r>
              <w:rPr>
                <w:rFonts w:ascii="Arial"/>
                <w:sz w:val="14"/>
              </w:rPr>
            </w:r>
          </w:p>
        </w:tc>
      </w:tr>
      <w:tr>
        <w:trPr>
          <w:trHeight w:val="183"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4"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股东权益合计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8"/>
              <w:jc w:val="right"/>
              <w:rPr>
                <w:rFonts w:ascii="Arial" w:hAnsi="Arial" w:cs="Arial" w:eastAsia="Arial" w:hint="default"/>
                <w:sz w:val="14"/>
                <w:szCs w:val="14"/>
              </w:rPr>
            </w:pPr>
            <w:r>
              <w:rPr>
                <w:rFonts w:ascii="Arial"/>
                <w:spacing w:val="-1"/>
                <w:w w:val="105"/>
                <w:sz w:val="14"/>
              </w:rPr>
              <w:t>9,112,320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4,827,880</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6,815,004</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67"/>
              <w:jc w:val="right"/>
              <w:rPr>
                <w:rFonts w:ascii="Arial" w:hAnsi="Arial" w:cs="Arial" w:eastAsia="Arial" w:hint="default"/>
                <w:sz w:val="14"/>
                <w:szCs w:val="14"/>
              </w:rPr>
            </w:pPr>
            <w:r>
              <w:rPr>
                <w:rFonts w:ascii="Arial"/>
                <w:spacing w:val="-1"/>
                <w:w w:val="105"/>
                <w:sz w:val="14"/>
              </w:rPr>
              <w:t>3,428,799</w:t>
            </w:r>
            <w:r>
              <w:rPr>
                <w:rFonts w:ascii="Arial"/>
                <w:spacing w:val="-1"/>
                <w:sz w:val="14"/>
              </w:rPr>
            </w:r>
          </w:p>
        </w:tc>
      </w:tr>
      <w:tr>
        <w:trPr>
          <w:trHeight w:val="215" w:hRule="exact"/>
        </w:trPr>
        <w:tc>
          <w:tcPr>
            <w:tcW w:w="2584"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r>
      <w:tr>
        <w:trPr>
          <w:trHeight w:val="179" w:hRule="exact"/>
        </w:trPr>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151" w:lineRule="exact"/>
              <w:ind w:left="169" w:right="0"/>
              <w:jc w:val="left"/>
              <w:rPr>
                <w:rFonts w:ascii="黑体" w:hAnsi="黑体" w:cs="黑体" w:eastAsia="黑体" w:hint="default"/>
                <w:sz w:val="14"/>
                <w:szCs w:val="14"/>
              </w:rPr>
            </w:pPr>
            <w:r>
              <w:rPr>
                <w:rFonts w:ascii="黑体" w:hAnsi="黑体" w:cs="黑体" w:eastAsia="黑体" w:hint="default"/>
                <w:w w:val="105"/>
                <w:sz w:val="14"/>
                <w:szCs w:val="14"/>
              </w:rPr>
              <w:t>负债及股东权益总计</w:t>
            </w:r>
            <w:r>
              <w:rPr>
                <w:rFonts w:ascii="黑体" w:hAnsi="黑体" w:cs="黑体" w:eastAsia="黑体" w:hint="default"/>
                <w:sz w:val="14"/>
                <w:szCs w:val="14"/>
              </w:rPr>
            </w:r>
          </w:p>
        </w:tc>
        <w:tc>
          <w:tcPr>
            <w:tcW w:w="9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68"/>
              <w:jc w:val="right"/>
              <w:rPr>
                <w:rFonts w:ascii="Arial" w:hAnsi="Arial" w:cs="Arial" w:eastAsia="Arial" w:hint="default"/>
                <w:sz w:val="14"/>
                <w:szCs w:val="14"/>
              </w:rPr>
            </w:pPr>
            <w:r>
              <w:rPr>
                <w:rFonts w:ascii="Arial"/>
                <w:spacing w:val="-1"/>
                <w:w w:val="105"/>
                <w:sz w:val="14"/>
              </w:rPr>
              <w:t>21,618,527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67"/>
              <w:jc w:val="right"/>
              <w:rPr>
                <w:rFonts w:ascii="Arial" w:hAnsi="Arial" w:cs="Arial" w:eastAsia="Arial" w:hint="default"/>
                <w:sz w:val="14"/>
                <w:szCs w:val="14"/>
              </w:rPr>
            </w:pPr>
            <w:r>
              <w:rPr>
                <w:rFonts w:ascii="Arial"/>
                <w:spacing w:val="-1"/>
                <w:w w:val="105"/>
                <w:sz w:val="14"/>
              </w:rPr>
              <w:t>16,229,651</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67"/>
              <w:jc w:val="right"/>
              <w:rPr>
                <w:rFonts w:ascii="Arial" w:hAnsi="Arial" w:cs="Arial" w:eastAsia="Arial" w:hint="default"/>
                <w:sz w:val="14"/>
                <w:szCs w:val="14"/>
              </w:rPr>
            </w:pPr>
            <w:r>
              <w:rPr>
                <w:rFonts w:ascii="Arial"/>
                <w:spacing w:val="-1"/>
                <w:w w:val="105"/>
                <w:sz w:val="14"/>
              </w:rPr>
              <w:t>17,978,367</w:t>
            </w:r>
            <w:r>
              <w:rPr>
                <w:rFonts w:ascii="Arial"/>
                <w:spacing w:val="-1"/>
                <w:sz w:val="14"/>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67"/>
              <w:jc w:val="right"/>
              <w:rPr>
                <w:rFonts w:ascii="Arial" w:hAnsi="Arial" w:cs="Arial" w:eastAsia="Arial" w:hint="default"/>
                <w:sz w:val="14"/>
                <w:szCs w:val="14"/>
              </w:rPr>
            </w:pPr>
            <w:r>
              <w:rPr>
                <w:rFonts w:ascii="Arial"/>
                <w:spacing w:val="-1"/>
                <w:w w:val="105"/>
                <w:sz w:val="14"/>
              </w:rPr>
              <w:t>12,523,543</w:t>
            </w:r>
            <w:r>
              <w:rPr>
                <w:rFonts w:ascii="Arial"/>
                <w:spacing w:val="-1"/>
                <w:sz w:val="14"/>
              </w:rPr>
            </w:r>
          </w:p>
        </w:tc>
      </w:tr>
    </w:tbl>
    <w:p>
      <w:pPr>
        <w:spacing w:line="240" w:lineRule="auto" w:before="6"/>
        <w:rPr>
          <w:rFonts w:ascii="宋体" w:hAnsi="宋体" w:cs="宋体" w:eastAsia="宋体" w:hint="default"/>
          <w:sz w:val="10"/>
          <w:szCs w:val="10"/>
        </w:rPr>
      </w:pPr>
    </w:p>
    <w:p>
      <w:pPr>
        <w:spacing w:before="63"/>
        <w:ind w:left="177" w:right="0" w:firstLine="0"/>
        <w:jc w:val="left"/>
        <w:rPr>
          <w:rFonts w:ascii="黑体" w:hAnsi="黑体" w:cs="黑体" w:eastAsia="黑体" w:hint="default"/>
          <w:sz w:val="14"/>
          <w:szCs w:val="14"/>
        </w:rPr>
      </w:pPr>
      <w:r>
        <w:rPr>
          <w:rFonts w:ascii="黑体" w:hAnsi="黑体" w:cs="黑体" w:eastAsia="黑体" w:hint="default"/>
          <w:w w:val="105"/>
          <w:sz w:val="14"/>
          <w:szCs w:val="14"/>
        </w:rPr>
        <w:t>后附财务报表附注为财务报表的组成部分。</w:t>
      </w:r>
      <w:r>
        <w:rPr>
          <w:rFonts w:ascii="黑体" w:hAnsi="黑体" w:cs="黑体" w:eastAsia="黑体" w:hint="default"/>
          <w:sz w:val="14"/>
          <w:szCs w:val="14"/>
        </w:rPr>
      </w:r>
    </w:p>
    <w:p>
      <w:pPr>
        <w:spacing w:line="240" w:lineRule="auto" w:before="10"/>
        <w:rPr>
          <w:rFonts w:ascii="黑体" w:hAnsi="黑体" w:cs="黑体" w:eastAsia="黑体" w:hint="default"/>
          <w:sz w:val="14"/>
          <w:szCs w:val="14"/>
        </w:rPr>
      </w:pPr>
    </w:p>
    <w:p>
      <w:pPr>
        <w:tabs>
          <w:tab w:pos="2243" w:val="left" w:leader="none"/>
          <w:tab w:pos="4861" w:val="left" w:leader="none"/>
        </w:tabs>
        <w:spacing w:before="0"/>
        <w:ind w:left="177" w:right="0" w:firstLine="0"/>
        <w:jc w:val="left"/>
        <w:rPr>
          <w:rFonts w:ascii="黑体" w:hAnsi="黑体" w:cs="黑体" w:eastAsia="黑体" w:hint="default"/>
          <w:sz w:val="14"/>
          <w:szCs w:val="14"/>
        </w:rPr>
      </w:pPr>
      <w:r>
        <w:rPr>
          <w:rFonts w:ascii="黑体" w:hAnsi="黑体" w:cs="黑体" w:eastAsia="黑体" w:hint="default"/>
          <w:w w:val="105"/>
          <w:sz w:val="14"/>
          <w:szCs w:val="14"/>
        </w:rPr>
        <w:t>企业负责人：</w:t>
      </w:r>
      <w:r>
        <w:rPr>
          <w:rFonts w:ascii="黑体" w:hAnsi="黑体" w:cs="黑体" w:eastAsia="黑体" w:hint="default"/>
          <w:spacing w:val="-31"/>
          <w:w w:val="105"/>
          <w:sz w:val="14"/>
          <w:szCs w:val="14"/>
        </w:rPr>
        <w:t> </w:t>
      </w:r>
      <w:r>
        <w:rPr>
          <w:rFonts w:ascii="黑体" w:hAnsi="黑体" w:cs="黑体" w:eastAsia="黑体" w:hint="default"/>
          <w:w w:val="105"/>
          <w:sz w:val="14"/>
          <w:szCs w:val="14"/>
        </w:rPr>
        <w:t>张近东</w:t>
        <w:tab/>
        <w:t>主管会计工作的负责人：</w:t>
      </w:r>
      <w:r>
        <w:rPr>
          <w:rFonts w:ascii="黑体" w:hAnsi="黑体" w:cs="黑体" w:eastAsia="黑体" w:hint="default"/>
          <w:spacing w:val="-29"/>
          <w:w w:val="105"/>
          <w:sz w:val="14"/>
          <w:szCs w:val="14"/>
        </w:rPr>
        <w:t> </w:t>
      </w:r>
      <w:r>
        <w:rPr>
          <w:rFonts w:ascii="黑体" w:hAnsi="黑体" w:cs="黑体" w:eastAsia="黑体" w:hint="default"/>
          <w:w w:val="105"/>
          <w:sz w:val="14"/>
          <w:szCs w:val="14"/>
        </w:rPr>
        <w:t>朱华</w:t>
        <w:tab/>
        <w:t>会计机构负责人：肖忠祥</w:t>
      </w:r>
      <w:r>
        <w:rPr>
          <w:rFonts w:ascii="黑体" w:hAnsi="黑体" w:cs="黑体" w:eastAsia="黑体" w:hint="default"/>
          <w:sz w:val="14"/>
          <w:szCs w:val="14"/>
        </w:rPr>
      </w:r>
    </w:p>
    <w:p>
      <w:pPr>
        <w:spacing w:after="0"/>
        <w:jc w:val="left"/>
        <w:rPr>
          <w:rFonts w:ascii="黑体" w:hAnsi="黑体" w:cs="黑体" w:eastAsia="黑体" w:hint="default"/>
          <w:sz w:val="14"/>
          <w:szCs w:val="14"/>
        </w:rPr>
        <w:sectPr>
          <w:pgSz w:w="11910" w:h="16840"/>
          <w:pgMar w:header="826" w:footer="894" w:top="1100" w:bottom="1100" w:left="1500" w:right="800"/>
        </w:sectPr>
      </w:pPr>
    </w:p>
    <w:p>
      <w:pPr>
        <w:spacing w:line="240" w:lineRule="auto" w:before="11"/>
        <w:rPr>
          <w:rFonts w:ascii="黑体" w:hAnsi="黑体" w:cs="黑体" w:eastAsia="黑体" w:hint="default"/>
          <w:sz w:val="19"/>
          <w:szCs w:val="19"/>
        </w:rPr>
      </w:pPr>
    </w:p>
    <w:p>
      <w:pPr>
        <w:spacing w:before="45"/>
        <w:ind w:left="182" w:right="100" w:firstLine="0"/>
        <w:jc w:val="left"/>
        <w:rPr>
          <w:rFonts w:ascii="黑体" w:hAnsi="黑体" w:cs="黑体" w:eastAsia="黑体" w:hint="default"/>
          <w:sz w:val="18"/>
          <w:szCs w:val="18"/>
        </w:rPr>
      </w:pPr>
      <w:r>
        <w:rPr>
          <w:rFonts w:ascii="黑体" w:hAnsi="黑体" w:cs="黑体" w:eastAsia="黑体" w:hint="default"/>
          <w:sz w:val="18"/>
          <w:szCs w:val="18"/>
        </w:rPr>
        <w:t>苏宁电器股份有限公司</w:t>
      </w:r>
    </w:p>
    <w:p>
      <w:pPr>
        <w:spacing w:line="240" w:lineRule="auto" w:before="6"/>
        <w:rPr>
          <w:rFonts w:ascii="黑体" w:hAnsi="黑体" w:cs="黑体" w:eastAsia="黑体" w:hint="default"/>
          <w:sz w:val="15"/>
          <w:szCs w:val="15"/>
        </w:rPr>
      </w:pPr>
    </w:p>
    <w:p>
      <w:pPr>
        <w:spacing w:line="232" w:lineRule="exact" w:before="0"/>
        <w:ind w:left="183" w:right="100" w:firstLine="0"/>
        <w:jc w:val="left"/>
        <w:rPr>
          <w:rFonts w:ascii="黑体" w:hAnsi="黑体" w:cs="黑体" w:eastAsia="黑体" w:hint="default"/>
          <w:sz w:val="18"/>
          <w:szCs w:val="18"/>
        </w:rPr>
      </w:pPr>
      <w:r>
        <w:rPr>
          <w:rFonts w:ascii="Arial" w:hAnsi="Arial" w:cs="Arial" w:eastAsia="Arial" w:hint="default"/>
          <w:sz w:val="18"/>
          <w:szCs w:val="18"/>
        </w:rPr>
        <w:t>2008</w:t>
      </w:r>
      <w:r>
        <w:rPr>
          <w:rFonts w:ascii="黑体" w:hAnsi="黑体" w:cs="黑体" w:eastAsia="黑体" w:hint="default"/>
          <w:sz w:val="18"/>
          <w:szCs w:val="18"/>
        </w:rPr>
        <w:t>年度合并及公司利润表</w:t>
      </w:r>
    </w:p>
    <w:p>
      <w:pPr>
        <w:spacing w:line="232" w:lineRule="exact" w:before="0"/>
        <w:ind w:left="18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除特别注明外，金额单位为人民币千元)</w:t>
      </w:r>
    </w:p>
    <w:p>
      <w:pPr>
        <w:spacing w:line="240" w:lineRule="auto" w:before="1"/>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3346"/>
        <w:gridCol w:w="1147"/>
        <w:gridCol w:w="1326"/>
        <w:gridCol w:w="1231"/>
        <w:gridCol w:w="1231"/>
        <w:gridCol w:w="1231"/>
      </w:tblGrid>
      <w:tr>
        <w:trPr>
          <w:trHeight w:val="406" w:hRule="exact"/>
        </w:trPr>
        <w:tc>
          <w:tcPr>
            <w:tcW w:w="334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854" w:val="left" w:leader="none"/>
              </w:tabs>
              <w:spacing w:line="240" w:lineRule="auto"/>
              <w:ind w:left="15" w:right="0"/>
              <w:jc w:val="center"/>
              <w:rPr>
                <w:rFonts w:ascii="黑体" w:hAnsi="黑体" w:cs="黑体" w:eastAsia="黑体" w:hint="default"/>
                <w:sz w:val="15"/>
                <w:szCs w:val="15"/>
              </w:rPr>
            </w:pPr>
            <w:r>
              <w:rPr>
                <w:rFonts w:ascii="黑体" w:hAnsi="黑体" w:cs="黑体" w:eastAsia="黑体" w:hint="default"/>
                <w:sz w:val="15"/>
                <w:szCs w:val="15"/>
              </w:rPr>
              <w:t>项</w:t>
              <w:tab/>
              <w:t>目</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3" w:right="0"/>
              <w:jc w:val="center"/>
              <w:rPr>
                <w:rFonts w:ascii="黑体" w:hAnsi="黑体" w:cs="黑体" w:eastAsia="黑体" w:hint="default"/>
                <w:sz w:val="15"/>
                <w:szCs w:val="15"/>
              </w:rPr>
            </w:pPr>
            <w:r>
              <w:rPr>
                <w:rFonts w:ascii="黑体" w:hAnsi="黑体" w:cs="黑体" w:eastAsia="黑体" w:hint="default"/>
                <w:sz w:val="15"/>
                <w:szCs w:val="15"/>
              </w:rPr>
              <w:t>附注</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21"/>
              <w:ind w:left="549" w:right="327" w:hanging="207"/>
              <w:jc w:val="left"/>
              <w:rPr>
                <w:rFonts w:ascii="宋体" w:hAnsi="宋体" w:cs="宋体" w:eastAsia="宋体" w:hint="default"/>
                <w:sz w:val="15"/>
                <w:szCs w:val="15"/>
              </w:rPr>
            </w:pPr>
            <w:r>
              <w:rPr>
                <w:rFonts w:ascii="Arial" w:hAnsi="Arial" w:cs="Arial" w:eastAsia="Arial" w:hint="default"/>
                <w:sz w:val="15"/>
                <w:szCs w:val="15"/>
              </w:rPr>
              <w:t>2008</w:t>
            </w:r>
            <w:r>
              <w:rPr>
                <w:rFonts w:ascii="宋体" w:hAnsi="宋体" w:cs="宋体" w:eastAsia="宋体" w:hint="default"/>
                <w:sz w:val="15"/>
                <w:szCs w:val="15"/>
              </w:rPr>
              <w:t>年度</w:t>
            </w:r>
            <w:r>
              <w:rPr>
                <w:rFonts w:ascii="宋体" w:hAnsi="宋体" w:cs="宋体" w:eastAsia="宋体" w:hint="default"/>
                <w:w w:val="100"/>
                <w:sz w:val="15"/>
                <w:szCs w:val="15"/>
              </w:rPr>
              <w:t> </w:t>
            </w:r>
            <w:r>
              <w:rPr>
                <w:rFonts w:ascii="宋体" w:hAnsi="宋体" w:cs="宋体" w:eastAsia="宋体" w:hint="default"/>
                <w:sz w:val="15"/>
                <w:szCs w:val="15"/>
              </w:rPr>
              <w:t>合并</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21"/>
              <w:ind w:left="501" w:right="279" w:hanging="206"/>
              <w:jc w:val="left"/>
              <w:rPr>
                <w:rFonts w:ascii="宋体" w:hAnsi="宋体" w:cs="宋体" w:eastAsia="宋体" w:hint="default"/>
                <w:sz w:val="15"/>
                <w:szCs w:val="15"/>
              </w:rPr>
            </w:pPr>
            <w:r>
              <w:rPr>
                <w:rFonts w:ascii="Arial" w:hAnsi="Arial" w:cs="Arial" w:eastAsia="Arial" w:hint="default"/>
                <w:sz w:val="15"/>
                <w:szCs w:val="15"/>
              </w:rPr>
              <w:t>2007</w:t>
            </w:r>
            <w:r>
              <w:rPr>
                <w:rFonts w:ascii="宋体" w:hAnsi="宋体" w:cs="宋体" w:eastAsia="宋体" w:hint="default"/>
                <w:sz w:val="15"/>
                <w:szCs w:val="15"/>
              </w:rPr>
              <w:t>年度</w:t>
            </w:r>
            <w:r>
              <w:rPr>
                <w:rFonts w:ascii="宋体" w:hAnsi="宋体" w:cs="宋体" w:eastAsia="宋体" w:hint="default"/>
                <w:w w:val="100"/>
                <w:sz w:val="15"/>
                <w:szCs w:val="15"/>
              </w:rPr>
              <w:t> </w:t>
            </w:r>
            <w:r>
              <w:rPr>
                <w:rFonts w:ascii="宋体" w:hAnsi="宋体" w:cs="宋体" w:eastAsia="宋体" w:hint="default"/>
                <w:sz w:val="15"/>
                <w:szCs w:val="15"/>
              </w:rPr>
              <w:t>合并</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21"/>
              <w:ind w:left="463" w:right="279" w:hanging="167"/>
              <w:jc w:val="left"/>
              <w:rPr>
                <w:rFonts w:ascii="宋体" w:hAnsi="宋体" w:cs="宋体" w:eastAsia="宋体" w:hint="default"/>
                <w:sz w:val="15"/>
                <w:szCs w:val="15"/>
              </w:rPr>
            </w:pPr>
            <w:r>
              <w:rPr>
                <w:rFonts w:ascii="Arial" w:hAnsi="Arial" w:cs="Arial" w:eastAsia="Arial" w:hint="default"/>
                <w:sz w:val="15"/>
                <w:szCs w:val="15"/>
              </w:rPr>
              <w:t>2008</w:t>
            </w:r>
            <w:r>
              <w:rPr>
                <w:rFonts w:ascii="宋体" w:hAnsi="宋体" w:cs="宋体" w:eastAsia="宋体" w:hint="default"/>
                <w:sz w:val="15"/>
                <w:szCs w:val="15"/>
              </w:rPr>
              <w:t>年度</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78" w:lineRule="exact" w:before="21"/>
              <w:ind w:left="463" w:right="279" w:hanging="167"/>
              <w:jc w:val="left"/>
              <w:rPr>
                <w:rFonts w:ascii="宋体" w:hAnsi="宋体" w:cs="宋体" w:eastAsia="宋体" w:hint="default"/>
                <w:sz w:val="15"/>
                <w:szCs w:val="15"/>
              </w:rPr>
            </w:pPr>
            <w:r>
              <w:rPr>
                <w:rFonts w:ascii="Arial" w:hAnsi="Arial" w:cs="Arial" w:eastAsia="Arial" w:hint="default"/>
                <w:sz w:val="15"/>
                <w:szCs w:val="15"/>
              </w:rPr>
              <w:t>2007</w:t>
            </w:r>
            <w:r>
              <w:rPr>
                <w:rFonts w:ascii="宋体" w:hAnsi="宋体" w:cs="宋体" w:eastAsia="宋体" w:hint="default"/>
                <w:sz w:val="15"/>
                <w:szCs w:val="15"/>
              </w:rPr>
              <w:t>年度</w:t>
            </w:r>
            <w:r>
              <w:rPr>
                <w:rFonts w:ascii="宋体" w:hAnsi="宋体" w:cs="宋体" w:eastAsia="宋体" w:hint="default"/>
                <w:w w:val="100"/>
                <w:sz w:val="15"/>
                <w:szCs w:val="15"/>
              </w:rPr>
              <w:t> </w:t>
            </w:r>
            <w:r>
              <w:rPr>
                <w:rFonts w:ascii="宋体" w:hAnsi="宋体" w:cs="宋体" w:eastAsia="宋体" w:hint="default"/>
                <w:sz w:val="15"/>
                <w:szCs w:val="15"/>
              </w:rPr>
              <w:t>公司</w:t>
            </w:r>
          </w:p>
        </w:tc>
      </w:tr>
      <w:tr>
        <w:trPr>
          <w:trHeight w:val="219" w:hRule="exact"/>
        </w:trPr>
        <w:tc>
          <w:tcPr>
            <w:tcW w:w="3346" w:type="dxa"/>
            <w:vMerge/>
            <w:tcBorders>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50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3" w:right="0"/>
              <w:jc w:val="center"/>
              <w:rPr>
                <w:rFonts w:ascii="Arial" w:hAnsi="Arial" w:cs="Arial" w:eastAsia="Arial" w:hint="default"/>
                <w:sz w:val="15"/>
                <w:szCs w:val="15"/>
              </w:rPr>
            </w:pPr>
            <w:r>
              <w:rPr>
                <w:rFonts w:ascii="Arial" w:hAnsi="Arial" w:cs="Arial" w:eastAsia="Arial" w:hint="default"/>
                <w:sz w:val="15"/>
                <w:szCs w:val="15"/>
              </w:rPr>
              <w:t>(</w:t>
            </w:r>
            <w:r>
              <w:rPr>
                <w:rFonts w:ascii="宋体" w:hAnsi="宋体" w:cs="宋体" w:eastAsia="宋体" w:hint="default"/>
                <w:sz w:val="15"/>
                <w:szCs w:val="15"/>
              </w:rPr>
              <w:t>人民币千元</w:t>
            </w:r>
            <w:r>
              <w:rPr>
                <w:rFonts w:ascii="Arial" w:hAnsi="Arial" w:cs="Arial" w:eastAsia="Arial" w:hint="default"/>
                <w:sz w:val="15"/>
                <w:szCs w:val="15"/>
              </w:rPr>
              <w:t>)</w:t>
            </w:r>
          </w:p>
        </w:tc>
      </w:tr>
      <w:tr>
        <w:trPr>
          <w:trHeight w:val="218"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0" w:right="0"/>
              <w:jc w:val="left"/>
              <w:rPr>
                <w:rFonts w:ascii="黑体" w:hAnsi="黑体" w:cs="黑体" w:eastAsia="黑体" w:hint="default"/>
                <w:sz w:val="15"/>
                <w:szCs w:val="15"/>
              </w:rPr>
            </w:pPr>
            <w:r>
              <w:rPr>
                <w:rFonts w:ascii="黑体" w:hAnsi="黑体" w:cs="黑体" w:eastAsia="黑体" w:hint="default"/>
                <w:sz w:val="15"/>
                <w:szCs w:val="15"/>
              </w:rPr>
              <w:t>一、营业收入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2"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.29</w:t>
            </w:r>
            <w:r>
              <w:rPr>
                <w:rFonts w:ascii="宋体" w:hAnsi="宋体" w:cs="宋体" w:eastAsia="宋体" w:hint="default"/>
                <w:sz w:val="15"/>
                <w:szCs w:val="15"/>
              </w:rPr>
              <w:t>、十三</w:t>
            </w:r>
            <w:r>
              <w:rPr>
                <w:rFonts w:ascii="Arial" w:hAnsi="Arial" w:cs="Arial" w:eastAsia="Arial" w:hint="default"/>
                <w:sz w:val="15"/>
                <w:szCs w:val="15"/>
              </w:rPr>
              <w:t>.3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70"/>
              <w:jc w:val="right"/>
              <w:rPr>
                <w:rFonts w:ascii="Arial" w:hAnsi="Arial" w:cs="Arial" w:eastAsia="Arial" w:hint="default"/>
                <w:sz w:val="15"/>
                <w:szCs w:val="15"/>
              </w:rPr>
            </w:pPr>
            <w:r>
              <w:rPr>
                <w:rFonts w:ascii="Arial"/>
                <w:spacing w:val="-1"/>
                <w:sz w:val="15"/>
              </w:rPr>
              <w:t>49,896,709</w:t>
            </w:r>
            <w:r>
              <w:rPr>
                <w:rFonts w:ascii="Arial"/>
                <w:sz w:val="15"/>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40,152,371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35,358,227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31,195,679</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325"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36"/>
                <w:sz w:val="15"/>
                <w:szCs w:val="15"/>
              </w:rPr>
              <w:t> </w:t>
            </w:r>
            <w:r>
              <w:rPr>
                <w:rFonts w:ascii="宋体" w:hAnsi="宋体" w:cs="宋体" w:eastAsia="宋体" w:hint="default"/>
                <w:position w:val="1"/>
                <w:sz w:val="15"/>
                <w:szCs w:val="15"/>
              </w:rPr>
              <w:t>营业成本</w:t>
            </w:r>
            <w:r>
              <w:rPr>
                <w:rFonts w:ascii="宋体" w:hAnsi="宋体" w:cs="宋体" w:eastAsia="宋体" w:hint="default"/>
                <w:sz w:val="15"/>
                <w:szCs w:val="15"/>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2"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.29</w:t>
            </w:r>
            <w:r>
              <w:rPr>
                <w:rFonts w:ascii="宋体" w:hAnsi="宋体" w:cs="宋体" w:eastAsia="宋体" w:hint="default"/>
                <w:sz w:val="15"/>
                <w:szCs w:val="15"/>
              </w:rPr>
              <w:t>、十三</w:t>
            </w:r>
            <w:r>
              <w:rPr>
                <w:rFonts w:ascii="Arial" w:hAnsi="Arial" w:cs="Arial" w:eastAsia="Arial" w:hint="default"/>
                <w:sz w:val="15"/>
                <w:szCs w:val="15"/>
              </w:rPr>
              <w:t>.3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
              <w:jc w:val="right"/>
              <w:rPr>
                <w:rFonts w:ascii="Arial" w:hAnsi="Arial" w:cs="Arial" w:eastAsia="Arial" w:hint="default"/>
                <w:sz w:val="15"/>
                <w:szCs w:val="15"/>
              </w:rPr>
            </w:pPr>
            <w:r>
              <w:rPr>
                <w:rFonts w:ascii="Arial"/>
                <w:spacing w:val="-1"/>
                <w:sz w:val="15"/>
              </w:rPr>
              <w:t>(41,334,756)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(34,346,740)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(32,953,737)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(29,292,272)</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76" w:lineRule="exact"/>
              <w:ind w:left="666"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(203,491)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(154,455)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(46,329)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(34,171)</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666"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(4,780,468)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(2,985,538)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(498,453)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(361,172)</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666"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9"/>
              <w:jc w:val="right"/>
              <w:rPr>
                <w:rFonts w:ascii="Arial" w:hAnsi="Arial" w:cs="Arial" w:eastAsia="Arial" w:hint="default"/>
                <w:sz w:val="15"/>
                <w:szCs w:val="15"/>
              </w:rPr>
            </w:pPr>
            <w:r>
              <w:rPr>
                <w:rFonts w:ascii="Arial"/>
                <w:spacing w:val="-1"/>
                <w:sz w:val="15"/>
              </w:rPr>
              <w:t>(784,521)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9"/>
              <w:jc w:val="right"/>
              <w:rPr>
                <w:rFonts w:ascii="Arial" w:hAnsi="Arial" w:cs="Arial" w:eastAsia="Arial" w:hint="default"/>
                <w:sz w:val="15"/>
                <w:szCs w:val="15"/>
              </w:rPr>
            </w:pPr>
            <w:r>
              <w:rPr>
                <w:rFonts w:ascii="Arial"/>
                <w:spacing w:val="-1"/>
                <w:sz w:val="15"/>
              </w:rPr>
              <w:t>(493,581)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9"/>
              <w:jc w:val="right"/>
              <w:rPr>
                <w:rFonts w:ascii="Arial" w:hAnsi="Arial" w:cs="Arial" w:eastAsia="Arial" w:hint="default"/>
                <w:sz w:val="15"/>
                <w:szCs w:val="15"/>
              </w:rPr>
            </w:pPr>
            <w:r>
              <w:rPr>
                <w:rFonts w:ascii="Arial"/>
                <w:spacing w:val="-1"/>
                <w:sz w:val="15"/>
              </w:rPr>
              <w:t>(273,757)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9"/>
              <w:jc w:val="right"/>
              <w:rPr>
                <w:rFonts w:ascii="Arial" w:hAnsi="Arial" w:cs="Arial" w:eastAsia="Arial" w:hint="default"/>
                <w:sz w:val="15"/>
                <w:szCs w:val="15"/>
              </w:rPr>
            </w:pPr>
            <w:r>
              <w:rPr>
                <w:rFonts w:ascii="Arial"/>
                <w:spacing w:val="-1"/>
                <w:sz w:val="15"/>
              </w:rPr>
              <w:t>(199,039)</w:t>
            </w:r>
          </w:p>
        </w:tc>
      </w:tr>
      <w:tr>
        <w:trPr>
          <w:trHeight w:val="218"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666" w:right="0"/>
              <w:jc w:val="left"/>
              <w:rPr>
                <w:rFonts w:ascii="宋体" w:hAnsi="宋体" w:cs="宋体" w:eastAsia="宋体" w:hint="default"/>
                <w:sz w:val="15"/>
                <w:szCs w:val="15"/>
              </w:rPr>
            </w:pPr>
            <w:r>
              <w:rPr>
                <w:rFonts w:ascii="宋体" w:hAnsi="宋体" w:cs="宋体" w:eastAsia="宋体" w:hint="default"/>
                <w:sz w:val="15"/>
                <w:szCs w:val="15"/>
              </w:rPr>
              <w:t>财务收入</w:t>
            </w:r>
            <w:r>
              <w:rPr>
                <w:rFonts w:ascii="Arial" w:hAnsi="Arial" w:cs="Arial" w:eastAsia="Arial" w:hint="default"/>
                <w:sz w:val="15"/>
                <w:szCs w:val="15"/>
              </w:rPr>
              <w:t>-</w:t>
            </w:r>
            <w:r>
              <w:rPr>
                <w:rFonts w:ascii="宋体" w:hAnsi="宋体" w:cs="宋体" w:eastAsia="宋体" w:hint="default"/>
                <w:sz w:val="15"/>
                <w:szCs w:val="15"/>
              </w:rPr>
              <w:t>净额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.31</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223,290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88,162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301,247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77,777</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666" w:right="0"/>
              <w:jc w:val="left"/>
              <w:rPr>
                <w:rFonts w:ascii="宋体" w:hAnsi="宋体" w:cs="宋体" w:eastAsia="宋体" w:hint="default"/>
                <w:sz w:val="15"/>
                <w:szCs w:val="15"/>
              </w:rPr>
            </w:pPr>
            <w:r>
              <w:rPr>
                <w:rFonts w:ascii="宋体" w:hAnsi="宋体" w:cs="宋体" w:eastAsia="宋体" w:hint="default"/>
                <w:sz w:val="15"/>
                <w:szCs w:val="15"/>
              </w:rPr>
              <w:t>资产减值</w:t>
            </w:r>
            <w:r>
              <w:rPr>
                <w:rFonts w:ascii="Arial" w:hAnsi="Arial" w:cs="Arial" w:eastAsia="Arial" w:hint="default"/>
                <w:sz w:val="15"/>
                <w:szCs w:val="15"/>
              </w:rPr>
              <w:t>(</w:t>
            </w:r>
            <w:r>
              <w:rPr>
                <w:rFonts w:ascii="宋体" w:hAnsi="宋体" w:cs="宋体" w:eastAsia="宋体" w:hint="default"/>
                <w:sz w:val="15"/>
                <w:szCs w:val="15"/>
              </w:rPr>
              <w:t>损失</w:t>
            </w:r>
            <w:r>
              <w:rPr>
                <w:rFonts w:ascii="Arial" w:hAnsi="Arial" w:cs="Arial" w:eastAsia="Arial" w:hint="default"/>
                <w:sz w:val="15"/>
                <w:szCs w:val="15"/>
              </w:rPr>
              <w:t>)/</w:t>
            </w:r>
            <w:r>
              <w:rPr>
                <w:rFonts w:ascii="宋体" w:hAnsi="宋体" w:cs="宋体" w:eastAsia="宋体" w:hint="default"/>
                <w:sz w:val="15"/>
                <w:szCs w:val="15"/>
              </w:rPr>
              <w:t>收益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.32</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(52,389)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(10,159)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(10,997)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spacing w:val="-1"/>
                <w:sz w:val="15"/>
              </w:rPr>
              <w:t>19,034</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0" w:right="0"/>
              <w:jc w:val="left"/>
              <w:rPr>
                <w:rFonts w:ascii="黑体" w:hAnsi="黑体" w:cs="黑体" w:eastAsia="黑体" w:hint="default"/>
                <w:sz w:val="15"/>
                <w:szCs w:val="15"/>
              </w:rPr>
            </w:pPr>
            <w:r>
              <w:rPr>
                <w:rFonts w:ascii="黑体" w:hAnsi="黑体" w:cs="黑体" w:eastAsia="黑体" w:hint="default"/>
                <w:sz w:val="15"/>
                <w:szCs w:val="15"/>
              </w:rPr>
              <w:t>二、营业利润</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2,964,374</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69"/>
              <w:jc w:val="right"/>
              <w:rPr>
                <w:rFonts w:ascii="Arial" w:hAnsi="Arial" w:cs="Arial" w:eastAsia="Arial" w:hint="default"/>
                <w:sz w:val="15"/>
                <w:szCs w:val="15"/>
              </w:rPr>
            </w:pPr>
            <w:r>
              <w:rPr>
                <w:rFonts w:ascii="Arial"/>
                <w:spacing w:val="-1"/>
                <w:sz w:val="15"/>
              </w:rPr>
              <w:t>2,250,060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71"/>
              <w:jc w:val="right"/>
              <w:rPr>
                <w:rFonts w:ascii="Arial" w:hAnsi="Arial" w:cs="Arial" w:eastAsia="Arial" w:hint="default"/>
                <w:sz w:val="15"/>
                <w:szCs w:val="15"/>
              </w:rPr>
            </w:pPr>
            <w:r>
              <w:rPr>
                <w:rFonts w:ascii="Arial"/>
                <w:spacing w:val="-1"/>
                <w:sz w:val="15"/>
              </w:rPr>
              <w:t>1,876,201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71"/>
              <w:jc w:val="right"/>
              <w:rPr>
                <w:rFonts w:ascii="Arial" w:hAnsi="Arial" w:cs="Arial" w:eastAsia="Arial" w:hint="default"/>
                <w:sz w:val="15"/>
                <w:szCs w:val="15"/>
              </w:rPr>
            </w:pPr>
            <w:r>
              <w:rPr>
                <w:rFonts w:ascii="Arial"/>
                <w:spacing w:val="-1"/>
                <w:sz w:val="15"/>
              </w:rPr>
              <w:t>1,405,836</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25" w:right="0"/>
              <w:jc w:val="left"/>
              <w:rPr>
                <w:rFonts w:ascii="宋体" w:hAnsi="宋体" w:cs="宋体" w:eastAsia="宋体" w:hint="default"/>
                <w:sz w:val="15"/>
                <w:szCs w:val="15"/>
              </w:rPr>
            </w:pPr>
            <w:r>
              <w:rPr>
                <w:rFonts w:ascii="宋体" w:hAnsi="宋体" w:cs="宋体" w:eastAsia="宋体" w:hint="default"/>
                <w:sz w:val="15"/>
                <w:szCs w:val="15"/>
              </w:rPr>
              <w:t>加：</w:t>
            </w:r>
            <w:r>
              <w:rPr>
                <w:rFonts w:ascii="宋体" w:hAnsi="宋体" w:cs="宋体" w:eastAsia="宋体" w:hint="default"/>
                <w:spacing w:val="-36"/>
                <w:sz w:val="15"/>
                <w:szCs w:val="15"/>
              </w:rPr>
              <w:t> </w:t>
            </w:r>
            <w:r>
              <w:rPr>
                <w:rFonts w:ascii="宋体" w:hAnsi="宋体" w:cs="宋体" w:eastAsia="宋体" w:hint="default"/>
                <w:position w:val="1"/>
                <w:sz w:val="15"/>
                <w:szCs w:val="15"/>
              </w:rPr>
              <w:t>营业外收入</w:t>
            </w:r>
            <w:r>
              <w:rPr>
                <w:rFonts w:ascii="宋体" w:hAnsi="宋体" w:cs="宋体" w:eastAsia="宋体" w:hint="default"/>
                <w:sz w:val="15"/>
                <w:szCs w:val="15"/>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70"/>
              <w:jc w:val="right"/>
              <w:rPr>
                <w:rFonts w:ascii="Arial" w:hAnsi="Arial" w:cs="Arial" w:eastAsia="Arial" w:hint="default"/>
                <w:sz w:val="15"/>
                <w:szCs w:val="15"/>
              </w:rPr>
            </w:pPr>
            <w:r>
              <w:rPr>
                <w:rFonts w:ascii="Arial"/>
                <w:spacing w:val="-1"/>
                <w:sz w:val="15"/>
              </w:rPr>
              <w:t>45,746</w:t>
            </w:r>
            <w:r>
              <w:rPr>
                <w:rFonts w:ascii="Arial"/>
                <w:sz w:val="15"/>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35,495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10,139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8,605</w:t>
            </w:r>
          </w:p>
        </w:tc>
      </w:tr>
      <w:tr>
        <w:trPr>
          <w:trHeight w:val="218"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325"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36"/>
                <w:sz w:val="15"/>
                <w:szCs w:val="15"/>
              </w:rPr>
              <w:t> </w:t>
            </w:r>
            <w:r>
              <w:rPr>
                <w:rFonts w:ascii="宋体" w:hAnsi="宋体" w:cs="宋体" w:eastAsia="宋体" w:hint="default"/>
                <w:position w:val="1"/>
                <w:sz w:val="15"/>
                <w:szCs w:val="15"/>
              </w:rPr>
              <w:t>营业外支出</w:t>
            </w:r>
            <w:r>
              <w:rPr>
                <w:rFonts w:ascii="宋体" w:hAnsi="宋体" w:cs="宋体" w:eastAsia="宋体" w:hint="default"/>
                <w:sz w:val="15"/>
                <w:szCs w:val="15"/>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.33</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(59,247)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(44,197)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(26,512)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Arial" w:hAnsi="Arial" w:cs="Arial" w:eastAsia="Arial" w:hint="default"/>
                <w:sz w:val="15"/>
                <w:szCs w:val="15"/>
              </w:rPr>
            </w:pPr>
            <w:r>
              <w:rPr>
                <w:rFonts w:ascii="Arial"/>
                <w:spacing w:val="-1"/>
                <w:sz w:val="15"/>
              </w:rPr>
              <w:t>(20,109)</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right="849"/>
              <w:jc w:val="right"/>
              <w:rPr>
                <w:rFonts w:ascii="宋体" w:hAnsi="宋体" w:cs="宋体" w:eastAsia="宋体" w:hint="default"/>
                <w:sz w:val="15"/>
                <w:szCs w:val="15"/>
              </w:rPr>
            </w:pPr>
            <w:r>
              <w:rPr>
                <w:rFonts w:ascii="宋体" w:hAnsi="宋体" w:cs="宋体" w:eastAsia="宋体" w:hint="default"/>
                <w:spacing w:val="-1"/>
                <w:sz w:val="15"/>
                <w:szCs w:val="15"/>
              </w:rPr>
              <w:t>其中：非流动资产处置损失</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(1,160)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(275)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z w:val="15"/>
              </w:rPr>
              <w:t>(8)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
              <w:jc w:val="right"/>
              <w:rPr>
                <w:rFonts w:ascii="Arial" w:hAnsi="Arial" w:cs="Arial" w:eastAsia="Arial" w:hint="default"/>
                <w:sz w:val="15"/>
                <w:szCs w:val="15"/>
              </w:rPr>
            </w:pPr>
            <w:r>
              <w:rPr>
                <w:rFonts w:ascii="Arial"/>
                <w:sz w:val="15"/>
              </w:rPr>
              <w:t>(8)</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0" w:right="0"/>
              <w:jc w:val="left"/>
              <w:rPr>
                <w:rFonts w:ascii="黑体" w:hAnsi="黑体" w:cs="黑体" w:eastAsia="黑体" w:hint="default"/>
                <w:sz w:val="15"/>
                <w:szCs w:val="15"/>
              </w:rPr>
            </w:pPr>
            <w:r>
              <w:rPr>
                <w:rFonts w:ascii="黑体" w:hAnsi="黑体" w:cs="黑体" w:eastAsia="黑体" w:hint="default"/>
                <w:sz w:val="15"/>
                <w:szCs w:val="15"/>
              </w:rPr>
              <w:t>三、利润总额</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spacing w:val="-1"/>
                <w:sz w:val="15"/>
              </w:rPr>
              <w:t>2,950,873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0"/>
              <w:jc w:val="right"/>
              <w:rPr>
                <w:rFonts w:ascii="Arial" w:hAnsi="Arial" w:cs="Arial" w:eastAsia="Arial" w:hint="default"/>
                <w:sz w:val="15"/>
                <w:szCs w:val="15"/>
              </w:rPr>
            </w:pPr>
            <w:r>
              <w:rPr>
                <w:rFonts w:ascii="Arial"/>
                <w:spacing w:val="-1"/>
                <w:sz w:val="15"/>
              </w:rPr>
              <w:t>2,241,358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spacing w:val="-1"/>
                <w:sz w:val="15"/>
              </w:rPr>
              <w:t>1,859,828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spacing w:val="-1"/>
                <w:sz w:val="15"/>
              </w:rPr>
              <w:t>1,394,332</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325" w:right="0"/>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36"/>
                <w:sz w:val="15"/>
                <w:szCs w:val="15"/>
              </w:rPr>
              <w:t> </w:t>
            </w:r>
            <w:r>
              <w:rPr>
                <w:rFonts w:ascii="宋体" w:hAnsi="宋体" w:cs="宋体" w:eastAsia="宋体" w:hint="default"/>
                <w:sz w:val="15"/>
                <w:szCs w:val="15"/>
              </w:rPr>
              <w:t>所得税费用</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.34</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(690,945)</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(718,190)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(455,829)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Arial" w:hAnsi="Arial" w:cs="Arial" w:eastAsia="Arial" w:hint="default"/>
                <w:sz w:val="15"/>
                <w:szCs w:val="15"/>
              </w:rPr>
            </w:pPr>
            <w:r>
              <w:rPr>
                <w:rFonts w:ascii="Arial"/>
                <w:spacing w:val="-1"/>
                <w:sz w:val="15"/>
              </w:rPr>
              <w:t>(465,812)</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8"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0" w:right="0"/>
              <w:jc w:val="left"/>
              <w:rPr>
                <w:rFonts w:ascii="黑体" w:hAnsi="黑体" w:cs="黑体" w:eastAsia="黑体" w:hint="default"/>
                <w:sz w:val="15"/>
                <w:szCs w:val="15"/>
              </w:rPr>
            </w:pPr>
            <w:r>
              <w:rPr>
                <w:rFonts w:ascii="黑体" w:hAnsi="黑体" w:cs="黑体" w:eastAsia="黑体" w:hint="default"/>
                <w:sz w:val="15"/>
                <w:szCs w:val="15"/>
              </w:rPr>
              <w:t>四、净利润</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2,259,928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1,523,168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71"/>
              <w:jc w:val="right"/>
              <w:rPr>
                <w:rFonts w:ascii="Arial" w:hAnsi="Arial" w:cs="Arial" w:eastAsia="Arial" w:hint="default"/>
                <w:sz w:val="15"/>
                <w:szCs w:val="15"/>
              </w:rPr>
            </w:pPr>
            <w:r>
              <w:rPr>
                <w:rFonts w:ascii="Arial"/>
                <w:spacing w:val="-1"/>
                <w:sz w:val="15"/>
              </w:rPr>
              <w:t>1,403,999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928,520</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849"/>
              <w:jc w:val="right"/>
              <w:rPr>
                <w:rFonts w:ascii="宋体" w:hAnsi="宋体" w:cs="宋体" w:eastAsia="宋体" w:hint="default"/>
                <w:sz w:val="15"/>
                <w:szCs w:val="15"/>
              </w:rPr>
            </w:pPr>
            <w:r>
              <w:rPr>
                <w:rFonts w:ascii="宋体" w:hAnsi="宋体" w:cs="宋体" w:eastAsia="宋体" w:hint="default"/>
                <w:spacing w:val="-1"/>
                <w:sz w:val="15"/>
                <w:szCs w:val="15"/>
              </w:rPr>
              <w:t>归属于母公司股东的净利润</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.35</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2,170,189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1,465,426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71"/>
              <w:jc w:val="right"/>
              <w:rPr>
                <w:rFonts w:ascii="Arial" w:hAnsi="Arial" w:cs="Arial" w:eastAsia="Arial" w:hint="default"/>
                <w:sz w:val="15"/>
                <w:szCs w:val="15"/>
              </w:rPr>
            </w:pPr>
            <w:r>
              <w:rPr>
                <w:rFonts w:ascii="Arial"/>
                <w:spacing w:val="-1"/>
                <w:sz w:val="15"/>
              </w:rPr>
              <w:t>1,403,999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9"/>
              <w:jc w:val="right"/>
              <w:rPr>
                <w:rFonts w:ascii="Arial" w:hAnsi="Arial" w:cs="Arial" w:eastAsia="Arial" w:hint="default"/>
                <w:sz w:val="15"/>
                <w:szCs w:val="15"/>
              </w:rPr>
            </w:pPr>
            <w:r>
              <w:rPr>
                <w:rFonts w:ascii="Arial"/>
                <w:spacing w:val="-1"/>
                <w:sz w:val="15"/>
              </w:rPr>
              <w:t>928,520</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666"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0"/>
              <w:jc w:val="right"/>
              <w:rPr>
                <w:rFonts w:ascii="Arial" w:hAnsi="Arial" w:cs="Arial" w:eastAsia="Arial" w:hint="default"/>
                <w:sz w:val="15"/>
                <w:szCs w:val="15"/>
              </w:rPr>
            </w:pPr>
            <w:r>
              <w:rPr>
                <w:rFonts w:ascii="Arial"/>
                <w:spacing w:val="-1"/>
                <w:sz w:val="15"/>
              </w:rPr>
              <w:t>89,739</w:t>
            </w:r>
            <w:r>
              <w:rPr>
                <w:rFonts w:ascii="Arial"/>
                <w:sz w:val="15"/>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spacing w:val="-1"/>
                <w:sz w:val="15"/>
              </w:rPr>
              <w:t>57,742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9"/>
              <w:jc w:val="right"/>
              <w:rPr>
                <w:rFonts w:ascii="Arial" w:hAnsi="Arial" w:cs="Arial" w:eastAsia="Arial" w:hint="default"/>
                <w:sz w:val="15"/>
                <w:szCs w:val="15"/>
              </w:rPr>
            </w:pPr>
            <w:r>
              <w:rPr>
                <w:rFonts w:ascii="Arial"/>
                <w:w w:val="100"/>
                <w:sz w:val="15"/>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8"/>
              <w:jc w:val="right"/>
              <w:rPr>
                <w:rFonts w:ascii="Arial" w:hAnsi="Arial" w:cs="Arial" w:eastAsia="Arial" w:hint="default"/>
                <w:sz w:val="15"/>
                <w:szCs w:val="15"/>
              </w:rPr>
            </w:pPr>
            <w:r>
              <w:rPr>
                <w:rFonts w:ascii="Arial"/>
                <w:w w:val="100"/>
                <w:sz w:val="15"/>
              </w:rPr>
              <w:t>-</w:t>
            </w: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20" w:right="0"/>
              <w:jc w:val="left"/>
              <w:rPr>
                <w:rFonts w:ascii="黑体" w:hAnsi="黑体" w:cs="黑体" w:eastAsia="黑体" w:hint="default"/>
                <w:sz w:val="15"/>
                <w:szCs w:val="15"/>
              </w:rPr>
            </w:pPr>
            <w:r>
              <w:rPr>
                <w:rFonts w:ascii="黑体" w:hAnsi="黑体" w:cs="黑体" w:eastAsia="黑体" w:hint="default"/>
                <w:sz w:val="15"/>
                <w:szCs w:val="15"/>
              </w:rPr>
              <w:t>五、每股收益</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666" w:right="0"/>
              <w:jc w:val="left"/>
              <w:rPr>
                <w:rFonts w:ascii="宋体" w:hAnsi="宋体" w:cs="宋体" w:eastAsia="宋体" w:hint="default"/>
                <w:sz w:val="15"/>
                <w:szCs w:val="15"/>
              </w:rPr>
            </w:pPr>
            <w:r>
              <w:rPr>
                <w:rFonts w:ascii="宋体" w:hAnsi="宋体" w:cs="宋体" w:eastAsia="宋体" w:hint="default"/>
                <w:sz w:val="15"/>
                <w:szCs w:val="15"/>
              </w:rPr>
              <w:t>基本每股收益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.35</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7"/>
              <w:jc w:val="right"/>
              <w:rPr>
                <w:rFonts w:ascii="宋体" w:hAnsi="宋体" w:cs="宋体" w:eastAsia="宋体" w:hint="default"/>
                <w:sz w:val="15"/>
                <w:szCs w:val="15"/>
              </w:rPr>
            </w:pPr>
            <w:r>
              <w:rPr>
                <w:rFonts w:ascii="宋体" w:hAnsi="宋体" w:cs="宋体" w:eastAsia="宋体" w:hint="default"/>
                <w:spacing w:val="-1"/>
                <w:sz w:val="15"/>
                <w:szCs w:val="15"/>
              </w:rPr>
              <w:t>人民币</w:t>
            </w:r>
            <w:r>
              <w:rPr>
                <w:rFonts w:ascii="Arial" w:hAnsi="Arial" w:cs="Arial" w:eastAsia="Arial" w:hint="default"/>
                <w:spacing w:val="-1"/>
                <w:sz w:val="15"/>
                <w:szCs w:val="15"/>
              </w:rPr>
              <w:t>0.74</w:t>
            </w:r>
            <w:r>
              <w:rPr>
                <w:rFonts w:ascii="宋体" w:hAnsi="宋体" w:cs="宋体" w:eastAsia="宋体" w:hint="default"/>
                <w:spacing w:val="-1"/>
                <w:sz w:val="15"/>
                <w:szCs w:val="15"/>
              </w:rPr>
              <w:t>元</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7"/>
              <w:jc w:val="right"/>
              <w:rPr>
                <w:rFonts w:ascii="宋体" w:hAnsi="宋体" w:cs="宋体" w:eastAsia="宋体" w:hint="default"/>
                <w:sz w:val="15"/>
                <w:szCs w:val="15"/>
              </w:rPr>
            </w:pPr>
            <w:r>
              <w:rPr>
                <w:rFonts w:ascii="宋体" w:hAnsi="宋体" w:cs="宋体" w:eastAsia="宋体" w:hint="default"/>
                <w:spacing w:val="-1"/>
                <w:sz w:val="15"/>
                <w:szCs w:val="15"/>
              </w:rPr>
              <w:t>人民币</w:t>
            </w:r>
            <w:r>
              <w:rPr>
                <w:rFonts w:ascii="Arial" w:hAnsi="Arial" w:cs="Arial" w:eastAsia="Arial" w:hint="default"/>
                <w:spacing w:val="-1"/>
                <w:sz w:val="15"/>
                <w:szCs w:val="15"/>
              </w:rPr>
              <w:t>0.51</w:t>
            </w:r>
            <w:r>
              <w:rPr>
                <w:rFonts w:ascii="宋体" w:hAnsi="宋体" w:cs="宋体" w:eastAsia="宋体" w:hint="default"/>
                <w:spacing w:val="-1"/>
                <w:sz w:val="15"/>
                <w:szCs w:val="15"/>
              </w:rPr>
              <w:t>元</w:t>
            </w: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8" w:hRule="exact"/>
        </w:trPr>
        <w:tc>
          <w:tcPr>
            <w:tcW w:w="3346"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666" w:right="0"/>
              <w:jc w:val="left"/>
              <w:rPr>
                <w:rFonts w:ascii="宋体" w:hAnsi="宋体" w:cs="宋体" w:eastAsia="宋体" w:hint="default"/>
                <w:sz w:val="15"/>
                <w:szCs w:val="15"/>
              </w:rPr>
            </w:pPr>
            <w:r>
              <w:rPr>
                <w:rFonts w:ascii="宋体" w:hAnsi="宋体" w:cs="宋体" w:eastAsia="宋体" w:hint="default"/>
                <w:sz w:val="15"/>
                <w:szCs w:val="15"/>
              </w:rPr>
              <w:t>稀释每股收益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3" w:right="0"/>
              <w:jc w:val="center"/>
              <w:rPr>
                <w:rFonts w:ascii="Arial" w:hAnsi="Arial" w:cs="Arial" w:eastAsia="Arial" w:hint="default"/>
                <w:sz w:val="15"/>
                <w:szCs w:val="15"/>
              </w:rPr>
            </w:pPr>
            <w:r>
              <w:rPr>
                <w:rFonts w:ascii="宋体" w:hAnsi="宋体" w:cs="宋体" w:eastAsia="宋体" w:hint="default"/>
                <w:sz w:val="15"/>
                <w:szCs w:val="15"/>
              </w:rPr>
              <w:t>七</w:t>
            </w:r>
            <w:r>
              <w:rPr>
                <w:rFonts w:ascii="Arial" w:hAnsi="Arial" w:cs="Arial" w:eastAsia="Arial" w:hint="default"/>
                <w:sz w:val="15"/>
                <w:szCs w:val="15"/>
              </w:rPr>
              <w:t>.35</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7"/>
              <w:jc w:val="right"/>
              <w:rPr>
                <w:rFonts w:ascii="宋体" w:hAnsi="宋体" w:cs="宋体" w:eastAsia="宋体" w:hint="default"/>
                <w:sz w:val="15"/>
                <w:szCs w:val="15"/>
              </w:rPr>
            </w:pPr>
            <w:r>
              <w:rPr>
                <w:rFonts w:ascii="宋体" w:hAnsi="宋体" w:cs="宋体" w:eastAsia="宋体" w:hint="default"/>
                <w:spacing w:val="-1"/>
                <w:sz w:val="15"/>
                <w:szCs w:val="15"/>
              </w:rPr>
              <w:t>人民币</w:t>
            </w:r>
            <w:r>
              <w:rPr>
                <w:rFonts w:ascii="Arial" w:hAnsi="Arial" w:cs="Arial" w:eastAsia="Arial" w:hint="default"/>
                <w:spacing w:val="-1"/>
                <w:sz w:val="15"/>
                <w:szCs w:val="15"/>
              </w:rPr>
              <w:t>0.74</w:t>
            </w:r>
            <w:r>
              <w:rPr>
                <w:rFonts w:ascii="宋体" w:hAnsi="宋体" w:cs="宋体" w:eastAsia="宋体" w:hint="default"/>
                <w:spacing w:val="-1"/>
                <w:sz w:val="15"/>
                <w:szCs w:val="15"/>
              </w:rPr>
              <w:t>元</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7"/>
              <w:jc w:val="right"/>
              <w:rPr>
                <w:rFonts w:ascii="宋体" w:hAnsi="宋体" w:cs="宋体" w:eastAsia="宋体" w:hint="default"/>
                <w:sz w:val="15"/>
                <w:szCs w:val="15"/>
              </w:rPr>
            </w:pPr>
            <w:r>
              <w:rPr>
                <w:rFonts w:ascii="宋体" w:hAnsi="宋体" w:cs="宋体" w:eastAsia="宋体" w:hint="default"/>
                <w:spacing w:val="-1"/>
                <w:sz w:val="15"/>
                <w:szCs w:val="15"/>
              </w:rPr>
              <w:t>人民币</w:t>
            </w:r>
            <w:r>
              <w:rPr>
                <w:rFonts w:ascii="Arial" w:hAnsi="Arial" w:cs="Arial" w:eastAsia="Arial" w:hint="default"/>
                <w:spacing w:val="-1"/>
                <w:sz w:val="15"/>
                <w:szCs w:val="15"/>
              </w:rPr>
              <w:t>0.51</w:t>
            </w:r>
            <w:r>
              <w:rPr>
                <w:rFonts w:ascii="宋体" w:hAnsi="宋体" w:cs="宋体" w:eastAsia="宋体" w:hint="default"/>
                <w:spacing w:val="-1"/>
                <w:sz w:val="15"/>
                <w:szCs w:val="15"/>
              </w:rPr>
              <w:t>元</w:t>
            </w: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r>
        <w:trPr>
          <w:trHeight w:val="219" w:hRule="exact"/>
        </w:trPr>
        <w:tc>
          <w:tcPr>
            <w:tcW w:w="3346"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2"/>
          <w:szCs w:val="12"/>
        </w:rPr>
      </w:pPr>
    </w:p>
    <w:p>
      <w:pPr>
        <w:spacing w:before="54"/>
        <w:ind w:left="178" w:right="100" w:firstLine="0"/>
        <w:jc w:val="left"/>
        <w:rPr>
          <w:rFonts w:ascii="黑体" w:hAnsi="黑体" w:cs="黑体" w:eastAsia="黑体" w:hint="default"/>
          <w:sz w:val="15"/>
          <w:szCs w:val="15"/>
        </w:rPr>
      </w:pPr>
      <w:r>
        <w:rPr>
          <w:rFonts w:ascii="黑体" w:hAnsi="黑体" w:cs="黑体" w:eastAsia="黑体" w:hint="default"/>
          <w:sz w:val="15"/>
          <w:szCs w:val="15"/>
        </w:rPr>
        <w:t>后附财务报表附注为财务报表的组成部分。</w:t>
      </w:r>
    </w:p>
    <w:p>
      <w:pPr>
        <w:spacing w:line="240" w:lineRule="auto" w:before="6"/>
        <w:rPr>
          <w:rFonts w:ascii="黑体" w:hAnsi="黑体" w:cs="黑体" w:eastAsia="黑体" w:hint="default"/>
          <w:sz w:val="16"/>
          <w:szCs w:val="16"/>
        </w:rPr>
      </w:pPr>
    </w:p>
    <w:p>
      <w:pPr>
        <w:tabs>
          <w:tab w:pos="2912" w:val="left" w:leader="none"/>
          <w:tab w:pos="6171" w:val="left" w:leader="none"/>
        </w:tabs>
        <w:spacing w:before="0"/>
        <w:ind w:left="178" w:right="100" w:firstLine="0"/>
        <w:jc w:val="left"/>
        <w:rPr>
          <w:rFonts w:ascii="黑体" w:hAnsi="黑体" w:cs="黑体" w:eastAsia="黑体" w:hint="default"/>
          <w:sz w:val="15"/>
          <w:szCs w:val="15"/>
        </w:rPr>
      </w:pPr>
      <w:r>
        <w:rPr>
          <w:rFonts w:ascii="黑体" w:hAnsi="黑体" w:cs="黑体" w:eastAsia="黑体" w:hint="default"/>
          <w:sz w:val="15"/>
          <w:szCs w:val="15"/>
        </w:rPr>
        <w:t>企业负责人：</w:t>
      </w:r>
      <w:r>
        <w:rPr>
          <w:rFonts w:ascii="黑体" w:hAnsi="黑体" w:cs="黑体" w:eastAsia="黑体" w:hint="default"/>
          <w:spacing w:val="1"/>
          <w:sz w:val="15"/>
          <w:szCs w:val="15"/>
        </w:rPr>
        <w:t> </w:t>
      </w:r>
      <w:r>
        <w:rPr>
          <w:rFonts w:ascii="黑体" w:hAnsi="黑体" w:cs="黑体" w:eastAsia="黑体" w:hint="default"/>
          <w:sz w:val="15"/>
          <w:szCs w:val="15"/>
        </w:rPr>
        <w:t>张近东</w:t>
        <w:tab/>
        <w:t>主管会计工作的负责人：</w:t>
      </w:r>
      <w:r>
        <w:rPr>
          <w:rFonts w:ascii="黑体" w:hAnsi="黑体" w:cs="黑体" w:eastAsia="黑体" w:hint="default"/>
          <w:spacing w:val="-1"/>
          <w:sz w:val="15"/>
          <w:szCs w:val="15"/>
        </w:rPr>
        <w:t> </w:t>
      </w:r>
      <w:r>
        <w:rPr>
          <w:rFonts w:ascii="黑体" w:hAnsi="黑体" w:cs="黑体" w:eastAsia="黑体" w:hint="default"/>
          <w:sz w:val="15"/>
          <w:szCs w:val="15"/>
        </w:rPr>
        <w:t>朱华</w:t>
        <w:tab/>
        <w:t>会计机构负责人：肖忠祥</w:t>
      </w:r>
    </w:p>
    <w:p>
      <w:pPr>
        <w:spacing w:after="0"/>
        <w:jc w:val="left"/>
        <w:rPr>
          <w:rFonts w:ascii="黑体" w:hAnsi="黑体" w:cs="黑体" w:eastAsia="黑体" w:hint="default"/>
          <w:sz w:val="15"/>
          <w:szCs w:val="15"/>
        </w:rPr>
        <w:sectPr>
          <w:pgSz w:w="11910" w:h="16840"/>
          <w:pgMar w:header="826" w:footer="894" w:top="1100" w:bottom="1100" w:left="1500" w:right="620"/>
        </w:sectPr>
      </w:pPr>
    </w:p>
    <w:p>
      <w:pPr>
        <w:spacing w:line="240" w:lineRule="auto" w:before="3"/>
        <w:rPr>
          <w:rFonts w:ascii="黑体" w:hAnsi="黑体" w:cs="黑体" w:eastAsia="黑体" w:hint="default"/>
          <w:sz w:val="17"/>
          <w:szCs w:val="17"/>
        </w:rPr>
      </w:pPr>
    </w:p>
    <w:p>
      <w:pPr>
        <w:spacing w:before="55"/>
        <w:ind w:left="176" w:right="100" w:firstLine="0"/>
        <w:jc w:val="left"/>
        <w:rPr>
          <w:rFonts w:ascii="黑体" w:hAnsi="黑体" w:cs="黑体" w:eastAsia="黑体" w:hint="default"/>
          <w:sz w:val="15"/>
          <w:szCs w:val="15"/>
        </w:rPr>
      </w:pPr>
      <w:r>
        <w:rPr>
          <w:rFonts w:ascii="黑体" w:hAnsi="黑体" w:cs="黑体" w:eastAsia="黑体" w:hint="default"/>
          <w:sz w:val="15"/>
          <w:szCs w:val="15"/>
        </w:rPr>
        <w:t>苏宁电器股份有限公司</w:t>
      </w:r>
    </w:p>
    <w:p>
      <w:pPr>
        <w:spacing w:line="240" w:lineRule="auto" w:before="3"/>
        <w:rPr>
          <w:rFonts w:ascii="黑体" w:hAnsi="黑体" w:cs="黑体" w:eastAsia="黑体" w:hint="default"/>
          <w:sz w:val="15"/>
          <w:szCs w:val="15"/>
        </w:rPr>
      </w:pPr>
    </w:p>
    <w:p>
      <w:pPr>
        <w:spacing w:line="184" w:lineRule="exact" w:before="0"/>
        <w:ind w:left="177" w:right="4843" w:firstLine="0"/>
        <w:jc w:val="left"/>
        <w:rPr>
          <w:rFonts w:ascii="Arial" w:hAnsi="Arial" w:cs="Arial" w:eastAsia="Arial" w:hint="default"/>
          <w:sz w:val="15"/>
          <w:szCs w:val="15"/>
        </w:rPr>
      </w:pPr>
      <w:r>
        <w:rPr>
          <w:rFonts w:ascii="Arial" w:hAnsi="Arial" w:cs="Arial" w:eastAsia="Arial" w:hint="default"/>
          <w:sz w:val="15"/>
          <w:szCs w:val="15"/>
        </w:rPr>
        <w:t>2008</w:t>
      </w:r>
      <w:r>
        <w:rPr>
          <w:rFonts w:ascii="黑体" w:hAnsi="黑体" w:cs="黑体" w:eastAsia="黑体" w:hint="default"/>
          <w:sz w:val="15"/>
          <w:szCs w:val="15"/>
        </w:rPr>
        <w:t>年度合并及公司现金流量表</w:t>
      </w:r>
      <w:r>
        <w:rPr>
          <w:rFonts w:ascii="黑体" w:hAnsi="黑体" w:cs="黑体" w:eastAsia="黑体" w:hint="default"/>
          <w:spacing w:val="-40"/>
          <w:sz w:val="15"/>
          <w:szCs w:val="15"/>
        </w:rPr>
        <w:t> </w:t>
      </w:r>
      <w:r>
        <w:rPr>
          <w:rFonts w:ascii="黑体" w:hAnsi="黑体" w:cs="黑体" w:eastAsia="黑体" w:hint="default"/>
          <w:spacing w:val="-40"/>
          <w:sz w:val="15"/>
          <w:szCs w:val="15"/>
        </w:rPr>
      </w:r>
      <w:r>
        <w:rPr>
          <w:rFonts w:ascii="Arial" w:hAnsi="Arial" w:cs="Arial" w:eastAsia="Arial" w:hint="default"/>
          <w:sz w:val="15"/>
          <w:szCs w:val="15"/>
        </w:rPr>
        <w:t>(</w:t>
      </w:r>
      <w:r>
        <w:rPr>
          <w:rFonts w:ascii="宋体" w:hAnsi="宋体" w:cs="宋体" w:eastAsia="宋体" w:hint="default"/>
          <w:sz w:val="15"/>
          <w:szCs w:val="15"/>
        </w:rPr>
        <w:t>除特别注明外，金额单位为人民币千元</w:t>
      </w:r>
      <w:r>
        <w:rPr>
          <w:rFonts w:ascii="Arial" w:hAnsi="Arial" w:cs="Arial" w:eastAsia="Arial" w:hint="default"/>
          <w:sz w:val="15"/>
          <w:szCs w:val="15"/>
        </w:rPr>
        <w:t>)</w:t>
      </w:r>
    </w:p>
    <w:p>
      <w:pPr>
        <w:spacing w:line="240" w:lineRule="auto" w:before="4"/>
        <w:rPr>
          <w:rFonts w:ascii="Arial" w:hAnsi="Arial" w:cs="Arial" w:eastAsia="Arial"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3564"/>
        <w:gridCol w:w="893"/>
        <w:gridCol w:w="1254"/>
        <w:gridCol w:w="1255"/>
        <w:gridCol w:w="1295"/>
        <w:gridCol w:w="1254"/>
      </w:tblGrid>
      <w:tr>
        <w:trPr>
          <w:trHeight w:val="374" w:hRule="exact"/>
        </w:trPr>
        <w:tc>
          <w:tcPr>
            <w:tcW w:w="3564" w:type="dxa"/>
            <w:vMerge w:val="restart"/>
            <w:tcBorders>
              <w:top w:val="single" w:sz="6" w:space="0" w:color="000000"/>
              <w:left w:val="single" w:sz="5" w:space="0" w:color="000000"/>
              <w:right w:val="single" w:sz="5" w:space="0" w:color="000000"/>
            </w:tcBorders>
          </w:tcPr>
          <w:p>
            <w:pPr>
              <w:pStyle w:val="TableParagraph"/>
              <w:spacing w:line="240" w:lineRule="auto"/>
              <w:ind w:right="0"/>
              <w:jc w:val="left"/>
              <w:rPr>
                <w:rFonts w:ascii="Arial" w:hAnsi="Arial" w:cs="Arial" w:eastAsia="Arial" w:hint="default"/>
                <w:sz w:val="12"/>
                <w:szCs w:val="12"/>
              </w:rPr>
            </w:pPr>
          </w:p>
          <w:p>
            <w:pPr>
              <w:pStyle w:val="TableParagraph"/>
              <w:spacing w:line="240" w:lineRule="auto"/>
              <w:ind w:right="0"/>
              <w:jc w:val="left"/>
              <w:rPr>
                <w:rFonts w:ascii="Arial" w:hAnsi="Arial" w:cs="Arial" w:eastAsia="Arial" w:hint="default"/>
                <w:sz w:val="12"/>
                <w:szCs w:val="12"/>
              </w:rPr>
            </w:pPr>
          </w:p>
          <w:p>
            <w:pPr>
              <w:pStyle w:val="TableParagraph"/>
              <w:tabs>
                <w:tab w:pos="455" w:val="left" w:leader="none"/>
              </w:tabs>
              <w:spacing w:line="240" w:lineRule="auto" w:before="100"/>
              <w:ind w:left="13" w:right="0"/>
              <w:jc w:val="center"/>
              <w:rPr>
                <w:rFonts w:ascii="黑体" w:hAnsi="黑体" w:cs="黑体" w:eastAsia="黑体" w:hint="default"/>
                <w:sz w:val="12"/>
                <w:szCs w:val="12"/>
              </w:rPr>
            </w:pPr>
            <w:r>
              <w:rPr>
                <w:rFonts w:ascii="黑体" w:hAnsi="黑体" w:cs="黑体" w:eastAsia="黑体" w:hint="default"/>
                <w:w w:val="105"/>
                <w:sz w:val="12"/>
                <w:szCs w:val="12"/>
              </w:rPr>
              <w:t>项</w:t>
              <w:tab/>
              <w:t>目</w:t>
            </w:r>
            <w:r>
              <w:rPr>
                <w:rFonts w:ascii="黑体" w:hAnsi="黑体" w:cs="黑体" w:eastAsia="黑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88"/>
              <w:ind w:left="12" w:right="0"/>
              <w:jc w:val="center"/>
              <w:rPr>
                <w:rFonts w:ascii="黑体" w:hAnsi="黑体" w:cs="黑体" w:eastAsia="黑体" w:hint="default"/>
                <w:sz w:val="12"/>
                <w:szCs w:val="12"/>
              </w:rPr>
            </w:pPr>
            <w:r>
              <w:rPr>
                <w:rFonts w:ascii="黑体" w:hAnsi="黑体" w:cs="黑体" w:eastAsia="黑体" w:hint="default"/>
                <w:w w:val="105"/>
                <w:sz w:val="12"/>
                <w:szCs w:val="12"/>
              </w:rPr>
              <w:t>附注</w:t>
            </w:r>
            <w:r>
              <w:rPr>
                <w:rFonts w:ascii="黑体" w:hAnsi="黑体" w:cs="黑体" w:eastAsia="黑体" w:hint="default"/>
                <w:sz w:val="12"/>
                <w:szCs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76" w:lineRule="auto"/>
              <w:ind w:left="515" w:right="344" w:hanging="158"/>
              <w:jc w:val="left"/>
              <w:rPr>
                <w:rFonts w:ascii="宋体" w:hAnsi="宋体" w:cs="宋体" w:eastAsia="宋体" w:hint="default"/>
                <w:sz w:val="12"/>
                <w:szCs w:val="12"/>
              </w:rPr>
            </w:pPr>
            <w:r>
              <w:rPr>
                <w:rFonts w:ascii="Arial" w:hAnsi="Arial" w:cs="Arial" w:eastAsia="Arial" w:hint="default"/>
                <w:w w:val="105"/>
                <w:sz w:val="12"/>
                <w:szCs w:val="12"/>
              </w:rPr>
              <w:t>2008</w:t>
            </w:r>
            <w:r>
              <w:rPr>
                <w:rFonts w:ascii="宋体" w:hAnsi="宋体" w:cs="宋体" w:eastAsia="宋体" w:hint="default"/>
                <w:w w:val="105"/>
                <w:sz w:val="12"/>
                <w:szCs w:val="12"/>
              </w:rPr>
              <w:t>年度</w:t>
            </w:r>
            <w:r>
              <w:rPr>
                <w:rFonts w:ascii="宋体" w:hAnsi="宋体" w:cs="宋体" w:eastAsia="宋体" w:hint="default"/>
                <w:w w:val="105"/>
                <w:sz w:val="12"/>
                <w:szCs w:val="12"/>
              </w:rPr>
              <w:t> </w:t>
            </w:r>
            <w:r>
              <w:rPr>
                <w:rFonts w:ascii="宋体" w:hAnsi="宋体" w:cs="宋体" w:eastAsia="宋体" w:hint="default"/>
                <w:w w:val="105"/>
                <w:sz w:val="12"/>
                <w:szCs w:val="12"/>
              </w:rPr>
              <w:t>合并</w:t>
            </w:r>
            <w:r>
              <w:rPr>
                <w:rFonts w:ascii="宋体" w:hAnsi="宋体" w:cs="宋体" w:eastAsia="宋体" w:hint="default"/>
                <w:sz w:val="12"/>
                <w:szCs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76" w:lineRule="auto"/>
              <w:ind w:left="515" w:right="346" w:hanging="158"/>
              <w:jc w:val="left"/>
              <w:rPr>
                <w:rFonts w:ascii="宋体" w:hAnsi="宋体" w:cs="宋体" w:eastAsia="宋体" w:hint="default"/>
                <w:sz w:val="12"/>
                <w:szCs w:val="12"/>
              </w:rPr>
            </w:pPr>
            <w:r>
              <w:rPr>
                <w:rFonts w:ascii="Arial" w:hAnsi="Arial" w:cs="Arial" w:eastAsia="Arial" w:hint="default"/>
                <w:w w:val="105"/>
                <w:sz w:val="12"/>
                <w:szCs w:val="12"/>
              </w:rPr>
              <w:t>2007</w:t>
            </w:r>
            <w:r>
              <w:rPr>
                <w:rFonts w:ascii="宋体" w:hAnsi="宋体" w:cs="宋体" w:eastAsia="宋体" w:hint="default"/>
                <w:w w:val="105"/>
                <w:sz w:val="12"/>
                <w:szCs w:val="12"/>
              </w:rPr>
              <w:t>年度</w:t>
            </w:r>
            <w:r>
              <w:rPr>
                <w:rFonts w:ascii="宋体" w:hAnsi="宋体" w:cs="宋体" w:eastAsia="宋体" w:hint="default"/>
                <w:spacing w:val="-1"/>
                <w:w w:val="105"/>
                <w:sz w:val="12"/>
                <w:szCs w:val="12"/>
              </w:rPr>
              <w:t> </w:t>
            </w:r>
            <w:r>
              <w:rPr>
                <w:rFonts w:ascii="宋体" w:hAnsi="宋体" w:cs="宋体" w:eastAsia="宋体" w:hint="default"/>
                <w:w w:val="105"/>
                <w:sz w:val="12"/>
                <w:szCs w:val="12"/>
              </w:rPr>
              <w:t>合并</w:t>
            </w:r>
            <w:r>
              <w:rPr>
                <w:rFonts w:ascii="宋体" w:hAnsi="宋体" w:cs="宋体" w:eastAsia="宋体" w:hint="default"/>
                <w:sz w:val="12"/>
                <w:szCs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61" w:lineRule="auto"/>
              <w:ind w:left="519" w:right="365" w:hanging="141"/>
              <w:jc w:val="left"/>
              <w:rPr>
                <w:rFonts w:ascii="宋体" w:hAnsi="宋体" w:cs="宋体" w:eastAsia="宋体" w:hint="default"/>
                <w:sz w:val="12"/>
                <w:szCs w:val="12"/>
              </w:rPr>
            </w:pPr>
            <w:r>
              <w:rPr>
                <w:rFonts w:ascii="Arial" w:hAnsi="Arial" w:cs="Arial" w:eastAsia="Arial" w:hint="default"/>
                <w:w w:val="105"/>
                <w:sz w:val="12"/>
                <w:szCs w:val="12"/>
              </w:rPr>
              <w:t>2008</w:t>
            </w:r>
            <w:r>
              <w:rPr>
                <w:rFonts w:ascii="宋体" w:hAnsi="宋体" w:cs="宋体" w:eastAsia="宋体" w:hint="default"/>
                <w:w w:val="105"/>
                <w:sz w:val="12"/>
                <w:szCs w:val="12"/>
              </w:rPr>
              <w:t>年度</w:t>
            </w:r>
            <w:r>
              <w:rPr>
                <w:rFonts w:ascii="宋体" w:hAnsi="宋体" w:cs="宋体" w:eastAsia="宋体" w:hint="default"/>
                <w:w w:val="105"/>
                <w:sz w:val="12"/>
                <w:szCs w:val="12"/>
              </w:rPr>
              <w:t> </w:t>
            </w:r>
            <w:r>
              <w:rPr>
                <w:rFonts w:ascii="宋体" w:hAnsi="宋体" w:cs="宋体" w:eastAsia="宋体" w:hint="default"/>
                <w:w w:val="105"/>
                <w:sz w:val="12"/>
                <w:szCs w:val="12"/>
              </w:rPr>
              <w:t>公司</w:t>
            </w:r>
            <w:r>
              <w:rPr>
                <w:rFonts w:ascii="宋体" w:hAnsi="宋体" w:cs="宋体" w:eastAsia="宋体" w:hint="default"/>
                <w:sz w:val="12"/>
                <w:szCs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61" w:lineRule="auto"/>
              <w:ind w:left="499" w:right="344" w:hanging="141"/>
              <w:jc w:val="left"/>
              <w:rPr>
                <w:rFonts w:ascii="宋体" w:hAnsi="宋体" w:cs="宋体" w:eastAsia="宋体" w:hint="default"/>
                <w:sz w:val="12"/>
                <w:szCs w:val="12"/>
              </w:rPr>
            </w:pPr>
            <w:r>
              <w:rPr>
                <w:rFonts w:ascii="Arial" w:hAnsi="Arial" w:cs="Arial" w:eastAsia="Arial" w:hint="default"/>
                <w:w w:val="105"/>
                <w:sz w:val="12"/>
                <w:szCs w:val="12"/>
              </w:rPr>
              <w:t>2007</w:t>
            </w:r>
            <w:r>
              <w:rPr>
                <w:rFonts w:ascii="宋体" w:hAnsi="宋体" w:cs="宋体" w:eastAsia="宋体" w:hint="default"/>
                <w:w w:val="105"/>
                <w:sz w:val="12"/>
                <w:szCs w:val="12"/>
              </w:rPr>
              <w:t>年度</w:t>
            </w:r>
            <w:r>
              <w:rPr>
                <w:rFonts w:ascii="宋体" w:hAnsi="宋体" w:cs="宋体" w:eastAsia="宋体" w:hint="default"/>
                <w:w w:val="105"/>
                <w:sz w:val="12"/>
                <w:szCs w:val="12"/>
              </w:rPr>
              <w:t> </w:t>
            </w:r>
            <w:r>
              <w:rPr>
                <w:rFonts w:ascii="宋体" w:hAnsi="宋体" w:cs="宋体" w:eastAsia="宋体" w:hint="default"/>
                <w:w w:val="105"/>
                <w:sz w:val="12"/>
                <w:szCs w:val="12"/>
              </w:rPr>
              <w:t>公司</w:t>
            </w:r>
            <w:r>
              <w:rPr>
                <w:rFonts w:ascii="宋体" w:hAnsi="宋体" w:cs="宋体" w:eastAsia="宋体" w:hint="default"/>
                <w:sz w:val="12"/>
                <w:szCs w:val="12"/>
              </w:rPr>
            </w:r>
          </w:p>
        </w:tc>
      </w:tr>
      <w:tr>
        <w:trPr>
          <w:trHeight w:val="184" w:hRule="exact"/>
        </w:trPr>
        <w:tc>
          <w:tcPr>
            <w:tcW w:w="3564" w:type="dxa"/>
            <w:vMerge/>
            <w:tcBorders>
              <w:left w:val="single" w:sz="5" w:space="0" w:color="000000"/>
              <w:bottom w:val="single" w:sz="6" w:space="0" w:color="000000"/>
              <w:right w:val="single" w:sz="5" w:space="0" w:color="000000"/>
            </w:tcBorders>
          </w:tcPr>
          <w:p>
            <w:pPr/>
          </w:p>
        </w:tc>
        <w:tc>
          <w:tcPr>
            <w:tcW w:w="893" w:type="dxa"/>
            <w:tcBorders>
              <w:top w:val="single" w:sz="5" w:space="0" w:color="000000"/>
              <w:left w:val="single" w:sz="5" w:space="0" w:color="000000"/>
              <w:bottom w:val="single" w:sz="6" w:space="0" w:color="000000"/>
              <w:right w:val="single" w:sz="6" w:space="0" w:color="000000"/>
            </w:tcBorders>
          </w:tcPr>
          <w:p>
            <w:pPr/>
          </w:p>
        </w:tc>
        <w:tc>
          <w:tcPr>
            <w:tcW w:w="5058" w:type="dxa"/>
            <w:gridSpan w:val="4"/>
            <w:tcBorders>
              <w:top w:val="single" w:sz="5"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Arial" w:hAnsi="Arial" w:cs="Arial" w:eastAsia="Arial" w:hint="default"/>
                <w:sz w:val="12"/>
                <w:szCs w:val="12"/>
              </w:rPr>
            </w:pPr>
            <w:r>
              <w:rPr>
                <w:rFonts w:ascii="Arial" w:hAnsi="Arial" w:cs="Arial" w:eastAsia="Arial" w:hint="default"/>
                <w:w w:val="105"/>
                <w:sz w:val="12"/>
                <w:szCs w:val="12"/>
              </w:rPr>
              <w:t>(</w:t>
            </w:r>
            <w:r>
              <w:rPr>
                <w:rFonts w:ascii="宋体" w:hAnsi="宋体" w:cs="宋体" w:eastAsia="宋体" w:hint="default"/>
                <w:w w:val="105"/>
                <w:sz w:val="12"/>
                <w:szCs w:val="12"/>
              </w:rPr>
              <w:t>人民币千元</w:t>
            </w:r>
            <w:r>
              <w:rPr>
                <w:rFonts w:ascii="Arial" w:hAnsi="Arial" w:cs="Arial" w:eastAsia="Arial" w:hint="default"/>
                <w:w w:val="105"/>
                <w:sz w:val="12"/>
                <w:szCs w:val="12"/>
              </w:rPr>
              <w:t>)</w:t>
            </w:r>
            <w:r>
              <w:rPr>
                <w:rFonts w:ascii="Arial" w:hAnsi="Arial" w:cs="Arial" w:eastAsia="Arial" w:hint="default"/>
                <w:sz w:val="12"/>
                <w:szCs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一、经营活动产生的现金流量</w:t>
            </w:r>
            <w:r>
              <w:rPr>
                <w:rFonts w:ascii="黑体" w:hAnsi="黑体" w:cs="黑体" w:eastAsia="黑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销售商品、提供劳务收到的现金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58"/>
              <w:jc w:val="right"/>
              <w:rPr>
                <w:rFonts w:ascii="Arial" w:hAnsi="Arial" w:cs="Arial" w:eastAsia="Arial" w:hint="default"/>
                <w:sz w:val="12"/>
                <w:szCs w:val="12"/>
              </w:rPr>
            </w:pPr>
            <w:r>
              <w:rPr>
                <w:rFonts w:ascii="Arial"/>
                <w:spacing w:val="-1"/>
                <w:w w:val="105"/>
                <w:sz w:val="12"/>
              </w:rPr>
              <w:t>55,016,517</w:t>
            </w:r>
            <w:r>
              <w:rPr>
                <w:rFonts w:ascii="Arial"/>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30"/>
              <w:ind w:right="58"/>
              <w:jc w:val="right"/>
              <w:rPr>
                <w:rFonts w:ascii="Arial" w:hAnsi="Arial" w:cs="Arial" w:eastAsia="Arial" w:hint="default"/>
                <w:sz w:val="12"/>
                <w:szCs w:val="12"/>
              </w:rPr>
            </w:pPr>
            <w:r>
              <w:rPr>
                <w:rFonts w:ascii="Arial"/>
                <w:spacing w:val="-1"/>
                <w:w w:val="105"/>
                <w:sz w:val="12"/>
              </w:rPr>
              <w:t>41,069,865</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30"/>
              <w:ind w:right="57"/>
              <w:jc w:val="right"/>
              <w:rPr>
                <w:rFonts w:ascii="Arial" w:hAnsi="Arial" w:cs="Arial" w:eastAsia="Arial" w:hint="default"/>
                <w:sz w:val="12"/>
                <w:szCs w:val="12"/>
              </w:rPr>
            </w:pPr>
            <w:r>
              <w:rPr>
                <w:rFonts w:ascii="Arial"/>
                <w:spacing w:val="-1"/>
                <w:w w:val="105"/>
                <w:sz w:val="12"/>
              </w:rPr>
              <w:t>38,713,098</w:t>
            </w:r>
            <w:r>
              <w:rPr>
                <w:rFonts w:ascii="Arial"/>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57"/>
              <w:jc w:val="right"/>
              <w:rPr>
                <w:rFonts w:ascii="Arial" w:hAnsi="Arial" w:cs="Arial" w:eastAsia="Arial" w:hint="default"/>
                <w:sz w:val="12"/>
                <w:szCs w:val="12"/>
              </w:rPr>
            </w:pPr>
            <w:r>
              <w:rPr>
                <w:rFonts w:ascii="Arial"/>
                <w:spacing w:val="-1"/>
                <w:w w:val="105"/>
                <w:sz w:val="12"/>
              </w:rPr>
              <w:t>29,858,056</w:t>
            </w:r>
            <w:r>
              <w:rPr>
                <w:rFonts w:ascii="Arial"/>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收到的税费返还</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17,075</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4,125</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17,044</w:t>
            </w:r>
            <w:r>
              <w:rPr>
                <w:rFonts w:ascii="Arial"/>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收到其他与经营活动有关的现金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540,445</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371,693</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271,336</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126,083</w:t>
            </w:r>
            <w:r>
              <w:rPr>
                <w:rFonts w:ascii="Arial"/>
                <w:spacing w:val="-1"/>
                <w:sz w:val="12"/>
              </w:rPr>
            </w:r>
          </w:p>
        </w:tc>
      </w:tr>
      <w:tr>
        <w:trPr>
          <w:trHeight w:val="184" w:hRule="exact"/>
        </w:trPr>
        <w:tc>
          <w:tcPr>
            <w:tcW w:w="35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left="264" w:right="0"/>
              <w:jc w:val="left"/>
              <w:rPr>
                <w:rFonts w:ascii="宋体" w:hAnsi="宋体" w:cs="宋体" w:eastAsia="宋体" w:hint="default"/>
                <w:sz w:val="12"/>
                <w:szCs w:val="12"/>
              </w:rPr>
            </w:pPr>
            <w:r>
              <w:rPr>
                <w:rFonts w:ascii="宋体" w:hAnsi="宋体" w:cs="宋体" w:eastAsia="宋体" w:hint="default"/>
                <w:w w:val="105"/>
                <w:sz w:val="12"/>
                <w:szCs w:val="12"/>
              </w:rPr>
              <w:t>经营活动现金流入小计</w:t>
            </w:r>
            <w:r>
              <w:rPr>
                <w:rFonts w:ascii="宋体" w:hAnsi="宋体" w:cs="宋体" w:eastAsia="宋体" w:hint="default"/>
                <w:sz w:val="12"/>
                <w:szCs w:val="12"/>
              </w:rPr>
            </w:r>
          </w:p>
        </w:tc>
        <w:tc>
          <w:tcPr>
            <w:tcW w:w="893" w:type="dxa"/>
            <w:tcBorders>
              <w:top w:val="single" w:sz="6" w:space="0" w:color="000000"/>
              <w:left w:val="single" w:sz="5"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55,574,037</w:t>
            </w:r>
            <w:r>
              <w:rPr>
                <w:rFonts w:ascii="Arial"/>
                <w:sz w:val="12"/>
              </w:rPr>
            </w:r>
          </w:p>
        </w:tc>
        <w:tc>
          <w:tcPr>
            <w:tcW w:w="125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41,445,683</w:t>
            </w:r>
            <w:r>
              <w:rPr>
                <w:rFonts w:ascii="Arial"/>
                <w:spacing w:val="-1"/>
                <w:sz w:val="12"/>
              </w:rPr>
            </w:r>
          </w:p>
        </w:tc>
        <w:tc>
          <w:tcPr>
            <w:tcW w:w="12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39,001,478</w:t>
            </w:r>
            <w:r>
              <w:rPr>
                <w:rFonts w:ascii="Arial"/>
                <w:sz w:val="12"/>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29,984,139</w:t>
            </w:r>
            <w:r>
              <w:rPr>
                <w:rFonts w:ascii="Arial"/>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购买商品、接受劳务支付的现金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(44,423,817)</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(33,146,342)</w:t>
            </w:r>
            <w:r>
              <w:rPr>
                <w:rFonts w:ascii="Arial"/>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(33,345,533)</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(27,982,696)</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支付给职工以及为职工支付的现金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Arial" w:hAnsi="Arial" w:cs="Arial" w:eastAsia="Arial" w:hint="default"/>
                <w:sz w:val="12"/>
                <w:szCs w:val="12"/>
              </w:rPr>
            </w:pPr>
            <w:r>
              <w:rPr>
                <w:rFonts w:ascii="Arial"/>
                <w:spacing w:val="-1"/>
                <w:w w:val="105"/>
                <w:sz w:val="12"/>
              </w:rPr>
              <w:t>(1,546,296)</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30"/>
              <w:ind w:right="16"/>
              <w:jc w:val="right"/>
              <w:rPr>
                <w:rFonts w:ascii="Arial" w:hAnsi="Arial" w:cs="Arial" w:eastAsia="Arial" w:hint="default"/>
                <w:sz w:val="12"/>
                <w:szCs w:val="12"/>
              </w:rPr>
            </w:pPr>
            <w:r>
              <w:rPr>
                <w:rFonts w:ascii="Arial"/>
                <w:spacing w:val="-1"/>
                <w:w w:val="105"/>
                <w:sz w:val="12"/>
              </w:rPr>
              <w:t>(942,532)</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30"/>
              <w:ind w:right="14"/>
              <w:jc w:val="right"/>
              <w:rPr>
                <w:rFonts w:ascii="Arial" w:hAnsi="Arial" w:cs="Arial" w:eastAsia="Arial" w:hint="default"/>
                <w:sz w:val="12"/>
                <w:szCs w:val="12"/>
              </w:rPr>
            </w:pPr>
            <w:r>
              <w:rPr>
                <w:rFonts w:ascii="Arial"/>
                <w:spacing w:val="-1"/>
                <w:w w:val="105"/>
                <w:sz w:val="12"/>
              </w:rPr>
              <w:t>(263,680)</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Arial" w:hAnsi="Arial" w:cs="Arial" w:eastAsia="Arial" w:hint="default"/>
                <w:sz w:val="12"/>
                <w:szCs w:val="12"/>
              </w:rPr>
            </w:pPr>
            <w:r>
              <w:rPr>
                <w:rFonts w:ascii="Arial"/>
                <w:spacing w:val="-1"/>
                <w:w w:val="105"/>
                <w:sz w:val="12"/>
              </w:rPr>
              <w:t>(166,737)</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支付的各项税费</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(2,021,435)</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(1,139,068)</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(706,230)</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(370,171)</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支付其他与经营活动有关的现金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Style w:val="TableParagraph"/>
              <w:spacing w:line="165" w:lineRule="exact"/>
              <w:ind w:left="11" w:right="0"/>
              <w:jc w:val="center"/>
              <w:rPr>
                <w:rFonts w:ascii="Arial" w:hAnsi="Arial" w:cs="Arial" w:eastAsia="Arial" w:hint="default"/>
                <w:sz w:val="12"/>
                <w:szCs w:val="12"/>
              </w:rPr>
            </w:pPr>
            <w:r>
              <w:rPr>
                <w:rFonts w:ascii="宋体" w:hAnsi="宋体" w:cs="宋体" w:eastAsia="宋体" w:hint="default"/>
                <w:w w:val="105"/>
                <w:sz w:val="12"/>
                <w:szCs w:val="12"/>
              </w:rPr>
              <w:t>七</w:t>
            </w:r>
            <w:r>
              <w:rPr>
                <w:rFonts w:ascii="Arial" w:hAnsi="Arial" w:cs="Arial" w:eastAsia="Arial" w:hint="default"/>
                <w:w w:val="105"/>
                <w:sz w:val="12"/>
                <w:szCs w:val="12"/>
              </w:rPr>
              <w:t>.36</w:t>
            </w:r>
            <w:r>
              <w:rPr>
                <w:rFonts w:ascii="Arial" w:hAnsi="Arial" w:cs="Arial" w:eastAsia="Arial" w:hint="default"/>
                <w:sz w:val="12"/>
                <w:szCs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(3,763,348)</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(2,721,265)</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(335,029)</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(362,380)</w:t>
            </w:r>
            <w:r>
              <w:rPr>
                <w:rFonts w:ascii="Arial"/>
                <w:spacing w:val="-1"/>
                <w:sz w:val="12"/>
              </w:rPr>
            </w:r>
          </w:p>
        </w:tc>
      </w:tr>
      <w:tr>
        <w:trPr>
          <w:trHeight w:val="184" w:hRule="exact"/>
        </w:trPr>
        <w:tc>
          <w:tcPr>
            <w:tcW w:w="35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left="264" w:right="0"/>
              <w:jc w:val="left"/>
              <w:rPr>
                <w:rFonts w:ascii="宋体" w:hAnsi="宋体" w:cs="宋体" w:eastAsia="宋体" w:hint="default"/>
                <w:sz w:val="12"/>
                <w:szCs w:val="12"/>
              </w:rPr>
            </w:pPr>
            <w:r>
              <w:rPr>
                <w:rFonts w:ascii="宋体" w:hAnsi="宋体" w:cs="宋体" w:eastAsia="宋体" w:hint="default"/>
                <w:w w:val="105"/>
                <w:sz w:val="12"/>
                <w:szCs w:val="12"/>
              </w:rPr>
              <w:t>经营活动现金流出小计</w:t>
            </w:r>
            <w:r>
              <w:rPr>
                <w:rFonts w:ascii="宋体" w:hAnsi="宋体" w:cs="宋体" w:eastAsia="宋体" w:hint="default"/>
                <w:sz w:val="12"/>
                <w:szCs w:val="12"/>
              </w:rPr>
            </w:r>
          </w:p>
        </w:tc>
        <w:tc>
          <w:tcPr>
            <w:tcW w:w="893" w:type="dxa"/>
            <w:tcBorders>
              <w:top w:val="single" w:sz="6" w:space="0" w:color="000000"/>
              <w:left w:val="single" w:sz="5"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(51,754,896)</w:t>
            </w:r>
            <w:r>
              <w:rPr>
                <w:rFonts w:ascii="Arial"/>
                <w:spacing w:val="-1"/>
                <w:sz w:val="12"/>
              </w:rPr>
            </w:r>
          </w:p>
        </w:tc>
        <w:tc>
          <w:tcPr>
            <w:tcW w:w="125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(37,949,207)</w:t>
            </w:r>
            <w:r>
              <w:rPr>
                <w:rFonts w:ascii="Arial"/>
                <w:sz w:val="12"/>
              </w:rPr>
            </w:r>
          </w:p>
        </w:tc>
        <w:tc>
          <w:tcPr>
            <w:tcW w:w="12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(34,650,472)</w:t>
            </w:r>
            <w:r>
              <w:rPr>
                <w:rFonts w:ascii="Arial"/>
                <w:spacing w:val="-1"/>
                <w:sz w:val="12"/>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(28,881,984)</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335" w:right="0"/>
              <w:jc w:val="left"/>
              <w:rPr>
                <w:rFonts w:ascii="宋体" w:hAnsi="宋体" w:cs="宋体" w:eastAsia="宋体" w:hint="default"/>
                <w:sz w:val="12"/>
                <w:szCs w:val="12"/>
              </w:rPr>
            </w:pPr>
            <w:r>
              <w:rPr>
                <w:rFonts w:ascii="宋体" w:hAnsi="宋体" w:cs="宋体" w:eastAsia="宋体" w:hint="default"/>
                <w:w w:val="105"/>
                <w:sz w:val="12"/>
                <w:szCs w:val="12"/>
              </w:rPr>
              <w:t>经营活动产生的现金流量净额</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Style w:val="TableParagraph"/>
              <w:spacing w:line="165" w:lineRule="exact"/>
              <w:ind w:left="11" w:right="0"/>
              <w:jc w:val="center"/>
              <w:rPr>
                <w:rFonts w:ascii="Arial" w:hAnsi="Arial" w:cs="Arial" w:eastAsia="Arial" w:hint="default"/>
                <w:sz w:val="12"/>
                <w:szCs w:val="12"/>
              </w:rPr>
            </w:pPr>
            <w:r>
              <w:rPr>
                <w:rFonts w:ascii="宋体" w:hAnsi="宋体" w:cs="宋体" w:eastAsia="宋体" w:hint="default"/>
                <w:w w:val="105"/>
                <w:sz w:val="12"/>
                <w:szCs w:val="12"/>
              </w:rPr>
              <w:t>七</w:t>
            </w:r>
            <w:r>
              <w:rPr>
                <w:rFonts w:ascii="Arial" w:hAnsi="Arial" w:cs="Arial" w:eastAsia="Arial" w:hint="default"/>
                <w:w w:val="105"/>
                <w:sz w:val="12"/>
                <w:szCs w:val="12"/>
              </w:rPr>
              <w:t>.36</w:t>
            </w:r>
            <w:r>
              <w:rPr>
                <w:rFonts w:ascii="Arial" w:hAnsi="Arial" w:cs="Arial" w:eastAsia="Arial" w:hint="default"/>
                <w:sz w:val="12"/>
                <w:szCs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3,819,141</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3,496,476</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4,351,006</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1,102,155</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
        </w:tc>
        <w:tc>
          <w:tcPr>
            <w:tcW w:w="1255" w:type="dxa"/>
            <w:tcBorders>
              <w:top w:val="single" w:sz="5" w:space="0" w:color="000000"/>
              <w:left w:val="single" w:sz="6" w:space="0" w:color="000000"/>
              <w:bottom w:val="single" w:sz="6" w:space="0" w:color="000000"/>
              <w:right w:val="single" w:sz="5" w:space="0" w:color="000000"/>
            </w:tcBorders>
          </w:tcPr>
          <w:p>
            <w:pPr/>
          </w:p>
        </w:tc>
        <w:tc>
          <w:tcPr>
            <w:tcW w:w="1295"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二、投资活动产生的现金流量</w:t>
            </w:r>
            <w:r>
              <w:rPr>
                <w:rFonts w:ascii="黑体" w:hAnsi="黑体" w:cs="黑体" w:eastAsia="黑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处置固定资产、无形资产和其他长期资产收回的现金净额</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3,745</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4,032</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77</w:t>
            </w:r>
            <w:r>
              <w:rPr>
                <w:rFonts w:ascii="Arial"/>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w w:val="105"/>
                <w:sz w:val="12"/>
              </w:rPr>
              <w:t>1</w:t>
            </w:r>
            <w:r>
              <w:rPr>
                <w:rFonts w:ascii="Arial"/>
                <w:sz w:val="12"/>
              </w:rPr>
            </w:r>
          </w:p>
        </w:tc>
      </w:tr>
      <w:tr>
        <w:trPr>
          <w:trHeight w:val="184" w:hRule="exact"/>
        </w:trPr>
        <w:tc>
          <w:tcPr>
            <w:tcW w:w="35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收到其他与投资活动有关的现金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98"/>
              <w:jc w:val="right"/>
              <w:rPr>
                <w:rFonts w:ascii="Arial" w:hAnsi="Arial" w:cs="Arial" w:eastAsia="Arial" w:hint="default"/>
                <w:sz w:val="12"/>
                <w:szCs w:val="12"/>
              </w:rPr>
            </w:pPr>
            <w:r>
              <w:rPr>
                <w:rFonts w:ascii="Arial"/>
                <w:w w:val="105"/>
                <w:sz w:val="12"/>
              </w:rPr>
              <w:t>-</w:t>
            </w:r>
            <w:r>
              <w:rPr>
                <w:rFonts w:ascii="Arial"/>
                <w:sz w:val="12"/>
              </w:rPr>
            </w:r>
          </w:p>
        </w:tc>
        <w:tc>
          <w:tcPr>
            <w:tcW w:w="125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11,728</w:t>
            </w:r>
            <w:r>
              <w:rPr>
                <w:rFonts w:ascii="Arial"/>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264" w:right="0"/>
              <w:jc w:val="left"/>
              <w:rPr>
                <w:rFonts w:ascii="宋体" w:hAnsi="宋体" w:cs="宋体" w:eastAsia="宋体" w:hint="default"/>
                <w:sz w:val="12"/>
                <w:szCs w:val="12"/>
              </w:rPr>
            </w:pPr>
            <w:r>
              <w:rPr>
                <w:rFonts w:ascii="宋体" w:hAnsi="宋体" w:cs="宋体" w:eastAsia="宋体" w:hint="default"/>
                <w:w w:val="105"/>
                <w:sz w:val="12"/>
                <w:szCs w:val="12"/>
              </w:rPr>
              <w:t>投资活动现金流入小计</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3,745</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4,032</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77</w:t>
            </w:r>
            <w:r>
              <w:rPr>
                <w:rFonts w:ascii="Arial"/>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11,729</w:t>
            </w:r>
            <w:r>
              <w:rPr>
                <w:rFonts w:ascii="Arial"/>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购建固定资产、无形资产和其他长期资产支付的现金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Arial" w:hAnsi="Arial" w:cs="Arial" w:eastAsia="Arial" w:hint="default"/>
                <w:sz w:val="12"/>
                <w:szCs w:val="12"/>
              </w:rPr>
            </w:pPr>
            <w:r>
              <w:rPr>
                <w:rFonts w:ascii="Arial"/>
                <w:spacing w:val="-1"/>
                <w:w w:val="105"/>
                <w:sz w:val="12"/>
              </w:rPr>
              <w:t>(2,454,061)</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30"/>
              <w:ind w:right="16"/>
              <w:jc w:val="right"/>
              <w:rPr>
                <w:rFonts w:ascii="Arial" w:hAnsi="Arial" w:cs="Arial" w:eastAsia="Arial" w:hint="default"/>
                <w:sz w:val="12"/>
                <w:szCs w:val="12"/>
              </w:rPr>
            </w:pPr>
            <w:r>
              <w:rPr>
                <w:rFonts w:ascii="Arial"/>
                <w:spacing w:val="-1"/>
                <w:w w:val="105"/>
                <w:sz w:val="12"/>
              </w:rPr>
              <w:t>(1,361,625)</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30"/>
              <w:ind w:right="14"/>
              <w:jc w:val="right"/>
              <w:rPr>
                <w:rFonts w:ascii="Arial" w:hAnsi="Arial" w:cs="Arial" w:eastAsia="Arial" w:hint="default"/>
                <w:sz w:val="12"/>
                <w:szCs w:val="12"/>
              </w:rPr>
            </w:pPr>
            <w:r>
              <w:rPr>
                <w:rFonts w:ascii="Arial"/>
                <w:spacing w:val="-1"/>
                <w:w w:val="105"/>
                <w:sz w:val="12"/>
              </w:rPr>
              <w:t>(320,900)</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Arial" w:hAnsi="Arial" w:cs="Arial" w:eastAsia="Arial" w:hint="default"/>
                <w:sz w:val="12"/>
                <w:szCs w:val="12"/>
              </w:rPr>
            </w:pPr>
            <w:r>
              <w:rPr>
                <w:rFonts w:ascii="Arial"/>
                <w:spacing w:val="-1"/>
                <w:w w:val="105"/>
                <w:sz w:val="12"/>
              </w:rPr>
              <w:t>(555,796)</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投资支付的现金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(1,653,558)</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(268,000)</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支付其他与投资活动有关的现金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(139,367)</w:t>
            </w:r>
            <w:r>
              <w:rPr>
                <w:rFonts w:ascii="Arial"/>
                <w:spacing w:val="-1"/>
                <w:sz w:val="12"/>
              </w:rPr>
            </w:r>
          </w:p>
        </w:tc>
      </w:tr>
      <w:tr>
        <w:trPr>
          <w:trHeight w:val="184" w:hRule="exact"/>
        </w:trPr>
        <w:tc>
          <w:tcPr>
            <w:tcW w:w="35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left="264" w:right="0"/>
              <w:jc w:val="left"/>
              <w:rPr>
                <w:rFonts w:ascii="宋体" w:hAnsi="宋体" w:cs="宋体" w:eastAsia="宋体" w:hint="default"/>
                <w:sz w:val="12"/>
                <w:szCs w:val="12"/>
              </w:rPr>
            </w:pPr>
            <w:r>
              <w:rPr>
                <w:rFonts w:ascii="宋体" w:hAnsi="宋体" w:cs="宋体" w:eastAsia="宋体" w:hint="default"/>
                <w:w w:val="105"/>
                <w:sz w:val="12"/>
                <w:szCs w:val="12"/>
              </w:rPr>
              <w:t>投资活动现金流出小计</w:t>
            </w:r>
            <w:r>
              <w:rPr>
                <w:rFonts w:ascii="宋体" w:hAnsi="宋体" w:cs="宋体" w:eastAsia="宋体" w:hint="default"/>
                <w:sz w:val="12"/>
                <w:szCs w:val="12"/>
              </w:rPr>
            </w:r>
          </w:p>
        </w:tc>
        <w:tc>
          <w:tcPr>
            <w:tcW w:w="893" w:type="dxa"/>
            <w:tcBorders>
              <w:top w:val="single" w:sz="6" w:space="0" w:color="000000"/>
              <w:left w:val="single" w:sz="5"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(2,454,061)</w:t>
            </w:r>
            <w:r>
              <w:rPr>
                <w:rFonts w:ascii="Arial"/>
                <w:spacing w:val="-1"/>
                <w:sz w:val="12"/>
              </w:rPr>
            </w:r>
          </w:p>
        </w:tc>
        <w:tc>
          <w:tcPr>
            <w:tcW w:w="125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(1,361,625)</w:t>
            </w:r>
            <w:r>
              <w:rPr>
                <w:rFonts w:ascii="Arial"/>
                <w:spacing w:val="-1"/>
                <w:sz w:val="12"/>
              </w:rPr>
            </w:r>
          </w:p>
        </w:tc>
        <w:tc>
          <w:tcPr>
            <w:tcW w:w="12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(1,974,458)</w:t>
            </w:r>
            <w:r>
              <w:rPr>
                <w:rFonts w:ascii="Arial"/>
                <w:spacing w:val="-1"/>
                <w:sz w:val="12"/>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(963,163)</w:t>
            </w:r>
            <w:r>
              <w:rPr>
                <w:rFonts w:ascii="Arial"/>
                <w:spacing w:val="-1"/>
                <w:sz w:val="12"/>
              </w:rPr>
            </w:r>
          </w:p>
        </w:tc>
      </w:tr>
      <w:tr>
        <w:trPr>
          <w:trHeight w:val="185"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369" w:right="0"/>
              <w:jc w:val="left"/>
              <w:rPr>
                <w:rFonts w:ascii="宋体" w:hAnsi="宋体" w:cs="宋体" w:eastAsia="宋体" w:hint="default"/>
                <w:sz w:val="12"/>
                <w:szCs w:val="12"/>
              </w:rPr>
            </w:pPr>
            <w:r>
              <w:rPr>
                <w:rFonts w:ascii="宋体" w:hAnsi="宋体" w:cs="宋体" w:eastAsia="宋体" w:hint="default"/>
                <w:w w:val="105"/>
                <w:sz w:val="12"/>
                <w:szCs w:val="12"/>
              </w:rPr>
              <w:t>投资活动产生的现金流量净额</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(2,450,316)</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(1,357,593)</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(1,974,381)</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(951,434)</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
        </w:tc>
        <w:tc>
          <w:tcPr>
            <w:tcW w:w="1255" w:type="dxa"/>
            <w:tcBorders>
              <w:top w:val="single" w:sz="5" w:space="0" w:color="000000"/>
              <w:left w:val="single" w:sz="6" w:space="0" w:color="000000"/>
              <w:bottom w:val="single" w:sz="6" w:space="0" w:color="000000"/>
              <w:right w:val="single" w:sz="5" w:space="0" w:color="000000"/>
            </w:tcBorders>
          </w:tcPr>
          <w:p>
            <w:pPr/>
          </w:p>
        </w:tc>
        <w:tc>
          <w:tcPr>
            <w:tcW w:w="1295"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三、筹资活动产生的现金流量</w:t>
            </w:r>
            <w:r>
              <w:rPr>
                <w:rFonts w:ascii="黑体" w:hAnsi="黑体" w:cs="黑体" w:eastAsia="黑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吸收投资收到的现金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Style w:val="TableParagraph"/>
              <w:spacing w:line="165" w:lineRule="exact"/>
              <w:ind w:left="14" w:right="0"/>
              <w:jc w:val="center"/>
              <w:rPr>
                <w:rFonts w:ascii="Arial" w:hAnsi="Arial" w:cs="Arial" w:eastAsia="Arial" w:hint="default"/>
                <w:sz w:val="12"/>
                <w:szCs w:val="12"/>
              </w:rPr>
            </w:pPr>
            <w:r>
              <w:rPr>
                <w:rFonts w:ascii="宋体" w:hAnsi="宋体" w:cs="宋体" w:eastAsia="宋体" w:hint="default"/>
                <w:w w:val="105"/>
                <w:sz w:val="12"/>
                <w:szCs w:val="12"/>
              </w:rPr>
              <w:t>七</w:t>
            </w:r>
            <w:r>
              <w:rPr>
                <w:rFonts w:ascii="Arial" w:hAnsi="Arial" w:cs="Arial" w:eastAsia="Arial" w:hint="default"/>
                <w:w w:val="105"/>
                <w:sz w:val="12"/>
                <w:szCs w:val="12"/>
              </w:rPr>
              <w:t>.24</w:t>
            </w:r>
            <w:r>
              <w:rPr>
                <w:rFonts w:ascii="宋体" w:hAnsi="宋体" w:cs="宋体" w:eastAsia="宋体" w:hint="default"/>
                <w:w w:val="105"/>
                <w:sz w:val="12"/>
                <w:szCs w:val="12"/>
              </w:rPr>
              <w:t>、七</w:t>
            </w:r>
            <w:r>
              <w:rPr>
                <w:rFonts w:ascii="Arial" w:hAnsi="Arial" w:cs="Arial" w:eastAsia="Arial" w:hint="default"/>
                <w:w w:val="105"/>
                <w:sz w:val="12"/>
                <w:szCs w:val="12"/>
              </w:rPr>
              <w:t>.25</w:t>
            </w:r>
            <w:r>
              <w:rPr>
                <w:rFonts w:ascii="Arial" w:hAnsi="Arial" w:cs="Arial" w:eastAsia="Arial" w:hint="default"/>
                <w:sz w:val="12"/>
                <w:szCs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2,462,362</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11,050</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2,420,056</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其中：子公司吸收少数股东投资收到的现金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42,306</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11,050</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r>
      <w:tr>
        <w:trPr>
          <w:trHeight w:val="184" w:hRule="exact"/>
        </w:trPr>
        <w:tc>
          <w:tcPr>
            <w:tcW w:w="35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取得借款收到的现金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5" w:space="0" w:color="000000"/>
              <w:right w:val="single" w:sz="6" w:space="0" w:color="000000"/>
            </w:tcBorders>
          </w:tcPr>
          <w:p>
            <w:pP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466,000</w:t>
            </w:r>
            <w:r>
              <w:rPr>
                <w:rFonts w:ascii="Arial"/>
                <w:spacing w:val="-1"/>
                <w:sz w:val="12"/>
              </w:rPr>
            </w:r>
          </w:p>
        </w:tc>
        <w:tc>
          <w:tcPr>
            <w:tcW w:w="125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440,000</w:t>
            </w:r>
            <w:r>
              <w:rPr>
                <w:rFonts w:ascii="Arial"/>
                <w:spacing w:val="-1"/>
                <w:sz w:val="12"/>
              </w:rPr>
            </w:r>
          </w:p>
        </w:tc>
        <w:tc>
          <w:tcPr>
            <w:tcW w:w="12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350,000</w:t>
            </w:r>
            <w:r>
              <w:rPr>
                <w:rFonts w:ascii="Arial"/>
                <w:spacing w:val="-1"/>
                <w:sz w:val="12"/>
              </w:rPr>
            </w: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440,000</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ind w:left="264" w:right="0"/>
              <w:jc w:val="left"/>
              <w:rPr>
                <w:rFonts w:ascii="宋体" w:hAnsi="宋体" w:cs="宋体" w:eastAsia="宋体" w:hint="default"/>
                <w:sz w:val="12"/>
                <w:szCs w:val="12"/>
              </w:rPr>
            </w:pPr>
            <w:r>
              <w:rPr>
                <w:rFonts w:ascii="宋体" w:hAnsi="宋体" w:cs="宋体" w:eastAsia="宋体" w:hint="default"/>
                <w:w w:val="105"/>
                <w:sz w:val="12"/>
                <w:szCs w:val="12"/>
              </w:rPr>
              <w:t>筹资活动现金流入小计</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2,928,362</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451,050</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2,770,056</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440,000</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偿还债务支付的现金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(450,000)</w:t>
            </w:r>
            <w:r>
              <w:rPr>
                <w:rFonts w:ascii="Arial"/>
                <w:spacing w:val="-1"/>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(576,000)</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(450,000)</w:t>
            </w:r>
            <w:r>
              <w:rPr>
                <w:rFonts w:ascii="Arial"/>
                <w:spacing w:val="-1"/>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(450,000)</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分配股利、利润或偿付利息支付的现金</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(454,669)</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(15,521)</w:t>
            </w:r>
            <w:r>
              <w:rPr>
                <w:rFonts w:ascii="Arial"/>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(449,241)</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(10,624)</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
              <w:ind w:left="194" w:right="0"/>
              <w:jc w:val="left"/>
              <w:rPr>
                <w:rFonts w:ascii="宋体" w:hAnsi="宋体" w:cs="宋体" w:eastAsia="宋体" w:hint="default"/>
                <w:sz w:val="12"/>
                <w:szCs w:val="12"/>
              </w:rPr>
            </w:pPr>
            <w:r>
              <w:rPr>
                <w:rFonts w:ascii="宋体" w:hAnsi="宋体" w:cs="宋体" w:eastAsia="宋体" w:hint="default"/>
                <w:w w:val="105"/>
                <w:sz w:val="12"/>
                <w:szCs w:val="12"/>
              </w:rPr>
              <w:t>支付其他与筹资活动有关的现金</w:t>
            </w:r>
            <w:r>
              <w:rPr>
                <w:rFonts w:ascii="宋体" w:hAnsi="宋体" w:cs="宋体" w:eastAsia="宋体" w:hint="default"/>
                <w:sz w:val="12"/>
                <w:szCs w:val="12"/>
              </w:rPr>
            </w: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(537)</w:t>
            </w:r>
            <w:r>
              <w:rPr>
                <w:rFonts w:ascii="Arial"/>
                <w:spacing w:val="-1"/>
                <w:sz w:val="12"/>
              </w:rPr>
            </w:r>
          </w:p>
        </w:tc>
        <w:tc>
          <w:tcPr>
            <w:tcW w:w="12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r>
      <w:tr>
        <w:trPr>
          <w:trHeight w:val="184" w:hRule="exact"/>
        </w:trPr>
        <w:tc>
          <w:tcPr>
            <w:tcW w:w="35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left="264" w:right="0"/>
              <w:jc w:val="left"/>
              <w:rPr>
                <w:rFonts w:ascii="宋体" w:hAnsi="宋体" w:cs="宋体" w:eastAsia="宋体" w:hint="default"/>
                <w:sz w:val="12"/>
                <w:szCs w:val="12"/>
              </w:rPr>
            </w:pPr>
            <w:r>
              <w:rPr>
                <w:rFonts w:ascii="宋体" w:hAnsi="宋体" w:cs="宋体" w:eastAsia="宋体" w:hint="default"/>
                <w:w w:val="105"/>
                <w:sz w:val="12"/>
                <w:szCs w:val="12"/>
              </w:rPr>
              <w:t>筹资活动现金流出小计</w:t>
            </w:r>
            <w:r>
              <w:rPr>
                <w:rFonts w:ascii="宋体" w:hAnsi="宋体" w:cs="宋体" w:eastAsia="宋体" w:hint="default"/>
                <w:sz w:val="12"/>
                <w:szCs w:val="12"/>
              </w:rPr>
            </w:r>
          </w:p>
        </w:tc>
        <w:tc>
          <w:tcPr>
            <w:tcW w:w="893" w:type="dxa"/>
            <w:tcBorders>
              <w:top w:val="single" w:sz="5" w:space="0" w:color="000000"/>
              <w:left w:val="single" w:sz="5" w:space="0" w:color="000000"/>
              <w:bottom w:val="single" w:sz="5" w:space="0" w:color="000000"/>
              <w:right w:val="single" w:sz="6" w:space="0" w:color="000000"/>
            </w:tcBorders>
          </w:tcPr>
          <w:p>
            <w:pP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(904,669)</w:t>
            </w:r>
            <w:r>
              <w:rPr>
                <w:rFonts w:ascii="Arial"/>
                <w:spacing w:val="-1"/>
                <w:sz w:val="12"/>
              </w:rPr>
            </w:r>
          </w:p>
        </w:tc>
        <w:tc>
          <w:tcPr>
            <w:tcW w:w="125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(592,058)</w:t>
            </w:r>
            <w:r>
              <w:rPr>
                <w:rFonts w:ascii="Arial"/>
                <w:spacing w:val="-1"/>
                <w:sz w:val="12"/>
              </w:rPr>
            </w:r>
          </w:p>
        </w:tc>
        <w:tc>
          <w:tcPr>
            <w:tcW w:w="12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(899,241)</w:t>
            </w:r>
            <w:r>
              <w:rPr>
                <w:rFonts w:ascii="Arial"/>
                <w:spacing w:val="-1"/>
                <w:sz w:val="12"/>
              </w:rPr>
            </w: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14"/>
              <w:jc w:val="right"/>
              <w:rPr>
                <w:rFonts w:ascii="Arial" w:hAnsi="Arial" w:cs="Arial" w:eastAsia="Arial" w:hint="default"/>
                <w:sz w:val="12"/>
                <w:szCs w:val="12"/>
              </w:rPr>
            </w:pPr>
            <w:r>
              <w:rPr>
                <w:rFonts w:ascii="Arial"/>
                <w:spacing w:val="-1"/>
                <w:w w:val="105"/>
                <w:sz w:val="12"/>
              </w:rPr>
              <w:t>(460,624)</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ind w:left="369" w:right="0"/>
              <w:jc w:val="left"/>
              <w:rPr>
                <w:rFonts w:ascii="宋体" w:hAnsi="宋体" w:cs="宋体" w:eastAsia="宋体" w:hint="default"/>
                <w:sz w:val="12"/>
                <w:szCs w:val="12"/>
              </w:rPr>
            </w:pPr>
            <w:r>
              <w:rPr>
                <w:rFonts w:ascii="宋体" w:hAnsi="宋体" w:cs="宋体" w:eastAsia="宋体" w:hint="default"/>
                <w:w w:val="105"/>
                <w:sz w:val="12"/>
                <w:szCs w:val="12"/>
              </w:rPr>
              <w:t>筹资活动产生的现金流量净额</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2,023,693</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16"/>
              <w:jc w:val="right"/>
              <w:rPr>
                <w:rFonts w:ascii="Arial" w:hAnsi="Arial" w:cs="Arial" w:eastAsia="Arial" w:hint="default"/>
                <w:sz w:val="12"/>
                <w:szCs w:val="12"/>
              </w:rPr>
            </w:pPr>
            <w:r>
              <w:rPr>
                <w:rFonts w:ascii="Arial"/>
                <w:spacing w:val="-1"/>
                <w:w w:val="105"/>
                <w:sz w:val="12"/>
              </w:rPr>
              <w:t>(141,008)</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1,870,815</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Arial" w:hAnsi="Arial" w:cs="Arial" w:eastAsia="Arial" w:hint="default"/>
                <w:sz w:val="12"/>
                <w:szCs w:val="12"/>
              </w:rPr>
            </w:pPr>
            <w:r>
              <w:rPr>
                <w:rFonts w:ascii="Arial"/>
                <w:spacing w:val="-1"/>
                <w:w w:val="105"/>
                <w:sz w:val="12"/>
              </w:rPr>
              <w:t>(20,624)</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四、汇率变动对现金及现金等价物的影响</w:t>
            </w:r>
            <w:r>
              <w:rPr>
                <w:rFonts w:ascii="黑体" w:hAnsi="黑体" w:cs="黑体" w:eastAsia="黑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w w:val="105"/>
                <w:sz w:val="12"/>
              </w:rPr>
              <w:t>-</w:t>
            </w:r>
            <w:r>
              <w:rPr>
                <w:rFonts w:ascii="Arial"/>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五、现金及现金等价物净增加额</w:t>
            </w:r>
            <w:r>
              <w:rPr>
                <w:rFonts w:ascii="黑体" w:hAnsi="黑体" w:cs="黑体" w:eastAsia="黑体" w:hint="default"/>
                <w:sz w:val="12"/>
                <w:szCs w:val="12"/>
              </w:rPr>
            </w:r>
          </w:p>
        </w:tc>
        <w:tc>
          <w:tcPr>
            <w:tcW w:w="893" w:type="dxa"/>
            <w:tcBorders>
              <w:top w:val="single" w:sz="5" w:space="0" w:color="000000"/>
              <w:left w:val="single" w:sz="5" w:space="0" w:color="000000"/>
              <w:bottom w:val="single" w:sz="5" w:space="0" w:color="000000"/>
              <w:right w:val="single" w:sz="6" w:space="0" w:color="000000"/>
            </w:tcBorders>
          </w:tcPr>
          <w:p>
            <w:pP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3,392,518</w:t>
            </w:r>
            <w:r>
              <w:rPr>
                <w:rFonts w:ascii="Arial"/>
                <w:spacing w:val="-1"/>
                <w:sz w:val="12"/>
              </w:rPr>
            </w:r>
          </w:p>
        </w:tc>
        <w:tc>
          <w:tcPr>
            <w:tcW w:w="125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1,997,875</w:t>
            </w:r>
            <w:r>
              <w:rPr>
                <w:rFonts w:ascii="Arial"/>
                <w:spacing w:val="-1"/>
                <w:sz w:val="12"/>
              </w:rPr>
            </w:r>
          </w:p>
        </w:tc>
        <w:tc>
          <w:tcPr>
            <w:tcW w:w="12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4,247,440</w:t>
            </w:r>
            <w:r>
              <w:rPr>
                <w:rFonts w:ascii="Arial"/>
                <w:spacing w:val="-1"/>
                <w:sz w:val="12"/>
              </w:rPr>
            </w:r>
          </w:p>
        </w:tc>
        <w:tc>
          <w:tcPr>
            <w:tcW w:w="125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130,097</w:t>
            </w:r>
            <w:r>
              <w:rPr>
                <w:rFonts w:ascii="Arial"/>
                <w:spacing w:val="-1"/>
                <w:sz w:val="12"/>
              </w:rPr>
            </w: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ind w:left="194" w:right="0"/>
              <w:jc w:val="left"/>
              <w:rPr>
                <w:rFonts w:ascii="宋体" w:hAnsi="宋体" w:cs="宋体" w:eastAsia="宋体" w:hint="default"/>
                <w:sz w:val="12"/>
                <w:szCs w:val="12"/>
              </w:rPr>
            </w:pPr>
            <w:r>
              <w:rPr>
                <w:rFonts w:ascii="宋体" w:hAnsi="宋体" w:cs="宋体" w:eastAsia="宋体" w:hint="default"/>
                <w:w w:val="105"/>
                <w:sz w:val="12"/>
                <w:szCs w:val="12"/>
              </w:rPr>
              <w:t>加：年初现金及现金等价物余额</w:t>
            </w:r>
            <w:r>
              <w:rPr>
                <w:rFonts w:ascii="宋体" w:hAnsi="宋体" w:cs="宋体" w:eastAsia="宋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8"/>
              <w:jc w:val="right"/>
              <w:rPr>
                <w:rFonts w:ascii="Arial" w:hAnsi="Arial" w:cs="Arial" w:eastAsia="Arial" w:hint="default"/>
                <w:sz w:val="12"/>
                <w:szCs w:val="12"/>
              </w:rPr>
            </w:pPr>
            <w:r>
              <w:rPr>
                <w:rFonts w:ascii="Arial"/>
                <w:spacing w:val="-1"/>
                <w:w w:val="105"/>
                <w:sz w:val="12"/>
              </w:rPr>
              <w:t>3,501,220</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1,503,345</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1,084,546</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9"/>
              <w:ind w:right="57"/>
              <w:jc w:val="right"/>
              <w:rPr>
                <w:rFonts w:ascii="Arial" w:hAnsi="Arial" w:cs="Arial" w:eastAsia="Arial" w:hint="default"/>
                <w:sz w:val="12"/>
                <w:szCs w:val="12"/>
              </w:rPr>
            </w:pPr>
            <w:r>
              <w:rPr>
                <w:rFonts w:ascii="Arial"/>
                <w:spacing w:val="-1"/>
                <w:w w:val="105"/>
                <w:sz w:val="12"/>
              </w:rPr>
              <w:t>954,449</w:t>
            </w:r>
            <w:r>
              <w:rPr>
                <w:rFonts w:ascii="Arial"/>
                <w:spacing w:val="-1"/>
                <w:sz w:val="12"/>
              </w:rPr>
            </w:r>
          </w:p>
        </w:tc>
      </w:tr>
      <w:tr>
        <w:trPr>
          <w:trHeight w:val="184" w:hRule="exact"/>
        </w:trPr>
        <w:tc>
          <w:tcPr>
            <w:tcW w:w="3564" w:type="dxa"/>
            <w:tcBorders>
              <w:top w:val="single" w:sz="6" w:space="0" w:color="000000"/>
              <w:left w:val="single" w:sz="5" w:space="0" w:color="000000"/>
              <w:bottom w:val="single" w:sz="5" w:space="0" w:color="000000"/>
              <w:right w:val="single" w:sz="5" w:space="0" w:color="000000"/>
            </w:tcBorders>
          </w:tcPr>
          <w:p>
            <w:pPr/>
          </w:p>
        </w:tc>
        <w:tc>
          <w:tcPr>
            <w:tcW w:w="893"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c>
          <w:tcPr>
            <w:tcW w:w="1255" w:type="dxa"/>
            <w:tcBorders>
              <w:top w:val="single" w:sz="6" w:space="0" w:color="000000"/>
              <w:left w:val="single" w:sz="6" w:space="0" w:color="000000"/>
              <w:bottom w:val="single" w:sz="5" w:space="0" w:color="000000"/>
              <w:right w:val="single" w:sz="5" w:space="0" w:color="000000"/>
            </w:tcBorders>
          </w:tcPr>
          <w:p>
            <w:pPr/>
          </w:p>
        </w:tc>
        <w:tc>
          <w:tcPr>
            <w:tcW w:w="1295" w:type="dxa"/>
            <w:tcBorders>
              <w:top w:val="single" w:sz="6" w:space="0" w:color="000000"/>
              <w:left w:val="single" w:sz="5" w:space="0" w:color="000000"/>
              <w:bottom w:val="single" w:sz="5" w:space="0" w:color="000000"/>
              <w:right w:val="single" w:sz="6" w:space="0" w:color="000000"/>
            </w:tcBorders>
          </w:tcPr>
          <w:p>
            <w:pPr/>
          </w:p>
        </w:tc>
        <w:tc>
          <w:tcPr>
            <w:tcW w:w="1254" w:type="dxa"/>
            <w:tcBorders>
              <w:top w:val="single" w:sz="6" w:space="0" w:color="000000"/>
              <w:left w:val="single" w:sz="6" w:space="0" w:color="000000"/>
              <w:bottom w:val="single" w:sz="5" w:space="0" w:color="000000"/>
              <w:right w:val="single" w:sz="6" w:space="0" w:color="000000"/>
            </w:tcBorders>
          </w:tcPr>
          <w:p>
            <w:pPr/>
          </w:p>
        </w:tc>
      </w:tr>
      <w:tr>
        <w:trPr>
          <w:trHeight w:val="184" w:hRule="exact"/>
        </w:trPr>
        <w:tc>
          <w:tcPr>
            <w:tcW w:w="35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
              <w:ind w:left="17" w:right="0"/>
              <w:jc w:val="left"/>
              <w:rPr>
                <w:rFonts w:ascii="黑体" w:hAnsi="黑体" w:cs="黑体" w:eastAsia="黑体" w:hint="default"/>
                <w:sz w:val="12"/>
                <w:szCs w:val="12"/>
              </w:rPr>
            </w:pPr>
            <w:r>
              <w:rPr>
                <w:rFonts w:ascii="黑体" w:hAnsi="黑体" w:cs="黑体" w:eastAsia="黑体" w:hint="default"/>
                <w:w w:val="105"/>
                <w:sz w:val="12"/>
                <w:szCs w:val="12"/>
              </w:rPr>
              <w:t>六、年末现金及现金等价物余额</w:t>
            </w:r>
            <w:r>
              <w:rPr>
                <w:rFonts w:ascii="黑体" w:hAnsi="黑体" w:cs="黑体" w:eastAsia="黑体" w:hint="default"/>
                <w:sz w:val="12"/>
                <w:szCs w:val="12"/>
              </w:rPr>
            </w:r>
          </w:p>
        </w:tc>
        <w:tc>
          <w:tcPr>
            <w:tcW w:w="893" w:type="dxa"/>
            <w:tcBorders>
              <w:top w:val="single" w:sz="5" w:space="0" w:color="000000"/>
              <w:left w:val="single" w:sz="5" w:space="0" w:color="000000"/>
              <w:bottom w:val="single" w:sz="6" w:space="0" w:color="000000"/>
              <w:right w:val="single" w:sz="6" w:space="0" w:color="000000"/>
            </w:tcBorders>
          </w:tcPr>
          <w:p>
            <w:pPr>
              <w:pStyle w:val="TableParagraph"/>
              <w:spacing w:line="165" w:lineRule="exact"/>
              <w:ind w:left="11" w:right="0"/>
              <w:jc w:val="center"/>
              <w:rPr>
                <w:rFonts w:ascii="Arial" w:hAnsi="Arial" w:cs="Arial" w:eastAsia="Arial" w:hint="default"/>
                <w:sz w:val="12"/>
                <w:szCs w:val="12"/>
              </w:rPr>
            </w:pPr>
            <w:r>
              <w:rPr>
                <w:rFonts w:ascii="宋体" w:hAnsi="宋体" w:cs="宋体" w:eastAsia="宋体" w:hint="default"/>
                <w:w w:val="105"/>
                <w:sz w:val="12"/>
                <w:szCs w:val="12"/>
              </w:rPr>
              <w:t>七</w:t>
            </w:r>
            <w:r>
              <w:rPr>
                <w:rFonts w:ascii="Arial" w:hAnsi="Arial" w:cs="Arial" w:eastAsia="Arial" w:hint="default"/>
                <w:w w:val="105"/>
                <w:sz w:val="12"/>
                <w:szCs w:val="12"/>
              </w:rPr>
              <w:t>.36</w:t>
            </w:r>
            <w:r>
              <w:rPr>
                <w:rFonts w:ascii="Arial" w:hAnsi="Arial" w:cs="Arial" w:eastAsia="Arial" w:hint="default"/>
                <w:sz w:val="12"/>
                <w:szCs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58"/>
              <w:jc w:val="right"/>
              <w:rPr>
                <w:rFonts w:ascii="Arial" w:hAnsi="Arial" w:cs="Arial" w:eastAsia="Arial" w:hint="default"/>
                <w:sz w:val="12"/>
                <w:szCs w:val="12"/>
              </w:rPr>
            </w:pPr>
            <w:r>
              <w:rPr>
                <w:rFonts w:ascii="Arial"/>
                <w:spacing w:val="-1"/>
                <w:w w:val="105"/>
                <w:sz w:val="12"/>
              </w:rPr>
              <w:t>6,893,738</w:t>
            </w:r>
            <w:r>
              <w:rPr>
                <w:rFonts w:ascii="Arial"/>
                <w:spacing w:val="-1"/>
                <w:sz w:val="12"/>
              </w:rPr>
            </w:r>
          </w:p>
        </w:tc>
        <w:tc>
          <w:tcPr>
            <w:tcW w:w="125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30"/>
              <w:ind w:right="57"/>
              <w:jc w:val="right"/>
              <w:rPr>
                <w:rFonts w:ascii="Arial" w:hAnsi="Arial" w:cs="Arial" w:eastAsia="Arial" w:hint="default"/>
                <w:sz w:val="12"/>
                <w:szCs w:val="12"/>
              </w:rPr>
            </w:pPr>
            <w:r>
              <w:rPr>
                <w:rFonts w:ascii="Arial"/>
                <w:spacing w:val="-1"/>
                <w:w w:val="105"/>
                <w:sz w:val="12"/>
              </w:rPr>
              <w:t>3,501,220</w:t>
            </w:r>
            <w:r>
              <w:rPr>
                <w:rFonts w:ascii="Arial"/>
                <w:spacing w:val="-1"/>
                <w:sz w:val="12"/>
              </w:rPr>
            </w:r>
          </w:p>
        </w:tc>
        <w:tc>
          <w:tcPr>
            <w:tcW w:w="12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30"/>
              <w:ind w:right="57"/>
              <w:jc w:val="right"/>
              <w:rPr>
                <w:rFonts w:ascii="Arial" w:hAnsi="Arial" w:cs="Arial" w:eastAsia="Arial" w:hint="default"/>
                <w:sz w:val="12"/>
                <w:szCs w:val="12"/>
              </w:rPr>
            </w:pPr>
            <w:r>
              <w:rPr>
                <w:rFonts w:ascii="Arial"/>
                <w:spacing w:val="-1"/>
                <w:w w:val="105"/>
                <w:sz w:val="12"/>
              </w:rPr>
              <w:t>5,331,986</w:t>
            </w:r>
            <w:r>
              <w:rPr>
                <w:rFonts w:ascii="Arial"/>
                <w:spacing w:val="-1"/>
                <w:sz w:val="12"/>
              </w:rPr>
            </w:r>
          </w:p>
        </w:tc>
        <w:tc>
          <w:tcPr>
            <w:tcW w:w="125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57"/>
              <w:jc w:val="right"/>
              <w:rPr>
                <w:rFonts w:ascii="Arial" w:hAnsi="Arial" w:cs="Arial" w:eastAsia="Arial" w:hint="default"/>
                <w:sz w:val="12"/>
                <w:szCs w:val="12"/>
              </w:rPr>
            </w:pPr>
            <w:r>
              <w:rPr>
                <w:rFonts w:ascii="Arial"/>
                <w:spacing w:val="-1"/>
                <w:w w:val="105"/>
                <w:sz w:val="12"/>
              </w:rPr>
              <w:t>1,084,546</w:t>
            </w:r>
            <w:r>
              <w:rPr>
                <w:rFonts w:ascii="Arial"/>
                <w:spacing w:val="-1"/>
                <w:sz w:val="12"/>
              </w:rPr>
            </w:r>
          </w:p>
        </w:tc>
      </w:tr>
    </w:tbl>
    <w:p>
      <w:pPr>
        <w:spacing w:line="240" w:lineRule="auto" w:before="0"/>
        <w:rPr>
          <w:rFonts w:ascii="Arial" w:hAnsi="Arial" w:cs="Arial" w:eastAsia="Arial" w:hint="default"/>
          <w:sz w:val="10"/>
          <w:szCs w:val="10"/>
        </w:rPr>
      </w:pPr>
    </w:p>
    <w:p>
      <w:pPr>
        <w:spacing w:before="68"/>
        <w:ind w:left="172" w:right="100" w:firstLine="0"/>
        <w:jc w:val="left"/>
        <w:rPr>
          <w:rFonts w:ascii="黑体" w:hAnsi="黑体" w:cs="黑体" w:eastAsia="黑体" w:hint="default"/>
          <w:sz w:val="12"/>
          <w:szCs w:val="12"/>
        </w:rPr>
      </w:pPr>
      <w:r>
        <w:rPr>
          <w:rFonts w:ascii="黑体" w:hAnsi="黑体" w:cs="黑体" w:eastAsia="黑体" w:hint="default"/>
          <w:w w:val="105"/>
          <w:sz w:val="12"/>
          <w:szCs w:val="12"/>
        </w:rPr>
        <w:t>后附财务报表附注为财务报表的组成部分。</w:t>
      </w:r>
      <w:r>
        <w:rPr>
          <w:rFonts w:ascii="黑体" w:hAnsi="黑体" w:cs="黑体" w:eastAsia="黑体" w:hint="default"/>
          <w:sz w:val="12"/>
          <w:szCs w:val="12"/>
        </w:rPr>
      </w:r>
    </w:p>
    <w:p>
      <w:pPr>
        <w:spacing w:line="240" w:lineRule="auto" w:before="4"/>
        <w:rPr>
          <w:rFonts w:ascii="黑体" w:hAnsi="黑体" w:cs="黑体" w:eastAsia="黑体" w:hint="default"/>
          <w:sz w:val="12"/>
          <w:szCs w:val="12"/>
        </w:rPr>
      </w:pPr>
    </w:p>
    <w:p>
      <w:pPr>
        <w:tabs>
          <w:tab w:pos="1947" w:val="left" w:leader="none"/>
          <w:tab w:pos="4193" w:val="left" w:leader="none"/>
        </w:tabs>
        <w:spacing w:before="0"/>
        <w:ind w:left="174" w:right="100" w:firstLine="0"/>
        <w:jc w:val="left"/>
        <w:rPr>
          <w:rFonts w:ascii="宋体" w:hAnsi="宋体" w:cs="宋体" w:eastAsia="宋体" w:hint="default"/>
          <w:sz w:val="12"/>
          <w:szCs w:val="12"/>
        </w:rPr>
      </w:pPr>
      <w:r>
        <w:rPr>
          <w:rFonts w:ascii="宋体" w:hAnsi="宋体" w:cs="宋体" w:eastAsia="宋体" w:hint="default"/>
          <w:w w:val="105"/>
          <w:sz w:val="12"/>
          <w:szCs w:val="12"/>
        </w:rPr>
        <w:t>企业负责人：</w:t>
      </w:r>
      <w:r>
        <w:rPr>
          <w:rFonts w:ascii="宋体" w:hAnsi="宋体" w:cs="宋体" w:eastAsia="宋体" w:hint="default"/>
          <w:spacing w:val="-28"/>
          <w:w w:val="105"/>
          <w:sz w:val="12"/>
          <w:szCs w:val="12"/>
        </w:rPr>
        <w:t> </w:t>
      </w:r>
      <w:r>
        <w:rPr>
          <w:rFonts w:ascii="宋体" w:hAnsi="宋体" w:cs="宋体" w:eastAsia="宋体" w:hint="default"/>
          <w:w w:val="105"/>
          <w:sz w:val="12"/>
          <w:szCs w:val="12"/>
        </w:rPr>
        <w:t>张近东</w:t>
        <w:tab/>
        <w:t>主管会计工作的负责人：</w:t>
      </w:r>
      <w:r>
        <w:rPr>
          <w:rFonts w:ascii="宋体" w:hAnsi="宋体" w:cs="宋体" w:eastAsia="宋体" w:hint="default"/>
          <w:spacing w:val="-28"/>
          <w:w w:val="105"/>
          <w:sz w:val="12"/>
          <w:szCs w:val="12"/>
        </w:rPr>
        <w:t> </w:t>
      </w:r>
      <w:r>
        <w:rPr>
          <w:rFonts w:ascii="宋体" w:hAnsi="宋体" w:cs="宋体" w:eastAsia="宋体" w:hint="default"/>
          <w:w w:val="105"/>
          <w:sz w:val="12"/>
          <w:szCs w:val="12"/>
        </w:rPr>
        <w:t>朱华</w:t>
        <w:tab/>
        <w:t>会计机构负责人：肖忠祥</w:t>
      </w:r>
      <w:r>
        <w:rPr>
          <w:rFonts w:ascii="宋体" w:hAnsi="宋体" w:cs="宋体" w:eastAsia="宋体" w:hint="default"/>
          <w:sz w:val="12"/>
          <w:szCs w:val="12"/>
        </w:rPr>
      </w:r>
    </w:p>
    <w:p>
      <w:pPr>
        <w:spacing w:after="0"/>
        <w:jc w:val="left"/>
        <w:rPr>
          <w:rFonts w:ascii="宋体" w:hAnsi="宋体" w:cs="宋体" w:eastAsia="宋体" w:hint="default"/>
          <w:sz w:val="12"/>
          <w:szCs w:val="12"/>
        </w:rPr>
        <w:sectPr>
          <w:pgSz w:w="11910" w:h="16840"/>
          <w:pgMar w:header="826" w:footer="894" w:top="1100" w:bottom="1100" w:left="1500" w:right="620"/>
        </w:sectPr>
      </w:pPr>
    </w:p>
    <w:p>
      <w:pPr>
        <w:spacing w:line="240" w:lineRule="auto" w:before="9"/>
        <w:rPr>
          <w:rFonts w:ascii="宋体" w:hAnsi="宋体" w:cs="宋体" w:eastAsia="宋体" w:hint="default"/>
          <w:sz w:val="19"/>
          <w:szCs w:val="19"/>
        </w:rPr>
      </w:pPr>
    </w:p>
    <w:p>
      <w:pPr>
        <w:spacing w:before="59"/>
        <w:ind w:left="177" w:right="0" w:firstLine="0"/>
        <w:jc w:val="left"/>
        <w:rPr>
          <w:rFonts w:ascii="黑体" w:hAnsi="黑体" w:cs="黑体" w:eastAsia="黑体" w:hint="default"/>
          <w:sz w:val="15"/>
          <w:szCs w:val="15"/>
        </w:rPr>
      </w:pPr>
      <w:r>
        <w:rPr>
          <w:rFonts w:ascii="黑体" w:hAnsi="黑体" w:cs="黑体" w:eastAsia="黑体" w:hint="default"/>
          <w:w w:val="105"/>
          <w:sz w:val="15"/>
          <w:szCs w:val="15"/>
        </w:rPr>
        <w:t>苏宁电器股份有限公司</w:t>
      </w:r>
      <w:r>
        <w:rPr>
          <w:rFonts w:ascii="黑体" w:hAnsi="黑体" w:cs="黑体" w:eastAsia="黑体" w:hint="default"/>
          <w:sz w:val="15"/>
          <w:szCs w:val="15"/>
        </w:rPr>
      </w:r>
    </w:p>
    <w:p>
      <w:pPr>
        <w:spacing w:line="240" w:lineRule="auto" w:before="12"/>
        <w:rPr>
          <w:rFonts w:ascii="黑体" w:hAnsi="黑体" w:cs="黑体" w:eastAsia="黑体" w:hint="default"/>
          <w:sz w:val="13"/>
          <w:szCs w:val="13"/>
        </w:rPr>
      </w:pPr>
    </w:p>
    <w:p>
      <w:pPr>
        <w:spacing w:line="196" w:lineRule="exact" w:before="0"/>
        <w:ind w:left="178" w:right="0" w:firstLine="0"/>
        <w:jc w:val="left"/>
        <w:rPr>
          <w:rFonts w:ascii="黑体" w:hAnsi="黑体" w:cs="黑体" w:eastAsia="黑体" w:hint="default"/>
          <w:sz w:val="15"/>
          <w:szCs w:val="15"/>
        </w:rPr>
      </w:pPr>
      <w:r>
        <w:rPr>
          <w:rFonts w:ascii="Arial" w:hAnsi="Arial" w:cs="Arial" w:eastAsia="Arial" w:hint="default"/>
          <w:w w:val="105"/>
          <w:sz w:val="15"/>
          <w:szCs w:val="15"/>
        </w:rPr>
        <w:t>2008</w:t>
      </w:r>
      <w:r>
        <w:rPr>
          <w:rFonts w:ascii="黑体" w:hAnsi="黑体" w:cs="黑体" w:eastAsia="黑体" w:hint="default"/>
          <w:w w:val="105"/>
          <w:sz w:val="15"/>
          <w:szCs w:val="15"/>
        </w:rPr>
        <w:t>年度合并股东权益变动表</w:t>
      </w:r>
      <w:r>
        <w:rPr>
          <w:rFonts w:ascii="黑体" w:hAnsi="黑体" w:cs="黑体" w:eastAsia="黑体" w:hint="default"/>
          <w:sz w:val="15"/>
          <w:szCs w:val="15"/>
        </w:rPr>
      </w:r>
    </w:p>
    <w:p>
      <w:pPr>
        <w:spacing w:line="197" w:lineRule="exact" w:before="0"/>
        <w:ind w:left="177" w:right="0" w:firstLine="0"/>
        <w:jc w:val="left"/>
        <w:rPr>
          <w:rFonts w:ascii="宋体" w:hAnsi="宋体" w:cs="宋体" w:eastAsia="宋体" w:hint="default"/>
          <w:sz w:val="15"/>
          <w:szCs w:val="15"/>
        </w:rPr>
      </w:pPr>
      <w:r>
        <w:rPr>
          <w:rFonts w:ascii="Times New Roman" w:hAnsi="Times New Roman" w:cs="Times New Roman" w:eastAsia="Times New Roman" w:hint="default"/>
          <w:w w:val="105"/>
          <w:sz w:val="15"/>
          <w:szCs w:val="15"/>
        </w:rPr>
        <w:t>(</w:t>
      </w:r>
      <w:r>
        <w:rPr>
          <w:rFonts w:ascii="宋体" w:hAnsi="宋体" w:cs="宋体" w:eastAsia="宋体" w:hint="default"/>
          <w:w w:val="105"/>
          <w:sz w:val="15"/>
          <w:szCs w:val="15"/>
        </w:rPr>
        <w:t>除特别注明外，金额单位为人民币千元)</w:t>
      </w:r>
      <w:r>
        <w:rPr>
          <w:rFonts w:ascii="宋体" w:hAnsi="宋体" w:cs="宋体" w:eastAsia="宋体" w:hint="default"/>
          <w:sz w:val="15"/>
          <w:szCs w:val="15"/>
        </w:rPr>
      </w:r>
    </w:p>
    <w:p>
      <w:pPr>
        <w:spacing w:line="240" w:lineRule="auto" w:before="10"/>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3214"/>
        <w:gridCol w:w="920"/>
        <w:gridCol w:w="868"/>
        <w:gridCol w:w="868"/>
        <w:gridCol w:w="869"/>
        <w:gridCol w:w="869"/>
        <w:gridCol w:w="868"/>
        <w:gridCol w:w="869"/>
      </w:tblGrid>
      <w:tr>
        <w:trPr>
          <w:trHeight w:val="235" w:hRule="exact"/>
        </w:trPr>
        <w:tc>
          <w:tcPr>
            <w:tcW w:w="3214"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6"/>
              <w:ind w:left="12" w:right="0"/>
              <w:jc w:val="center"/>
              <w:rPr>
                <w:rFonts w:ascii="黑体" w:hAnsi="黑体" w:cs="黑体" w:eastAsia="黑体" w:hint="default"/>
                <w:sz w:val="13"/>
                <w:szCs w:val="13"/>
              </w:rPr>
            </w:pPr>
            <w:r>
              <w:rPr>
                <w:rFonts w:ascii="黑体" w:hAnsi="黑体" w:cs="黑体" w:eastAsia="黑体" w:hint="default"/>
                <w:sz w:val="13"/>
                <w:szCs w:val="13"/>
              </w:rPr>
              <w:t>项目</w:t>
            </w:r>
          </w:p>
        </w:tc>
        <w:tc>
          <w:tcPr>
            <w:tcW w:w="920" w:type="dxa"/>
            <w:vMerge w:val="restart"/>
            <w:tcBorders>
              <w:top w:val="single" w:sz="5" w:space="0" w:color="000000"/>
              <w:left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 w:right="0"/>
              <w:jc w:val="center"/>
              <w:rPr>
                <w:rFonts w:ascii="黑体" w:hAnsi="黑体" w:cs="黑体" w:eastAsia="黑体" w:hint="default"/>
                <w:sz w:val="13"/>
                <w:szCs w:val="13"/>
              </w:rPr>
            </w:pPr>
            <w:r>
              <w:rPr>
                <w:rFonts w:ascii="黑体" w:hAnsi="黑体" w:cs="黑体" w:eastAsia="黑体" w:hint="default"/>
                <w:sz w:val="13"/>
                <w:szCs w:val="13"/>
              </w:rPr>
              <w:t>附注</w:t>
            </w:r>
          </w:p>
        </w:tc>
        <w:tc>
          <w:tcPr>
            <w:tcW w:w="3474" w:type="dxa"/>
            <w:gridSpan w:val="4"/>
            <w:tcBorders>
              <w:top w:val="single" w:sz="5" w:space="0" w:color="000000"/>
              <w:left w:val="single" w:sz="5" w:space="0" w:color="000000"/>
              <w:bottom w:val="single" w:sz="6" w:space="0" w:color="000000"/>
              <w:right w:val="single" w:sz="5" w:space="0" w:color="000000"/>
            </w:tcBorders>
          </w:tcPr>
          <w:p>
            <w:pPr>
              <w:pStyle w:val="TableParagraph"/>
              <w:spacing w:line="240" w:lineRule="auto" w:before="40"/>
              <w:ind w:left="1082" w:right="0"/>
              <w:jc w:val="left"/>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868" w:type="dxa"/>
            <w:vMerge w:val="restart"/>
            <w:tcBorders>
              <w:top w:val="single" w:sz="5" w:space="0" w:color="000000"/>
              <w:left w:val="single" w:sz="5" w:space="0" w:color="000000"/>
              <w:right w:val="single" w:sz="6"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869" w:type="dxa"/>
            <w:vMerge w:val="restart"/>
            <w:tcBorders>
              <w:top w:val="single" w:sz="5" w:space="0" w:color="000000"/>
              <w:left w:val="single" w:sz="6" w:space="0" w:color="000000"/>
              <w:right w:val="single" w:sz="5"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322" w:hRule="exact"/>
        </w:trPr>
        <w:tc>
          <w:tcPr>
            <w:tcW w:w="3214" w:type="dxa"/>
            <w:vMerge/>
            <w:tcBorders>
              <w:left w:val="single" w:sz="5" w:space="0" w:color="000000"/>
              <w:right w:val="single" w:sz="5" w:space="0" w:color="000000"/>
            </w:tcBorders>
          </w:tcPr>
          <w:p>
            <w:pPr/>
          </w:p>
        </w:tc>
        <w:tc>
          <w:tcPr>
            <w:tcW w:w="920" w:type="dxa"/>
            <w:vMerge/>
            <w:tcBorders>
              <w:left w:val="single" w:sz="5" w:space="0" w:color="000000"/>
              <w:bottom w:val="single" w:sz="6" w:space="0" w:color="000000"/>
              <w:right w:val="single" w:sz="5" w:space="0" w:color="000000"/>
            </w:tcBorders>
          </w:tcPr>
          <w:p>
            <w:pPr/>
          </w:p>
        </w:tc>
        <w:tc>
          <w:tcPr>
            <w:tcW w:w="86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left="9"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86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8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left="17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8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868" w:type="dxa"/>
            <w:vMerge/>
            <w:tcBorders>
              <w:left w:val="single" w:sz="5" w:space="0" w:color="000000"/>
              <w:bottom w:val="single" w:sz="6" w:space="0" w:color="000000"/>
              <w:right w:val="single" w:sz="6" w:space="0" w:color="000000"/>
            </w:tcBorders>
          </w:tcPr>
          <w:p>
            <w:pPr/>
          </w:p>
        </w:tc>
        <w:tc>
          <w:tcPr>
            <w:tcW w:w="869" w:type="dxa"/>
            <w:vMerge/>
            <w:tcBorders>
              <w:left w:val="single" w:sz="6" w:space="0" w:color="000000"/>
              <w:bottom w:val="single" w:sz="6" w:space="0" w:color="000000"/>
              <w:right w:val="single" w:sz="5" w:space="0" w:color="000000"/>
            </w:tcBorders>
          </w:tcPr>
          <w:p>
            <w:pPr/>
          </w:p>
        </w:tc>
      </w:tr>
      <w:tr>
        <w:trPr>
          <w:trHeight w:val="190" w:hRule="exact"/>
        </w:trPr>
        <w:tc>
          <w:tcPr>
            <w:tcW w:w="3214" w:type="dxa"/>
            <w:vMerge/>
            <w:tcBorders>
              <w:left w:val="single" w:sz="5" w:space="0" w:color="000000"/>
              <w:bottom w:val="single" w:sz="5" w:space="0" w:color="000000"/>
              <w:right w:val="single" w:sz="5" w:space="0" w:color="000000"/>
            </w:tcBorders>
          </w:tcPr>
          <w:p>
            <w:pPr/>
          </w:p>
        </w:tc>
        <w:tc>
          <w:tcPr>
            <w:tcW w:w="920" w:type="dxa"/>
            <w:tcBorders>
              <w:top w:val="single" w:sz="6" w:space="0" w:color="000000"/>
              <w:left w:val="single" w:sz="5" w:space="0" w:color="000000"/>
              <w:bottom w:val="single" w:sz="5" w:space="0" w:color="000000"/>
              <w:right w:val="single" w:sz="5" w:space="0" w:color="000000"/>
            </w:tcBorders>
          </w:tcPr>
          <w:p>
            <w:pPr/>
          </w:p>
        </w:tc>
        <w:tc>
          <w:tcPr>
            <w:tcW w:w="5210" w:type="dxa"/>
            <w:gridSpan w:val="6"/>
            <w:tcBorders>
              <w:top w:val="single" w:sz="6" w:space="0" w:color="000000"/>
              <w:left w:val="single" w:sz="5" w:space="0" w:color="000000"/>
              <w:bottom w:val="single" w:sz="5" w:space="0" w:color="000000"/>
              <w:right w:val="single" w:sz="5" w:space="0" w:color="000000"/>
            </w:tcBorders>
          </w:tcPr>
          <w:p>
            <w:pPr>
              <w:pStyle w:val="TableParagraph"/>
              <w:spacing w:line="174" w:lineRule="exact"/>
              <w:ind w:left="10" w:right="0"/>
              <w:jc w:val="center"/>
              <w:rPr>
                <w:rFonts w:ascii="Arial" w:hAnsi="Arial" w:cs="Arial" w:eastAsia="Arial" w:hint="default"/>
                <w:sz w:val="13"/>
                <w:szCs w:val="13"/>
              </w:rPr>
            </w:pPr>
            <w:r>
              <w:rPr>
                <w:rFonts w:ascii="Arial" w:hAnsi="Arial" w:cs="Arial" w:eastAsia="Arial" w:hint="default"/>
                <w:sz w:val="13"/>
                <w:szCs w:val="13"/>
              </w:rPr>
              <w:t>(</w:t>
            </w:r>
            <w:r>
              <w:rPr>
                <w:rFonts w:ascii="宋体" w:hAnsi="宋体" w:cs="宋体" w:eastAsia="宋体" w:hint="default"/>
                <w:sz w:val="13"/>
                <w:szCs w:val="13"/>
              </w:rPr>
              <w:t>人民币千元</w:t>
            </w:r>
            <w:r>
              <w:rPr>
                <w:rFonts w:ascii="Arial" w:hAnsi="Arial" w:cs="Arial" w:eastAsia="Arial" w:hint="default"/>
                <w:sz w:val="13"/>
                <w:szCs w:val="13"/>
              </w:rPr>
              <w:t>)</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8" w:right="0"/>
              <w:jc w:val="left"/>
              <w:rPr>
                <w:rFonts w:ascii="黑体" w:hAnsi="黑体" w:cs="黑体" w:eastAsia="黑体" w:hint="default"/>
                <w:sz w:val="13"/>
                <w:szCs w:val="13"/>
              </w:rPr>
            </w:pPr>
            <w:r>
              <w:rPr>
                <w:rFonts w:ascii="黑体" w:hAnsi="黑体" w:cs="黑体" w:eastAsia="黑体" w:hint="default"/>
                <w:sz w:val="13"/>
                <w:szCs w:val="13"/>
              </w:rPr>
              <w:t>2007年1月1日年初余额</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spacing w:val="-1"/>
                <w:sz w:val="13"/>
              </w:rPr>
              <w:t>720,752</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936,391</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131,018</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spacing w:val="-1"/>
                <w:sz w:val="13"/>
              </w:rPr>
              <w:t>1,369,975</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135,628</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3,293,764</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8" w:right="0"/>
              <w:jc w:val="left"/>
              <w:rPr>
                <w:rFonts w:ascii="黑体" w:hAnsi="黑体" w:cs="黑体" w:eastAsia="黑体" w:hint="default"/>
                <w:sz w:val="13"/>
                <w:szCs w:val="13"/>
              </w:rPr>
            </w:pPr>
            <w:r>
              <w:rPr>
                <w:rFonts w:ascii="黑体" w:hAnsi="黑体" w:cs="黑体" w:eastAsia="黑体" w:hint="default"/>
                <w:sz w:val="13"/>
                <w:szCs w:val="13"/>
              </w:rPr>
              <w:t>2007年度增减变动额</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9" w:hRule="exact"/>
        </w:trPr>
        <w:tc>
          <w:tcPr>
            <w:tcW w:w="3214" w:type="dxa"/>
            <w:tcBorders>
              <w:top w:val="single" w:sz="5" w:space="0" w:color="000000"/>
              <w:left w:val="single" w:sz="5" w:space="0" w:color="000000"/>
              <w:bottom w:val="single" w:sz="5" w:space="0" w:color="000000"/>
              <w:right w:val="single" w:sz="5" w:space="0" w:color="000000"/>
            </w:tcBorders>
          </w:tcPr>
          <w:p>
            <w:pPr>
              <w:pStyle w:val="TableParagraph"/>
              <w:spacing w:line="165" w:lineRule="exact"/>
              <w:ind w:left="150" w:right="0"/>
              <w:jc w:val="left"/>
              <w:rPr>
                <w:rFonts w:ascii="宋体" w:hAnsi="宋体" w:cs="宋体" w:eastAsia="宋体" w:hint="default"/>
                <w:sz w:val="13"/>
                <w:szCs w:val="13"/>
              </w:rPr>
            </w:pPr>
            <w:r>
              <w:rPr>
                <w:rFonts w:ascii="宋体" w:hAnsi="宋体" w:cs="宋体" w:eastAsia="宋体" w:hint="default"/>
                <w:sz w:val="13"/>
                <w:szCs w:val="13"/>
              </w:rPr>
              <w:t>净利润</w:t>
            </w:r>
          </w:p>
        </w:tc>
        <w:tc>
          <w:tcPr>
            <w:tcW w:w="920" w:type="dxa"/>
            <w:tcBorders>
              <w:top w:val="single" w:sz="5" w:space="0" w:color="000000"/>
              <w:left w:val="single" w:sz="5" w:space="0" w:color="000000"/>
              <w:bottom w:val="single" w:sz="5" w:space="0" w:color="000000"/>
              <w:right w:val="single" w:sz="5" w:space="0" w:color="000000"/>
            </w:tcBorders>
          </w:tcPr>
          <w:p>
            <w:pPr/>
          </w:p>
        </w:tc>
        <w:tc>
          <w:tcPr>
            <w:tcW w:w="86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spacing w:val="-1"/>
                <w:sz w:val="13"/>
              </w:rPr>
              <w:t>1,465,426</w:t>
            </w:r>
            <w:r>
              <w:rPr>
                <w:rFonts w:ascii="Arial"/>
                <w:sz w:val="13"/>
              </w:rPr>
            </w:r>
          </w:p>
        </w:tc>
        <w:tc>
          <w:tcPr>
            <w:tcW w:w="86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57,742</w:t>
            </w:r>
          </w:p>
        </w:tc>
        <w:tc>
          <w:tcPr>
            <w:tcW w:w="8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1,523,168</w:t>
            </w:r>
          </w:p>
        </w:tc>
      </w:tr>
      <w:tr>
        <w:trPr>
          <w:trHeight w:val="189" w:hRule="exact"/>
        </w:trPr>
        <w:tc>
          <w:tcPr>
            <w:tcW w:w="3214" w:type="dxa"/>
            <w:tcBorders>
              <w:top w:val="single" w:sz="5" w:space="0" w:color="000000"/>
              <w:left w:val="single" w:sz="5" w:space="0" w:color="000000"/>
              <w:bottom w:val="single" w:sz="5" w:space="0" w:color="000000"/>
              <w:right w:val="single" w:sz="5" w:space="0" w:color="000000"/>
            </w:tcBorders>
          </w:tcPr>
          <w:p>
            <w:pPr>
              <w:pStyle w:val="TableParagraph"/>
              <w:spacing w:line="165" w:lineRule="exact"/>
              <w:ind w:left="149" w:right="0"/>
              <w:jc w:val="left"/>
              <w:rPr>
                <w:rFonts w:ascii="宋体" w:hAnsi="宋体" w:cs="宋体" w:eastAsia="宋体" w:hint="default"/>
                <w:sz w:val="13"/>
                <w:szCs w:val="13"/>
              </w:rPr>
            </w:pPr>
            <w:r>
              <w:rPr>
                <w:rFonts w:ascii="宋体" w:hAnsi="宋体" w:cs="宋体" w:eastAsia="宋体" w:hint="default"/>
                <w:sz w:val="13"/>
                <w:szCs w:val="13"/>
              </w:rPr>
              <w:t>股东投入和减少资本</w:t>
            </w:r>
          </w:p>
        </w:tc>
        <w:tc>
          <w:tcPr>
            <w:tcW w:w="920" w:type="dxa"/>
            <w:tcBorders>
              <w:top w:val="single" w:sz="5" w:space="0" w:color="000000"/>
              <w:left w:val="single" w:sz="5" w:space="0" w:color="000000"/>
              <w:bottom w:val="single" w:sz="5" w:space="0" w:color="000000"/>
              <w:right w:val="single" w:sz="5" w:space="0" w:color="000000"/>
            </w:tcBorders>
          </w:tcPr>
          <w:p>
            <w:pPr/>
          </w:p>
        </w:tc>
        <w:tc>
          <w:tcPr>
            <w:tcW w:w="868" w:type="dxa"/>
            <w:tcBorders>
              <w:top w:val="single" w:sz="5" w:space="0" w:color="000000"/>
              <w:left w:val="single" w:sz="5" w:space="0" w:color="000000"/>
              <w:bottom w:val="single" w:sz="5" w:space="0" w:color="000000"/>
              <w:right w:val="single" w:sz="5" w:space="0" w:color="000000"/>
            </w:tcBorders>
          </w:tcPr>
          <w:p>
            <w:pPr/>
          </w:p>
        </w:tc>
        <w:tc>
          <w:tcPr>
            <w:tcW w:w="868" w:type="dxa"/>
            <w:tcBorders>
              <w:top w:val="single" w:sz="5" w:space="0" w:color="000000"/>
              <w:left w:val="single" w:sz="5" w:space="0" w:color="000000"/>
              <w:bottom w:val="single" w:sz="5" w:space="0" w:color="000000"/>
              <w:right w:val="single" w:sz="6" w:space="0" w:color="000000"/>
            </w:tcBorders>
          </w:tcPr>
          <w:p>
            <w:pPr/>
          </w:p>
        </w:tc>
        <w:tc>
          <w:tcPr>
            <w:tcW w:w="869" w:type="dxa"/>
            <w:tcBorders>
              <w:top w:val="single" w:sz="5" w:space="0" w:color="000000"/>
              <w:left w:val="single" w:sz="6" w:space="0" w:color="000000"/>
              <w:bottom w:val="single" w:sz="5" w:space="0" w:color="000000"/>
              <w:right w:val="single" w:sz="5" w:space="0" w:color="000000"/>
            </w:tcBorders>
          </w:tcPr>
          <w:p>
            <w:pPr/>
          </w:p>
        </w:tc>
        <w:tc>
          <w:tcPr>
            <w:tcW w:w="869" w:type="dxa"/>
            <w:tcBorders>
              <w:top w:val="single" w:sz="5" w:space="0" w:color="000000"/>
              <w:left w:val="single" w:sz="5" w:space="0" w:color="000000"/>
              <w:bottom w:val="single" w:sz="5" w:space="0" w:color="000000"/>
              <w:right w:val="single" w:sz="5" w:space="0" w:color="000000"/>
            </w:tcBorders>
          </w:tcPr>
          <w:p>
            <w:pPr/>
          </w:p>
        </w:tc>
        <w:tc>
          <w:tcPr>
            <w:tcW w:w="868" w:type="dxa"/>
            <w:tcBorders>
              <w:top w:val="single" w:sz="5" w:space="0" w:color="000000"/>
              <w:left w:val="single" w:sz="5" w:space="0" w:color="000000"/>
              <w:bottom w:val="single" w:sz="5" w:space="0" w:color="000000"/>
              <w:right w:val="single" w:sz="6" w:space="0" w:color="000000"/>
            </w:tcBorders>
          </w:tcPr>
          <w:p>
            <w:pPr/>
          </w:p>
        </w:tc>
        <w:tc>
          <w:tcPr>
            <w:tcW w:w="869" w:type="dxa"/>
            <w:tcBorders>
              <w:top w:val="single" w:sz="5" w:space="0" w:color="000000"/>
              <w:left w:val="single" w:sz="6" w:space="0" w:color="000000"/>
              <w:bottom w:val="single" w:sz="5" w:space="0" w:color="000000"/>
              <w:right w:val="single" w:sz="5" w:space="0" w:color="000000"/>
            </w:tcBorders>
          </w:tcPr>
          <w:p>
            <w:pPr/>
          </w:p>
        </w:tc>
      </w:tr>
      <w:tr>
        <w:trPr>
          <w:trHeight w:val="189" w:hRule="exact"/>
        </w:trPr>
        <w:tc>
          <w:tcPr>
            <w:tcW w:w="3214" w:type="dxa"/>
            <w:tcBorders>
              <w:top w:val="single" w:sz="5" w:space="0" w:color="000000"/>
              <w:left w:val="single" w:sz="5" w:space="0" w:color="000000"/>
              <w:bottom w:val="single" w:sz="5"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少数股东投入资本</w:t>
            </w:r>
          </w:p>
        </w:tc>
        <w:tc>
          <w:tcPr>
            <w:tcW w:w="920" w:type="dxa"/>
            <w:tcBorders>
              <w:top w:val="single" w:sz="5" w:space="0" w:color="000000"/>
              <w:left w:val="single" w:sz="5" w:space="0" w:color="000000"/>
              <w:bottom w:val="single" w:sz="5" w:space="0" w:color="000000"/>
              <w:right w:val="single" w:sz="5" w:space="0" w:color="000000"/>
            </w:tcBorders>
          </w:tcPr>
          <w:p>
            <w:pPr/>
          </w:p>
        </w:tc>
        <w:tc>
          <w:tcPr>
            <w:tcW w:w="86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4"/>
              <w:ind w:right="58"/>
              <w:jc w:val="right"/>
              <w:rPr>
                <w:rFonts w:ascii="Arial" w:hAnsi="Arial" w:cs="Arial" w:eastAsia="Arial" w:hint="default"/>
                <w:sz w:val="13"/>
                <w:szCs w:val="13"/>
              </w:rPr>
            </w:pPr>
            <w:r>
              <w:rPr>
                <w:rFonts w:ascii="Arial"/>
                <w:spacing w:val="-1"/>
                <w:sz w:val="13"/>
              </w:rPr>
              <w:t>11,050</w:t>
            </w:r>
          </w:p>
        </w:tc>
        <w:tc>
          <w:tcPr>
            <w:tcW w:w="8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11,050</w:t>
            </w:r>
          </w:p>
        </w:tc>
      </w:tr>
      <w:tr>
        <w:trPr>
          <w:trHeight w:val="189"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少数股东撤出资本</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4"/>
              <w:ind w:right="15"/>
              <w:jc w:val="right"/>
              <w:rPr>
                <w:rFonts w:ascii="Arial" w:hAnsi="Arial" w:cs="Arial" w:eastAsia="Arial" w:hint="default"/>
                <w:sz w:val="13"/>
                <w:szCs w:val="13"/>
              </w:rPr>
            </w:pPr>
            <w:r>
              <w:rPr>
                <w:rFonts w:ascii="Arial"/>
                <w:spacing w:val="-1"/>
                <w:sz w:val="13"/>
              </w:rPr>
              <w:t>(102)</w:t>
            </w:r>
            <w:r>
              <w:rPr>
                <w:rFonts w:ascii="Arial"/>
                <w:sz w:val="13"/>
              </w:rPr>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4"/>
              <w:ind w:right="16"/>
              <w:jc w:val="right"/>
              <w:rPr>
                <w:rFonts w:ascii="Arial" w:hAnsi="Arial" w:cs="Arial" w:eastAsia="Arial" w:hint="default"/>
                <w:sz w:val="13"/>
                <w:szCs w:val="13"/>
              </w:rPr>
            </w:pPr>
            <w:r>
              <w:rPr>
                <w:rFonts w:ascii="Arial"/>
                <w:spacing w:val="-1"/>
                <w:sz w:val="13"/>
              </w:rPr>
              <w:t>(102)</w:t>
            </w:r>
          </w:p>
        </w:tc>
      </w:tr>
      <w:tr>
        <w:trPr>
          <w:trHeight w:val="189"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50" w:right="0"/>
              <w:jc w:val="left"/>
              <w:rPr>
                <w:rFonts w:ascii="宋体" w:hAnsi="宋体" w:cs="宋体" w:eastAsia="宋体" w:hint="default"/>
                <w:sz w:val="13"/>
                <w:szCs w:val="13"/>
              </w:rPr>
            </w:pPr>
            <w:r>
              <w:rPr>
                <w:rFonts w:ascii="宋体" w:hAnsi="宋体" w:cs="宋体" w:eastAsia="宋体" w:hint="default"/>
                <w:sz w:val="13"/>
                <w:szCs w:val="13"/>
              </w:rPr>
              <w:t>利润分配</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9"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提取盈余公积</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4"/>
              <w:ind w:right="58"/>
              <w:jc w:val="right"/>
              <w:rPr>
                <w:rFonts w:ascii="Arial" w:hAnsi="Arial" w:cs="Arial" w:eastAsia="Arial" w:hint="default"/>
                <w:sz w:val="13"/>
                <w:szCs w:val="13"/>
              </w:rPr>
            </w:pPr>
            <w:r>
              <w:rPr>
                <w:rFonts w:ascii="Arial"/>
                <w:spacing w:val="-1"/>
                <w:sz w:val="13"/>
              </w:rPr>
              <w:t>92,852</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4"/>
              <w:ind w:right="16"/>
              <w:jc w:val="right"/>
              <w:rPr>
                <w:rFonts w:ascii="Arial" w:hAnsi="Arial" w:cs="Arial" w:eastAsia="Arial" w:hint="default"/>
                <w:sz w:val="13"/>
                <w:szCs w:val="13"/>
              </w:rPr>
            </w:pPr>
            <w:r>
              <w:rPr>
                <w:rFonts w:ascii="Arial"/>
                <w:spacing w:val="-1"/>
                <w:sz w:val="13"/>
              </w:rPr>
              <w:t>(92,852)</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49" w:right="0"/>
              <w:jc w:val="left"/>
              <w:rPr>
                <w:rFonts w:ascii="宋体" w:hAnsi="宋体" w:cs="宋体" w:eastAsia="宋体" w:hint="default"/>
                <w:sz w:val="13"/>
                <w:szCs w:val="13"/>
              </w:rPr>
            </w:pPr>
            <w:r>
              <w:rPr>
                <w:rFonts w:ascii="宋体" w:hAnsi="宋体" w:cs="宋体" w:eastAsia="宋体" w:hint="default"/>
                <w:sz w:val="13"/>
                <w:szCs w:val="13"/>
              </w:rPr>
              <w:t>股东权益内部结转</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281" w:right="0"/>
              <w:jc w:val="left"/>
              <w:rPr>
                <w:rFonts w:ascii="宋体" w:hAnsi="宋体" w:cs="宋体" w:eastAsia="宋体" w:hint="default"/>
                <w:sz w:val="13"/>
                <w:szCs w:val="13"/>
              </w:rPr>
            </w:pPr>
            <w:r>
              <w:rPr>
                <w:rFonts w:ascii="宋体" w:hAnsi="宋体" w:cs="宋体" w:eastAsia="宋体" w:hint="default"/>
                <w:sz w:val="13"/>
                <w:szCs w:val="13"/>
              </w:rPr>
              <w:t>资本公积转增股本</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spacing w:val="-1"/>
                <w:sz w:val="13"/>
              </w:rPr>
              <w:t>720,752</w:t>
            </w:r>
            <w:r>
              <w:rPr>
                <w:rFonts w:ascii="Arial"/>
                <w:sz w:val="13"/>
              </w:rPr>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16"/>
              <w:jc w:val="right"/>
              <w:rPr>
                <w:rFonts w:ascii="Arial" w:hAnsi="Arial" w:cs="Arial" w:eastAsia="Arial" w:hint="default"/>
                <w:sz w:val="13"/>
                <w:szCs w:val="13"/>
              </w:rPr>
            </w:pPr>
            <w:r>
              <w:rPr>
                <w:rFonts w:ascii="Arial"/>
                <w:spacing w:val="-1"/>
                <w:sz w:val="13"/>
              </w:rPr>
              <w:t>(720,752)</w:t>
            </w:r>
            <w:r>
              <w:rPr>
                <w:rFonts w:ascii="Arial"/>
                <w:sz w:val="13"/>
              </w:rPr>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18" w:right="0"/>
              <w:jc w:val="left"/>
              <w:rPr>
                <w:rFonts w:ascii="黑体" w:hAnsi="黑体" w:cs="黑体" w:eastAsia="黑体" w:hint="default"/>
                <w:sz w:val="13"/>
                <w:szCs w:val="13"/>
              </w:rPr>
            </w:pPr>
            <w:r>
              <w:rPr>
                <w:rFonts w:ascii="黑体" w:hAnsi="黑体" w:cs="黑体" w:eastAsia="黑体" w:hint="default"/>
                <w:sz w:val="13"/>
                <w:szCs w:val="13"/>
              </w:rPr>
              <w:t>2007年12月31日年末余额</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spacing w:val="-1"/>
                <w:sz w:val="13"/>
              </w:rPr>
              <w:t>1,441,504</w:t>
            </w:r>
            <w:r>
              <w:rPr>
                <w:rFonts w:ascii="Arial"/>
                <w:sz w:val="13"/>
              </w:rPr>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215,639</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223,870</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spacing w:val="-1"/>
                <w:sz w:val="13"/>
              </w:rPr>
              <w:t>2,742,549</w:t>
            </w:r>
            <w:r>
              <w:rPr>
                <w:rFonts w:ascii="Arial"/>
                <w:sz w:val="13"/>
              </w:rPr>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204,318</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4,827,880</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18" w:right="0"/>
              <w:jc w:val="left"/>
              <w:rPr>
                <w:rFonts w:ascii="黑体" w:hAnsi="黑体" w:cs="黑体" w:eastAsia="黑体" w:hint="default"/>
                <w:sz w:val="13"/>
                <w:szCs w:val="13"/>
              </w:rPr>
            </w:pPr>
            <w:r>
              <w:rPr>
                <w:rFonts w:ascii="黑体" w:hAnsi="黑体" w:cs="黑体" w:eastAsia="黑体" w:hint="default"/>
                <w:sz w:val="13"/>
                <w:szCs w:val="13"/>
              </w:rPr>
              <w:t>2008年1月1日年初余额</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spacing w:val="-1"/>
                <w:sz w:val="13"/>
              </w:rPr>
              <w:t>1,441,504</w:t>
            </w:r>
            <w:r>
              <w:rPr>
                <w:rFonts w:ascii="Arial"/>
                <w:sz w:val="13"/>
              </w:rPr>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215,639</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223,870</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spacing w:val="-1"/>
                <w:sz w:val="13"/>
              </w:rPr>
              <w:t>2,742,549</w:t>
            </w:r>
            <w:r>
              <w:rPr>
                <w:rFonts w:ascii="Arial"/>
                <w:sz w:val="13"/>
              </w:rPr>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204,318</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4,827,880</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18" w:right="0"/>
              <w:jc w:val="left"/>
              <w:rPr>
                <w:rFonts w:ascii="黑体" w:hAnsi="黑体" w:cs="黑体" w:eastAsia="黑体" w:hint="default"/>
                <w:sz w:val="13"/>
                <w:szCs w:val="13"/>
              </w:rPr>
            </w:pPr>
            <w:r>
              <w:rPr>
                <w:rFonts w:ascii="黑体" w:hAnsi="黑体" w:cs="黑体" w:eastAsia="黑体" w:hint="default"/>
                <w:sz w:val="13"/>
                <w:szCs w:val="13"/>
              </w:rPr>
              <w:t>2008年度增减变动额</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w w:val="100"/>
                <w:sz w:val="13"/>
              </w:rPr>
              <w:t>-</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50" w:right="0"/>
              <w:jc w:val="left"/>
              <w:rPr>
                <w:rFonts w:ascii="宋体" w:hAnsi="宋体" w:cs="宋体" w:eastAsia="宋体" w:hint="default"/>
                <w:sz w:val="13"/>
                <w:szCs w:val="13"/>
              </w:rPr>
            </w:pPr>
            <w:r>
              <w:rPr>
                <w:rFonts w:ascii="宋体" w:hAnsi="宋体" w:cs="宋体" w:eastAsia="宋体" w:hint="default"/>
                <w:sz w:val="13"/>
                <w:szCs w:val="13"/>
              </w:rPr>
              <w:t>净利润</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spacing w:val="-1"/>
                <w:sz w:val="13"/>
              </w:rPr>
              <w:t>2,170,189</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89,739</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8"/>
              <w:jc w:val="right"/>
              <w:rPr>
                <w:rFonts w:ascii="Arial" w:hAnsi="Arial" w:cs="Arial" w:eastAsia="Arial" w:hint="default"/>
                <w:sz w:val="13"/>
                <w:szCs w:val="13"/>
              </w:rPr>
            </w:pPr>
            <w:r>
              <w:rPr>
                <w:rFonts w:ascii="Arial"/>
                <w:spacing w:val="-1"/>
                <w:sz w:val="13"/>
              </w:rPr>
              <w:t>2,259,928</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150" w:right="0"/>
              <w:jc w:val="left"/>
              <w:rPr>
                <w:rFonts w:ascii="宋体" w:hAnsi="宋体" w:cs="宋体" w:eastAsia="宋体" w:hint="default"/>
                <w:sz w:val="13"/>
                <w:szCs w:val="13"/>
              </w:rPr>
            </w:pPr>
            <w:r>
              <w:rPr>
                <w:rFonts w:ascii="宋体" w:hAnsi="宋体" w:cs="宋体" w:eastAsia="宋体" w:hint="default"/>
                <w:sz w:val="13"/>
                <w:szCs w:val="13"/>
              </w:rPr>
              <w:t>股东投入和减少资本</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非公开发行人民币普通股</w:t>
            </w:r>
          </w:p>
        </w:tc>
        <w:tc>
          <w:tcPr>
            <w:tcW w:w="920" w:type="dxa"/>
            <w:tcBorders>
              <w:top w:val="single" w:sz="6" w:space="0" w:color="000000"/>
              <w:left w:val="single" w:sz="5" w:space="0" w:color="000000"/>
              <w:bottom w:val="single" w:sz="5" w:space="0" w:color="000000"/>
              <w:right w:val="single" w:sz="5" w:space="0" w:color="000000"/>
            </w:tcBorders>
          </w:tcPr>
          <w:p>
            <w:pPr>
              <w:pStyle w:val="TableParagraph"/>
              <w:spacing w:line="170" w:lineRule="exact"/>
              <w:ind w:left="12" w:right="0"/>
              <w:jc w:val="center"/>
              <w:rPr>
                <w:rFonts w:ascii="Arial" w:hAnsi="Arial" w:cs="Arial" w:eastAsia="Arial" w:hint="default"/>
                <w:sz w:val="13"/>
                <w:szCs w:val="13"/>
              </w:rPr>
            </w:pPr>
            <w:r>
              <w:rPr>
                <w:rFonts w:ascii="宋体" w:hAnsi="宋体" w:cs="宋体" w:eastAsia="宋体" w:hint="default"/>
                <w:sz w:val="13"/>
                <w:szCs w:val="13"/>
              </w:rPr>
              <w:t>七</w:t>
            </w:r>
            <w:r>
              <w:rPr>
                <w:rFonts w:ascii="Arial" w:hAnsi="Arial" w:cs="Arial" w:eastAsia="Arial" w:hint="default"/>
                <w:sz w:val="13"/>
                <w:szCs w:val="13"/>
              </w:rPr>
              <w:t>.24</w:t>
            </w:r>
            <w:r>
              <w:rPr>
                <w:rFonts w:ascii="宋体" w:hAnsi="宋体" w:cs="宋体" w:eastAsia="宋体" w:hint="default"/>
                <w:sz w:val="13"/>
                <w:szCs w:val="13"/>
              </w:rPr>
              <w:t>、七</w:t>
            </w:r>
            <w:r>
              <w:rPr>
                <w:rFonts w:ascii="Arial" w:hAnsi="Arial" w:cs="Arial" w:eastAsia="Arial" w:hint="default"/>
                <w:sz w:val="13"/>
                <w:szCs w:val="13"/>
              </w:rPr>
              <w:t>.25</w:t>
            </w: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spacing w:val="-1"/>
                <w:sz w:val="13"/>
              </w:rPr>
              <w:t>54,000</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8"/>
              <w:jc w:val="right"/>
              <w:rPr>
                <w:rFonts w:ascii="Arial" w:hAnsi="Arial" w:cs="Arial" w:eastAsia="Arial" w:hint="default"/>
                <w:sz w:val="13"/>
                <w:szCs w:val="13"/>
              </w:rPr>
            </w:pPr>
            <w:r>
              <w:rPr>
                <w:rFonts w:ascii="Arial"/>
                <w:spacing w:val="-1"/>
                <w:sz w:val="13"/>
              </w:rPr>
              <w:t>2,366,056</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8"/>
              <w:jc w:val="right"/>
              <w:rPr>
                <w:rFonts w:ascii="Arial" w:hAnsi="Arial" w:cs="Arial" w:eastAsia="Arial" w:hint="default"/>
                <w:sz w:val="13"/>
                <w:szCs w:val="13"/>
              </w:rPr>
            </w:pPr>
            <w:r>
              <w:rPr>
                <w:rFonts w:ascii="Arial"/>
                <w:spacing w:val="-1"/>
                <w:sz w:val="13"/>
              </w:rPr>
              <w:t>2,420,056</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281" w:right="0"/>
              <w:jc w:val="left"/>
              <w:rPr>
                <w:rFonts w:ascii="宋体" w:hAnsi="宋体" w:cs="宋体" w:eastAsia="宋体" w:hint="default"/>
                <w:sz w:val="13"/>
                <w:szCs w:val="13"/>
              </w:rPr>
            </w:pPr>
            <w:r>
              <w:rPr>
                <w:rFonts w:ascii="宋体" w:hAnsi="宋体" w:cs="宋体" w:eastAsia="宋体" w:hint="default"/>
                <w:sz w:val="13"/>
                <w:szCs w:val="13"/>
              </w:rPr>
              <w:t>少数股东投入资本</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8"/>
              <w:jc w:val="right"/>
              <w:rPr>
                <w:rFonts w:ascii="Arial" w:hAnsi="Arial" w:cs="Arial" w:eastAsia="Arial" w:hint="default"/>
                <w:sz w:val="13"/>
                <w:szCs w:val="13"/>
              </w:rPr>
            </w:pPr>
            <w:r>
              <w:rPr>
                <w:rFonts w:ascii="Arial"/>
                <w:spacing w:val="-1"/>
                <w:sz w:val="13"/>
              </w:rPr>
              <w:t>42,306</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spacing w:val="-1"/>
                <w:sz w:val="13"/>
              </w:rPr>
              <w:t>42,306</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50" w:right="0"/>
              <w:jc w:val="left"/>
              <w:rPr>
                <w:rFonts w:ascii="宋体" w:hAnsi="宋体" w:cs="宋体" w:eastAsia="宋体" w:hint="default"/>
                <w:sz w:val="13"/>
                <w:szCs w:val="13"/>
              </w:rPr>
            </w:pPr>
            <w:r>
              <w:rPr>
                <w:rFonts w:ascii="宋体" w:hAnsi="宋体" w:cs="宋体" w:eastAsia="宋体" w:hint="default"/>
                <w:sz w:val="13"/>
                <w:szCs w:val="13"/>
              </w:rPr>
              <w:t>利润分配</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c>
          <w:tcPr>
            <w:tcW w:w="869"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6" w:space="0" w:color="000000"/>
            </w:tcBorders>
          </w:tcPr>
          <w:p>
            <w:pPr/>
          </w:p>
        </w:tc>
        <w:tc>
          <w:tcPr>
            <w:tcW w:w="869" w:type="dxa"/>
            <w:tcBorders>
              <w:top w:val="single" w:sz="6" w:space="0" w:color="000000"/>
              <w:left w:val="single" w:sz="6" w:space="0" w:color="000000"/>
              <w:bottom w:val="single" w:sz="5" w:space="0" w:color="000000"/>
              <w:right w:val="single" w:sz="5" w:space="0" w:color="000000"/>
            </w:tcBorders>
          </w:tcPr>
          <w:p>
            <w:pP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281" w:right="0"/>
              <w:jc w:val="left"/>
              <w:rPr>
                <w:rFonts w:ascii="宋体" w:hAnsi="宋体" w:cs="宋体" w:eastAsia="宋体" w:hint="default"/>
                <w:sz w:val="13"/>
                <w:szCs w:val="13"/>
              </w:rPr>
            </w:pPr>
            <w:r>
              <w:rPr>
                <w:rFonts w:ascii="宋体" w:hAnsi="宋体" w:cs="宋体" w:eastAsia="宋体" w:hint="default"/>
                <w:sz w:val="13"/>
                <w:szCs w:val="13"/>
              </w:rPr>
              <w:t>提取盈余公积</w:t>
            </w:r>
          </w:p>
        </w:tc>
        <w:tc>
          <w:tcPr>
            <w:tcW w:w="920" w:type="dxa"/>
            <w:tcBorders>
              <w:top w:val="single" w:sz="5" w:space="0" w:color="000000"/>
              <w:left w:val="single" w:sz="5" w:space="0" w:color="000000"/>
              <w:bottom w:val="single" w:sz="6" w:space="0" w:color="000000"/>
              <w:right w:val="single" w:sz="5" w:space="0" w:color="000000"/>
            </w:tcBorders>
          </w:tcPr>
          <w:p>
            <w:pPr>
              <w:pStyle w:val="TableParagraph"/>
              <w:spacing w:line="171" w:lineRule="exact"/>
              <w:ind w:left="11" w:right="0"/>
              <w:jc w:val="center"/>
              <w:rPr>
                <w:rFonts w:ascii="Arial" w:hAnsi="Arial" w:cs="Arial" w:eastAsia="Arial" w:hint="default"/>
                <w:sz w:val="13"/>
                <w:szCs w:val="13"/>
              </w:rPr>
            </w:pPr>
            <w:r>
              <w:rPr>
                <w:rFonts w:ascii="宋体" w:hAnsi="宋体" w:cs="宋体" w:eastAsia="宋体" w:hint="default"/>
                <w:sz w:val="13"/>
                <w:szCs w:val="13"/>
              </w:rPr>
              <w:t>七</w:t>
            </w:r>
            <w:r>
              <w:rPr>
                <w:rFonts w:ascii="Arial" w:hAnsi="Arial" w:cs="Arial" w:eastAsia="Arial" w:hint="default"/>
                <w:sz w:val="13"/>
                <w:szCs w:val="13"/>
              </w:rPr>
              <w:t>.26</w:t>
            </w:r>
          </w:p>
        </w:tc>
        <w:tc>
          <w:tcPr>
            <w:tcW w:w="86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61"/>
              <w:jc w:val="right"/>
              <w:rPr>
                <w:rFonts w:ascii="Arial" w:hAnsi="Arial" w:cs="Arial" w:eastAsia="Arial" w:hint="default"/>
                <w:sz w:val="13"/>
                <w:szCs w:val="13"/>
              </w:rPr>
            </w:pPr>
            <w:r>
              <w:rPr>
                <w:rFonts w:ascii="Arial"/>
                <w:w w:val="100"/>
                <w:sz w:val="13"/>
              </w:rPr>
              <w:t>-</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58"/>
              <w:jc w:val="right"/>
              <w:rPr>
                <w:rFonts w:ascii="Arial" w:hAnsi="Arial" w:cs="Arial" w:eastAsia="Arial" w:hint="default"/>
                <w:sz w:val="13"/>
                <w:szCs w:val="13"/>
              </w:rPr>
            </w:pPr>
            <w:r>
              <w:rPr>
                <w:rFonts w:ascii="Arial"/>
                <w:spacing w:val="-1"/>
                <w:sz w:val="13"/>
              </w:rPr>
              <w:t>140,400</w:t>
            </w:r>
          </w:p>
        </w:tc>
        <w:tc>
          <w:tcPr>
            <w:tcW w:w="8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3"/>
              <w:ind w:right="16"/>
              <w:jc w:val="right"/>
              <w:rPr>
                <w:rFonts w:ascii="Arial" w:hAnsi="Arial" w:cs="Arial" w:eastAsia="Arial" w:hint="default"/>
                <w:sz w:val="13"/>
                <w:szCs w:val="13"/>
              </w:rPr>
            </w:pPr>
            <w:r>
              <w:rPr>
                <w:rFonts w:ascii="Arial"/>
                <w:spacing w:val="-1"/>
                <w:sz w:val="13"/>
              </w:rPr>
              <w:t>(140,400)</w:t>
            </w:r>
          </w:p>
        </w:tc>
        <w:tc>
          <w:tcPr>
            <w:tcW w:w="86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3"/>
              <w:ind w:right="59"/>
              <w:jc w:val="right"/>
              <w:rPr>
                <w:rFonts w:ascii="Arial" w:hAnsi="Arial" w:cs="Arial" w:eastAsia="Arial" w:hint="default"/>
                <w:sz w:val="13"/>
                <w:szCs w:val="13"/>
              </w:rPr>
            </w:pPr>
            <w:r>
              <w:rPr>
                <w:rFonts w:ascii="Arial"/>
                <w:w w:val="100"/>
                <w:sz w:val="13"/>
              </w:rPr>
              <w:t>-</w:t>
            </w:r>
          </w:p>
        </w:tc>
        <w:tc>
          <w:tcPr>
            <w:tcW w:w="8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3"/>
              <w:ind w:right="60"/>
              <w:jc w:val="right"/>
              <w:rPr>
                <w:rFonts w:ascii="Arial" w:hAnsi="Arial" w:cs="Arial" w:eastAsia="Arial" w:hint="default"/>
                <w:sz w:val="13"/>
                <w:szCs w:val="13"/>
              </w:rPr>
            </w:pPr>
            <w:r>
              <w:rPr>
                <w:rFonts w:ascii="Arial"/>
                <w:w w:val="100"/>
                <w:sz w:val="13"/>
              </w:rPr>
              <w:t>-</w:t>
            </w: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对股东的分配</w:t>
            </w:r>
          </w:p>
        </w:tc>
        <w:tc>
          <w:tcPr>
            <w:tcW w:w="920" w:type="dxa"/>
            <w:tcBorders>
              <w:top w:val="single" w:sz="6" w:space="0" w:color="000000"/>
              <w:left w:val="single" w:sz="5" w:space="0" w:color="000000"/>
              <w:bottom w:val="single" w:sz="5" w:space="0" w:color="000000"/>
              <w:right w:val="single" w:sz="5" w:space="0" w:color="000000"/>
            </w:tcBorders>
          </w:tcPr>
          <w:p>
            <w:pPr>
              <w:pStyle w:val="TableParagraph"/>
              <w:spacing w:line="170" w:lineRule="exact"/>
              <w:ind w:left="11" w:right="0"/>
              <w:jc w:val="center"/>
              <w:rPr>
                <w:rFonts w:ascii="Arial" w:hAnsi="Arial" w:cs="Arial" w:eastAsia="Arial" w:hint="default"/>
                <w:sz w:val="13"/>
                <w:szCs w:val="13"/>
              </w:rPr>
            </w:pPr>
            <w:r>
              <w:rPr>
                <w:rFonts w:ascii="宋体" w:hAnsi="宋体" w:cs="宋体" w:eastAsia="宋体" w:hint="default"/>
                <w:sz w:val="13"/>
                <w:szCs w:val="13"/>
              </w:rPr>
              <w:t>七</w:t>
            </w:r>
            <w:r>
              <w:rPr>
                <w:rFonts w:ascii="Arial" w:hAnsi="Arial" w:cs="Arial" w:eastAsia="Arial" w:hint="default"/>
                <w:sz w:val="13"/>
                <w:szCs w:val="13"/>
              </w:rPr>
              <w:t>.27</w:t>
            </w: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15"/>
              <w:jc w:val="right"/>
              <w:rPr>
                <w:rFonts w:ascii="Arial" w:hAnsi="Arial" w:cs="Arial" w:eastAsia="Arial" w:hint="default"/>
                <w:sz w:val="13"/>
                <w:szCs w:val="13"/>
              </w:rPr>
            </w:pPr>
            <w:r>
              <w:rPr>
                <w:rFonts w:ascii="Arial"/>
                <w:spacing w:val="-1"/>
                <w:sz w:val="13"/>
              </w:rPr>
              <w:t>(437,850)</w:t>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15"/>
              <w:jc w:val="right"/>
              <w:rPr>
                <w:rFonts w:ascii="Arial" w:hAnsi="Arial" w:cs="Arial" w:eastAsia="Arial" w:hint="default"/>
                <w:sz w:val="13"/>
                <w:szCs w:val="13"/>
              </w:rPr>
            </w:pPr>
            <w:r>
              <w:rPr>
                <w:rFonts w:ascii="Arial"/>
                <w:spacing w:val="-1"/>
                <w:sz w:val="13"/>
              </w:rPr>
              <w:t>(437,850)</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Style w:val="TableParagraph"/>
              <w:spacing w:line="164" w:lineRule="exact"/>
              <w:ind w:left="149" w:right="0"/>
              <w:jc w:val="left"/>
              <w:rPr>
                <w:rFonts w:ascii="宋体" w:hAnsi="宋体" w:cs="宋体" w:eastAsia="宋体" w:hint="default"/>
                <w:sz w:val="13"/>
                <w:szCs w:val="13"/>
              </w:rPr>
            </w:pPr>
            <w:r>
              <w:rPr>
                <w:rFonts w:ascii="宋体" w:hAnsi="宋体" w:cs="宋体" w:eastAsia="宋体" w:hint="default"/>
                <w:sz w:val="13"/>
                <w:szCs w:val="13"/>
              </w:rPr>
              <w:t>股东权益内部结转</w:t>
            </w: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281" w:right="0"/>
              <w:jc w:val="left"/>
              <w:rPr>
                <w:rFonts w:ascii="宋体" w:hAnsi="宋体" w:cs="宋体" w:eastAsia="宋体" w:hint="default"/>
                <w:sz w:val="13"/>
                <w:szCs w:val="13"/>
              </w:rPr>
            </w:pPr>
            <w:r>
              <w:rPr>
                <w:rFonts w:ascii="宋体" w:hAnsi="宋体" w:cs="宋体" w:eastAsia="宋体" w:hint="default"/>
                <w:sz w:val="13"/>
                <w:szCs w:val="13"/>
              </w:rPr>
              <w:t>资本公积转增股本</w:t>
            </w:r>
          </w:p>
        </w:tc>
        <w:tc>
          <w:tcPr>
            <w:tcW w:w="920" w:type="dxa"/>
            <w:tcBorders>
              <w:top w:val="single" w:sz="6" w:space="0" w:color="000000"/>
              <w:left w:val="single" w:sz="5" w:space="0" w:color="000000"/>
              <w:bottom w:val="single" w:sz="5" w:space="0" w:color="000000"/>
              <w:right w:val="single" w:sz="5" w:space="0" w:color="000000"/>
            </w:tcBorders>
          </w:tcPr>
          <w:p>
            <w:pPr>
              <w:pStyle w:val="TableParagraph"/>
              <w:spacing w:line="170" w:lineRule="exact"/>
              <w:ind w:left="12" w:right="0"/>
              <w:jc w:val="center"/>
              <w:rPr>
                <w:rFonts w:ascii="Arial" w:hAnsi="Arial" w:cs="Arial" w:eastAsia="Arial" w:hint="default"/>
                <w:sz w:val="13"/>
                <w:szCs w:val="13"/>
              </w:rPr>
            </w:pPr>
            <w:r>
              <w:rPr>
                <w:rFonts w:ascii="宋体" w:hAnsi="宋体" w:cs="宋体" w:eastAsia="宋体" w:hint="default"/>
                <w:sz w:val="13"/>
                <w:szCs w:val="13"/>
              </w:rPr>
              <w:t>七</w:t>
            </w:r>
            <w:r>
              <w:rPr>
                <w:rFonts w:ascii="Arial" w:hAnsi="Arial" w:cs="Arial" w:eastAsia="Arial" w:hint="default"/>
                <w:sz w:val="13"/>
                <w:szCs w:val="13"/>
              </w:rPr>
              <w:t>.24</w:t>
            </w:r>
            <w:r>
              <w:rPr>
                <w:rFonts w:ascii="宋体" w:hAnsi="宋体" w:cs="宋体" w:eastAsia="宋体" w:hint="default"/>
                <w:sz w:val="13"/>
                <w:szCs w:val="13"/>
              </w:rPr>
              <w:t>、七</w:t>
            </w:r>
            <w:r>
              <w:rPr>
                <w:rFonts w:ascii="Arial" w:hAnsi="Arial" w:cs="Arial" w:eastAsia="Arial" w:hint="default"/>
                <w:sz w:val="13"/>
                <w:szCs w:val="13"/>
              </w:rPr>
              <w:t>.25</w:t>
            </w: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spacing w:val="-1"/>
                <w:sz w:val="13"/>
              </w:rPr>
              <w:t>1,495,504</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16"/>
              <w:jc w:val="right"/>
              <w:rPr>
                <w:rFonts w:ascii="Arial" w:hAnsi="Arial" w:cs="Arial" w:eastAsia="Arial" w:hint="default"/>
                <w:sz w:val="13"/>
                <w:szCs w:val="13"/>
              </w:rPr>
            </w:pPr>
            <w:r>
              <w:rPr>
                <w:rFonts w:ascii="Arial"/>
                <w:spacing w:val="-1"/>
                <w:sz w:val="13"/>
              </w:rPr>
              <w:t>(1,495,504)</w:t>
            </w:r>
            <w:r>
              <w:rPr>
                <w:rFonts w:ascii="Arial"/>
                <w:sz w:val="13"/>
              </w:rPr>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w w:val="100"/>
                <w:sz w:val="13"/>
              </w:rPr>
              <w:t>-</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w w:val="100"/>
                <w:sz w:val="13"/>
              </w:rPr>
              <w:t>-</w:t>
            </w:r>
          </w:p>
        </w:tc>
      </w:tr>
      <w:tr>
        <w:trPr>
          <w:trHeight w:val="188" w:hRule="exact"/>
        </w:trPr>
        <w:tc>
          <w:tcPr>
            <w:tcW w:w="3214" w:type="dxa"/>
            <w:tcBorders>
              <w:top w:val="single" w:sz="5" w:space="0" w:color="000000"/>
              <w:left w:val="single" w:sz="5" w:space="0" w:color="000000"/>
              <w:bottom w:val="single" w:sz="6" w:space="0" w:color="000000"/>
              <w:right w:val="single" w:sz="5" w:space="0" w:color="000000"/>
            </w:tcBorders>
          </w:tcPr>
          <w:p>
            <w:pPr/>
          </w:p>
        </w:tc>
        <w:tc>
          <w:tcPr>
            <w:tcW w:w="920"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c>
          <w:tcPr>
            <w:tcW w:w="869" w:type="dxa"/>
            <w:tcBorders>
              <w:top w:val="single" w:sz="5" w:space="0" w:color="000000"/>
              <w:left w:val="single" w:sz="5" w:space="0" w:color="000000"/>
              <w:bottom w:val="single" w:sz="6" w:space="0" w:color="000000"/>
              <w:right w:val="single" w:sz="5" w:space="0" w:color="000000"/>
            </w:tcBorders>
          </w:tcPr>
          <w:p>
            <w:pPr/>
          </w:p>
        </w:tc>
        <w:tc>
          <w:tcPr>
            <w:tcW w:w="868" w:type="dxa"/>
            <w:tcBorders>
              <w:top w:val="single" w:sz="5" w:space="0" w:color="000000"/>
              <w:left w:val="single" w:sz="5" w:space="0" w:color="000000"/>
              <w:bottom w:val="single" w:sz="6" w:space="0" w:color="000000"/>
              <w:right w:val="single" w:sz="6" w:space="0" w:color="000000"/>
            </w:tcBorders>
          </w:tcPr>
          <w:p>
            <w:pPr/>
          </w:p>
        </w:tc>
        <w:tc>
          <w:tcPr>
            <w:tcW w:w="869" w:type="dxa"/>
            <w:tcBorders>
              <w:top w:val="single" w:sz="5" w:space="0" w:color="000000"/>
              <w:left w:val="single" w:sz="6" w:space="0" w:color="000000"/>
              <w:bottom w:val="single" w:sz="6" w:space="0" w:color="000000"/>
              <w:right w:val="single" w:sz="5" w:space="0" w:color="000000"/>
            </w:tcBorders>
          </w:tcPr>
          <w:p>
            <w:pPr/>
          </w:p>
        </w:tc>
      </w:tr>
      <w:tr>
        <w:trPr>
          <w:trHeight w:val="190" w:hRule="exact"/>
        </w:trPr>
        <w:tc>
          <w:tcPr>
            <w:tcW w:w="3214" w:type="dxa"/>
            <w:tcBorders>
              <w:top w:val="single" w:sz="6" w:space="0" w:color="000000"/>
              <w:left w:val="single" w:sz="5" w:space="0" w:color="000000"/>
              <w:bottom w:val="single" w:sz="5" w:space="0" w:color="000000"/>
              <w:right w:val="single" w:sz="5" w:space="0" w:color="000000"/>
            </w:tcBorders>
          </w:tcPr>
          <w:p>
            <w:pPr>
              <w:pStyle w:val="TableParagraph"/>
              <w:spacing w:line="165" w:lineRule="exact"/>
              <w:ind w:left="18" w:right="0"/>
              <w:jc w:val="left"/>
              <w:rPr>
                <w:rFonts w:ascii="黑体" w:hAnsi="黑体" w:cs="黑体" w:eastAsia="黑体" w:hint="default"/>
                <w:sz w:val="13"/>
                <w:szCs w:val="13"/>
              </w:rPr>
            </w:pPr>
            <w:r>
              <w:rPr>
                <w:rFonts w:ascii="黑体" w:hAnsi="黑体" w:cs="黑体" w:eastAsia="黑体" w:hint="default"/>
                <w:sz w:val="13"/>
                <w:szCs w:val="13"/>
              </w:rPr>
              <w:t>2008年12月31日年末余额</w:t>
            </w:r>
          </w:p>
        </w:tc>
        <w:tc>
          <w:tcPr>
            <w:tcW w:w="920" w:type="dxa"/>
            <w:tcBorders>
              <w:top w:val="single" w:sz="6" w:space="0" w:color="000000"/>
              <w:left w:val="single" w:sz="5" w:space="0" w:color="000000"/>
              <w:bottom w:val="single" w:sz="5" w:space="0" w:color="000000"/>
              <w:right w:val="single" w:sz="5" w:space="0" w:color="000000"/>
            </w:tcBorders>
          </w:tcPr>
          <w:p>
            <w:pPr/>
          </w:p>
        </w:tc>
        <w:tc>
          <w:tcPr>
            <w:tcW w:w="8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1"/>
              <w:jc w:val="right"/>
              <w:rPr>
                <w:rFonts w:ascii="Arial" w:hAnsi="Arial" w:cs="Arial" w:eastAsia="Arial" w:hint="default"/>
                <w:sz w:val="13"/>
                <w:szCs w:val="13"/>
              </w:rPr>
            </w:pPr>
            <w:r>
              <w:rPr>
                <w:rFonts w:ascii="Arial"/>
                <w:spacing w:val="-1"/>
                <w:sz w:val="13"/>
              </w:rPr>
              <w:t>2,991,008</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1,086,191</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364,270</w:t>
            </w:r>
          </w:p>
        </w:tc>
        <w:tc>
          <w:tcPr>
            <w:tcW w:w="8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4"/>
              <w:ind w:right="60"/>
              <w:jc w:val="right"/>
              <w:rPr>
                <w:rFonts w:ascii="Arial" w:hAnsi="Arial" w:cs="Arial" w:eastAsia="Arial" w:hint="default"/>
                <w:sz w:val="13"/>
                <w:szCs w:val="13"/>
              </w:rPr>
            </w:pPr>
            <w:r>
              <w:rPr>
                <w:rFonts w:ascii="Arial"/>
                <w:spacing w:val="-1"/>
                <w:sz w:val="13"/>
              </w:rPr>
              <w:t>4,334,488</w:t>
            </w:r>
            <w:r>
              <w:rPr>
                <w:rFonts w:ascii="Arial"/>
                <w:sz w:val="13"/>
              </w:rPr>
            </w:r>
          </w:p>
        </w:tc>
        <w:tc>
          <w:tcPr>
            <w:tcW w:w="86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336,363</w:t>
            </w:r>
          </w:p>
        </w:tc>
        <w:tc>
          <w:tcPr>
            <w:tcW w:w="8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4"/>
              <w:ind w:right="59"/>
              <w:jc w:val="right"/>
              <w:rPr>
                <w:rFonts w:ascii="Arial" w:hAnsi="Arial" w:cs="Arial" w:eastAsia="Arial" w:hint="default"/>
                <w:sz w:val="13"/>
                <w:szCs w:val="13"/>
              </w:rPr>
            </w:pPr>
            <w:r>
              <w:rPr>
                <w:rFonts w:ascii="Arial"/>
                <w:spacing w:val="-1"/>
                <w:sz w:val="13"/>
              </w:rPr>
              <w:t>9,112,320</w:t>
            </w:r>
          </w:p>
        </w:tc>
      </w:tr>
    </w:tbl>
    <w:p>
      <w:pPr>
        <w:spacing w:line="240" w:lineRule="auto" w:before="5"/>
        <w:rPr>
          <w:rFonts w:ascii="宋体" w:hAnsi="宋体" w:cs="宋体" w:eastAsia="宋体" w:hint="default"/>
          <w:sz w:val="9"/>
          <w:szCs w:val="9"/>
        </w:rPr>
      </w:pPr>
    </w:p>
    <w:p>
      <w:pPr>
        <w:spacing w:before="59"/>
        <w:ind w:left="174" w:right="0" w:firstLine="0"/>
        <w:jc w:val="left"/>
        <w:rPr>
          <w:rFonts w:ascii="黑体" w:hAnsi="黑体" w:cs="黑体" w:eastAsia="黑体" w:hint="default"/>
          <w:sz w:val="13"/>
          <w:szCs w:val="13"/>
        </w:rPr>
      </w:pPr>
      <w:r>
        <w:rPr>
          <w:rFonts w:ascii="黑体" w:hAnsi="黑体" w:cs="黑体" w:eastAsia="黑体" w:hint="default"/>
          <w:sz w:val="13"/>
          <w:szCs w:val="13"/>
        </w:rPr>
        <w:t>后附财务报表附注为财务报表的组成部分。</w:t>
      </w:r>
    </w:p>
    <w:p>
      <w:pPr>
        <w:spacing w:line="240" w:lineRule="auto" w:before="10"/>
        <w:rPr>
          <w:rFonts w:ascii="黑体" w:hAnsi="黑体" w:cs="黑体" w:eastAsia="黑体" w:hint="default"/>
          <w:sz w:val="14"/>
          <w:szCs w:val="14"/>
        </w:rPr>
      </w:pPr>
    </w:p>
    <w:p>
      <w:pPr>
        <w:tabs>
          <w:tab w:pos="2536" w:val="left" w:leader="none"/>
          <w:tab w:pos="5357" w:val="left" w:leader="none"/>
        </w:tabs>
        <w:spacing w:before="0"/>
        <w:ind w:left="174" w:right="0" w:firstLine="0"/>
        <w:jc w:val="left"/>
        <w:rPr>
          <w:rFonts w:ascii="黑体" w:hAnsi="黑体" w:cs="黑体" w:eastAsia="黑体" w:hint="default"/>
          <w:sz w:val="13"/>
          <w:szCs w:val="13"/>
        </w:rPr>
      </w:pPr>
      <w:r>
        <w:rPr>
          <w:rFonts w:ascii="黑体" w:hAnsi="黑体" w:cs="黑体" w:eastAsia="黑体" w:hint="default"/>
          <w:sz w:val="13"/>
          <w:szCs w:val="13"/>
        </w:rPr>
        <w:t>企业负责人： 张近东</w:t>
        <w:tab/>
        <w:t>主管会计工作的负责人：</w:t>
      </w:r>
      <w:r>
        <w:rPr>
          <w:rFonts w:ascii="黑体" w:hAnsi="黑体" w:cs="黑体" w:eastAsia="黑体" w:hint="default"/>
          <w:spacing w:val="-1"/>
          <w:sz w:val="13"/>
          <w:szCs w:val="13"/>
        </w:rPr>
        <w:t> </w:t>
      </w:r>
      <w:r>
        <w:rPr>
          <w:rFonts w:ascii="黑体" w:hAnsi="黑体" w:cs="黑体" w:eastAsia="黑体" w:hint="default"/>
          <w:sz w:val="13"/>
          <w:szCs w:val="13"/>
        </w:rPr>
        <w:t>朱华</w:t>
        <w:tab/>
        <w:t>会计机构负责人：肖忠祥</w:t>
      </w:r>
    </w:p>
    <w:p>
      <w:pPr>
        <w:spacing w:after="0"/>
        <w:jc w:val="left"/>
        <w:rPr>
          <w:rFonts w:ascii="黑体" w:hAnsi="黑体" w:cs="黑体" w:eastAsia="黑体" w:hint="default"/>
          <w:sz w:val="13"/>
          <w:szCs w:val="13"/>
        </w:rPr>
        <w:sectPr>
          <w:pgSz w:w="11910" w:h="16840"/>
          <w:pgMar w:header="826" w:footer="894" w:top="1100" w:bottom="1100" w:left="1500" w:right="780"/>
        </w:sectPr>
      </w:pPr>
    </w:p>
    <w:p>
      <w:pPr>
        <w:spacing w:line="240" w:lineRule="auto" w:before="13"/>
        <w:rPr>
          <w:rFonts w:ascii="黑体" w:hAnsi="黑体" w:cs="黑体" w:eastAsia="黑体" w:hint="default"/>
          <w:sz w:val="20"/>
          <w:szCs w:val="20"/>
        </w:rPr>
      </w:pPr>
    </w:p>
    <w:p>
      <w:pPr>
        <w:spacing w:before="52"/>
        <w:ind w:left="181" w:right="100" w:firstLine="0"/>
        <w:jc w:val="left"/>
        <w:rPr>
          <w:rFonts w:ascii="黑体" w:hAnsi="黑体" w:cs="黑体" w:eastAsia="黑体" w:hint="default"/>
          <w:sz w:val="17"/>
          <w:szCs w:val="17"/>
        </w:rPr>
      </w:pPr>
      <w:r>
        <w:rPr>
          <w:rFonts w:ascii="黑体" w:hAnsi="黑体" w:cs="黑体" w:eastAsia="黑体" w:hint="default"/>
          <w:w w:val="105"/>
          <w:sz w:val="17"/>
          <w:szCs w:val="17"/>
        </w:rPr>
        <w:t>苏宁电器股份有限公司</w:t>
      </w:r>
      <w:r>
        <w:rPr>
          <w:rFonts w:ascii="黑体" w:hAnsi="黑体" w:cs="黑体" w:eastAsia="黑体" w:hint="default"/>
          <w:sz w:val="17"/>
          <w:szCs w:val="17"/>
        </w:rPr>
      </w:r>
    </w:p>
    <w:p>
      <w:pPr>
        <w:spacing w:line="240" w:lineRule="auto" w:before="7"/>
        <w:rPr>
          <w:rFonts w:ascii="黑体" w:hAnsi="黑体" w:cs="黑体" w:eastAsia="黑体" w:hint="default"/>
          <w:sz w:val="15"/>
          <w:szCs w:val="15"/>
        </w:rPr>
      </w:pPr>
    </w:p>
    <w:p>
      <w:pPr>
        <w:spacing w:line="222" w:lineRule="exact" w:before="0"/>
        <w:ind w:left="182" w:right="100" w:firstLine="0"/>
        <w:jc w:val="left"/>
        <w:rPr>
          <w:rFonts w:ascii="黑体" w:hAnsi="黑体" w:cs="黑体" w:eastAsia="黑体" w:hint="default"/>
          <w:sz w:val="17"/>
          <w:szCs w:val="17"/>
        </w:rPr>
      </w:pPr>
      <w:r>
        <w:rPr>
          <w:rFonts w:ascii="Arial" w:hAnsi="Arial" w:cs="Arial" w:eastAsia="Arial" w:hint="default"/>
          <w:w w:val="105"/>
          <w:sz w:val="17"/>
          <w:szCs w:val="17"/>
        </w:rPr>
        <w:t>2008</w:t>
      </w:r>
      <w:r>
        <w:rPr>
          <w:rFonts w:ascii="黑体" w:hAnsi="黑体" w:cs="黑体" w:eastAsia="黑体" w:hint="default"/>
          <w:w w:val="105"/>
          <w:sz w:val="17"/>
          <w:szCs w:val="17"/>
        </w:rPr>
        <w:t>年度公司股东权益变动表</w:t>
      </w:r>
      <w:r>
        <w:rPr>
          <w:rFonts w:ascii="黑体" w:hAnsi="黑体" w:cs="黑体" w:eastAsia="黑体" w:hint="default"/>
          <w:sz w:val="17"/>
          <w:szCs w:val="17"/>
        </w:rPr>
      </w:r>
    </w:p>
    <w:p>
      <w:pPr>
        <w:spacing w:line="223" w:lineRule="exact" w:before="0"/>
        <w:ind w:left="181" w:right="10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除特别注明外，金额单位为人民币千元)</w:t>
      </w:r>
      <w:r>
        <w:rPr>
          <w:rFonts w:ascii="宋体" w:hAnsi="宋体" w:cs="宋体" w:eastAsia="宋体" w:hint="default"/>
          <w:sz w:val="17"/>
          <w:szCs w:val="17"/>
        </w:rPr>
      </w:r>
    </w:p>
    <w:p>
      <w:pPr>
        <w:spacing w:line="240" w:lineRule="auto" w:before="10"/>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607"/>
        <w:gridCol w:w="1033"/>
        <w:gridCol w:w="974"/>
        <w:gridCol w:w="974"/>
        <w:gridCol w:w="975"/>
        <w:gridCol w:w="975"/>
        <w:gridCol w:w="974"/>
      </w:tblGrid>
      <w:tr>
        <w:trPr>
          <w:trHeight w:val="212" w:hRule="exact"/>
        </w:trPr>
        <w:tc>
          <w:tcPr>
            <w:tcW w:w="3607" w:type="dxa"/>
            <w:vMerge w:val="restart"/>
            <w:tcBorders>
              <w:top w:val="single" w:sz="6" w:space="0" w:color="000000"/>
              <w:left w:val="single" w:sz="6" w:space="0" w:color="000000"/>
              <w:right w:val="single" w:sz="6" w:space="0" w:color="000000"/>
            </w:tcBorders>
          </w:tcPr>
          <w:p>
            <w:pPr>
              <w:pStyle w:val="TableParagraph"/>
              <w:spacing w:line="240" w:lineRule="auto" w:before="98"/>
              <w:ind w:left="12" w:right="0"/>
              <w:jc w:val="center"/>
              <w:rPr>
                <w:rFonts w:ascii="黑体" w:hAnsi="黑体" w:cs="黑体" w:eastAsia="黑体" w:hint="default"/>
                <w:sz w:val="14"/>
                <w:szCs w:val="14"/>
              </w:rPr>
            </w:pPr>
            <w:r>
              <w:rPr>
                <w:rFonts w:ascii="黑体" w:hAnsi="黑体" w:cs="黑体" w:eastAsia="黑体" w:hint="default"/>
                <w:w w:val="105"/>
                <w:sz w:val="14"/>
                <w:szCs w:val="14"/>
              </w:rPr>
              <w:t>项目</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 w:right="0"/>
              <w:jc w:val="center"/>
              <w:rPr>
                <w:rFonts w:ascii="黑体" w:hAnsi="黑体" w:cs="黑体" w:eastAsia="黑体" w:hint="default"/>
                <w:sz w:val="14"/>
                <w:szCs w:val="14"/>
              </w:rPr>
            </w:pPr>
            <w:r>
              <w:rPr>
                <w:rFonts w:ascii="黑体" w:hAnsi="黑体" w:cs="黑体" w:eastAsia="黑体" w:hint="default"/>
                <w:w w:val="105"/>
                <w:sz w:val="14"/>
                <w:szCs w:val="14"/>
              </w:rPr>
              <w:t>附注</w:t>
            </w:r>
            <w:r>
              <w:rPr>
                <w:rFonts w:ascii="黑体" w:hAnsi="黑体" w:cs="黑体" w:eastAsia="黑体"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 w:right="0"/>
              <w:jc w:val="center"/>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92"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93"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9"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1"/>
              <w:jc w:val="right"/>
              <w:rPr>
                <w:rFonts w:ascii="宋体" w:hAnsi="宋体" w:cs="宋体" w:eastAsia="宋体" w:hint="default"/>
                <w:sz w:val="14"/>
                <w:szCs w:val="14"/>
              </w:rPr>
            </w:pPr>
            <w:r>
              <w:rPr>
                <w:rFonts w:ascii="宋体" w:hAnsi="宋体" w:cs="宋体" w:eastAsia="宋体" w:hint="default"/>
                <w:sz w:val="14"/>
                <w:szCs w:val="14"/>
              </w:rPr>
              <w:t>股东权益合计</w:t>
            </w:r>
          </w:p>
        </w:tc>
      </w:tr>
      <w:tr>
        <w:trPr>
          <w:trHeight w:val="214" w:hRule="exact"/>
        </w:trPr>
        <w:tc>
          <w:tcPr>
            <w:tcW w:w="3607"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487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1" w:right="0"/>
              <w:jc w:val="center"/>
              <w:rPr>
                <w:rFonts w:ascii="Arial" w:hAnsi="Arial" w:cs="Arial" w:eastAsia="Arial" w:hint="default"/>
                <w:sz w:val="14"/>
                <w:szCs w:val="14"/>
              </w:rPr>
            </w:pPr>
            <w:r>
              <w:rPr>
                <w:rFonts w:ascii="Arial" w:hAnsi="Arial" w:cs="Arial" w:eastAsia="Arial" w:hint="default"/>
                <w:w w:val="105"/>
                <w:sz w:val="14"/>
                <w:szCs w:val="14"/>
              </w:rPr>
              <w:t>(</w:t>
            </w:r>
            <w:r>
              <w:rPr>
                <w:rFonts w:ascii="宋体" w:hAnsi="宋体" w:cs="宋体" w:eastAsia="宋体" w:hint="default"/>
                <w:w w:val="105"/>
                <w:sz w:val="14"/>
                <w:szCs w:val="14"/>
              </w:rPr>
              <w:t>人民币千元</w:t>
            </w:r>
            <w:r>
              <w:rPr>
                <w:rFonts w:ascii="Arial" w:hAnsi="Arial" w:cs="Arial" w:eastAsia="Arial" w:hint="default"/>
                <w:w w:val="105"/>
                <w:sz w:val="14"/>
                <w:szCs w:val="14"/>
              </w:rPr>
              <w:t>)</w:t>
            </w:r>
            <w:r>
              <w:rPr>
                <w:rFonts w:ascii="Arial" w:hAnsi="Arial" w:cs="Arial" w:eastAsia="Arial" w:hint="default"/>
                <w:sz w:val="14"/>
                <w:szCs w:val="14"/>
              </w:rPr>
            </w: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2007年1月1日年初余额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7"/>
              <w:jc w:val="right"/>
              <w:rPr>
                <w:rFonts w:ascii="Arial" w:hAnsi="Arial" w:cs="Arial" w:eastAsia="Arial" w:hint="default"/>
                <w:sz w:val="14"/>
                <w:szCs w:val="14"/>
              </w:rPr>
            </w:pPr>
            <w:r>
              <w:rPr>
                <w:rFonts w:ascii="Arial"/>
                <w:spacing w:val="-1"/>
                <w:w w:val="105"/>
                <w:sz w:val="14"/>
              </w:rPr>
              <w:t>720,752</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7"/>
              <w:jc w:val="right"/>
              <w:rPr>
                <w:rFonts w:ascii="Arial" w:hAnsi="Arial" w:cs="Arial" w:eastAsia="Arial" w:hint="default"/>
                <w:sz w:val="14"/>
                <w:szCs w:val="14"/>
              </w:rPr>
            </w:pPr>
            <w:r>
              <w:rPr>
                <w:rFonts w:ascii="Arial"/>
                <w:spacing w:val="-1"/>
                <w:w w:val="105"/>
                <w:sz w:val="14"/>
              </w:rPr>
              <w:t>936,391</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7"/>
              <w:jc w:val="right"/>
              <w:rPr>
                <w:rFonts w:ascii="Arial" w:hAnsi="Arial" w:cs="Arial" w:eastAsia="Arial" w:hint="default"/>
                <w:sz w:val="14"/>
                <w:szCs w:val="14"/>
              </w:rPr>
            </w:pPr>
            <w:r>
              <w:rPr>
                <w:rFonts w:ascii="Arial"/>
                <w:spacing w:val="-1"/>
                <w:w w:val="105"/>
                <w:sz w:val="14"/>
              </w:rPr>
              <w:t>131,018</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61" w:right="0"/>
              <w:jc w:val="left"/>
              <w:rPr>
                <w:rFonts w:ascii="Arial" w:hAnsi="Arial" w:cs="Arial" w:eastAsia="Arial" w:hint="default"/>
                <w:sz w:val="14"/>
                <w:szCs w:val="14"/>
              </w:rPr>
            </w:pPr>
            <w:r>
              <w:rPr>
                <w:rFonts w:ascii="Arial"/>
                <w:w w:val="105"/>
                <w:sz w:val="14"/>
              </w:rPr>
              <w:t>712,118</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67"/>
              <w:jc w:val="right"/>
              <w:rPr>
                <w:rFonts w:ascii="Arial" w:hAnsi="Arial" w:cs="Arial" w:eastAsia="Arial" w:hint="default"/>
                <w:sz w:val="14"/>
                <w:szCs w:val="14"/>
              </w:rPr>
            </w:pPr>
            <w:r>
              <w:rPr>
                <w:rFonts w:ascii="Arial"/>
                <w:spacing w:val="-1"/>
                <w:w w:val="105"/>
                <w:sz w:val="14"/>
              </w:rPr>
              <w:t>2,500,279</w:t>
            </w:r>
            <w:r>
              <w:rPr>
                <w:rFonts w:ascii="Arial"/>
                <w:spacing w:val="-1"/>
                <w:sz w:val="14"/>
              </w:rPr>
            </w: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2007年度增减变动额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8" w:right="0"/>
              <w:jc w:val="left"/>
              <w:rPr>
                <w:rFonts w:ascii="宋体" w:hAnsi="宋体" w:cs="宋体" w:eastAsia="宋体" w:hint="default"/>
                <w:sz w:val="14"/>
                <w:szCs w:val="14"/>
              </w:rPr>
            </w:pPr>
            <w:r>
              <w:rPr>
                <w:rFonts w:ascii="宋体" w:hAnsi="宋体" w:cs="宋体" w:eastAsia="宋体" w:hint="default"/>
                <w:w w:val="105"/>
                <w:sz w:val="14"/>
                <w:szCs w:val="14"/>
              </w:rPr>
              <w:t>净利润</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61" w:right="0"/>
              <w:jc w:val="left"/>
              <w:rPr>
                <w:rFonts w:ascii="Arial" w:hAnsi="Arial" w:cs="Arial" w:eastAsia="Arial" w:hint="default"/>
                <w:sz w:val="14"/>
                <w:szCs w:val="14"/>
              </w:rPr>
            </w:pPr>
            <w:r>
              <w:rPr>
                <w:rFonts w:ascii="Arial"/>
                <w:w w:val="105"/>
                <w:sz w:val="14"/>
              </w:rPr>
              <w:t>928,520</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928,520</w:t>
            </w:r>
            <w:r>
              <w:rPr>
                <w:rFonts w:ascii="Arial"/>
                <w:spacing w:val="-1"/>
                <w:sz w:val="14"/>
              </w:rPr>
            </w:r>
          </w:p>
        </w:tc>
      </w:tr>
      <w:tr>
        <w:trPr>
          <w:trHeight w:val="21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8" w:right="0"/>
              <w:jc w:val="left"/>
              <w:rPr>
                <w:rFonts w:ascii="宋体" w:hAnsi="宋体" w:cs="宋体" w:eastAsia="宋体" w:hint="default"/>
                <w:sz w:val="14"/>
                <w:szCs w:val="14"/>
              </w:rPr>
            </w:pPr>
            <w:r>
              <w:rPr>
                <w:rFonts w:ascii="宋体" w:hAnsi="宋体" w:cs="宋体" w:eastAsia="宋体" w:hint="default"/>
                <w:w w:val="105"/>
                <w:sz w:val="14"/>
                <w:szCs w:val="14"/>
              </w:rPr>
              <w:t>利润分配</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5" w:right="0"/>
              <w:jc w:val="left"/>
              <w:rPr>
                <w:rFonts w:ascii="宋体" w:hAnsi="宋体" w:cs="宋体" w:eastAsia="宋体" w:hint="default"/>
                <w:sz w:val="14"/>
                <w:szCs w:val="14"/>
              </w:rPr>
            </w:pPr>
            <w:r>
              <w:rPr>
                <w:rFonts w:ascii="宋体" w:hAnsi="宋体" w:cs="宋体" w:eastAsia="宋体" w:hint="default"/>
                <w:w w:val="105"/>
                <w:sz w:val="14"/>
                <w:szCs w:val="14"/>
              </w:rPr>
              <w:t>提取盈余公积</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92,852</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9"/>
              <w:jc w:val="right"/>
              <w:rPr>
                <w:rFonts w:ascii="Arial" w:hAnsi="Arial" w:cs="Arial" w:eastAsia="Arial" w:hint="default"/>
                <w:sz w:val="14"/>
                <w:szCs w:val="14"/>
              </w:rPr>
            </w:pPr>
            <w:r>
              <w:rPr>
                <w:rFonts w:ascii="Arial"/>
                <w:spacing w:val="-1"/>
                <w:w w:val="105"/>
                <w:sz w:val="14"/>
              </w:rPr>
              <w:t>(92,852)</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8" w:right="0"/>
              <w:jc w:val="left"/>
              <w:rPr>
                <w:rFonts w:ascii="宋体" w:hAnsi="宋体" w:cs="宋体" w:eastAsia="宋体" w:hint="default"/>
                <w:sz w:val="14"/>
                <w:szCs w:val="14"/>
              </w:rPr>
            </w:pPr>
            <w:r>
              <w:rPr>
                <w:rFonts w:ascii="宋体" w:hAnsi="宋体" w:cs="宋体" w:eastAsia="宋体" w:hint="default"/>
                <w:w w:val="105"/>
                <w:sz w:val="14"/>
                <w:szCs w:val="14"/>
              </w:rPr>
              <w:t>股东权益内部结转</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5" w:right="0"/>
              <w:jc w:val="left"/>
              <w:rPr>
                <w:rFonts w:ascii="宋体" w:hAnsi="宋体" w:cs="宋体" w:eastAsia="宋体" w:hint="default"/>
                <w:sz w:val="14"/>
                <w:szCs w:val="14"/>
              </w:rPr>
            </w:pPr>
            <w:r>
              <w:rPr>
                <w:rFonts w:ascii="宋体" w:hAnsi="宋体" w:cs="宋体" w:eastAsia="宋体" w:hint="default"/>
                <w:w w:val="105"/>
                <w:sz w:val="14"/>
                <w:szCs w:val="14"/>
              </w:rPr>
              <w:t>资本公积转增股本</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720,752</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Arial" w:hAnsi="Arial" w:cs="Arial" w:eastAsia="Arial" w:hint="default"/>
                <w:sz w:val="14"/>
                <w:szCs w:val="14"/>
              </w:rPr>
            </w:pPr>
            <w:r>
              <w:rPr>
                <w:rFonts w:ascii="Arial"/>
                <w:spacing w:val="-1"/>
                <w:w w:val="105"/>
                <w:sz w:val="14"/>
              </w:rPr>
              <w:t>(720,752)</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2007年12月31日年末余额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1,441,504</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215,639</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223,870</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 w:right="0"/>
              <w:jc w:val="left"/>
              <w:rPr>
                <w:rFonts w:ascii="Arial" w:hAnsi="Arial" w:cs="Arial" w:eastAsia="Arial" w:hint="default"/>
                <w:sz w:val="14"/>
                <w:szCs w:val="14"/>
              </w:rPr>
            </w:pPr>
            <w:r>
              <w:rPr>
                <w:rFonts w:ascii="Arial"/>
                <w:w w:val="105"/>
                <w:sz w:val="14"/>
              </w:rPr>
              <w:t>1,547,786</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3,428,799</w:t>
            </w:r>
            <w:r>
              <w:rPr>
                <w:rFonts w:ascii="Arial"/>
                <w:spacing w:val="-1"/>
                <w:sz w:val="14"/>
              </w:rPr>
            </w: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2008年1月1日年初余额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1,441,504</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215,639</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223,870</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 w:right="0"/>
              <w:jc w:val="left"/>
              <w:rPr>
                <w:rFonts w:ascii="Arial" w:hAnsi="Arial" w:cs="Arial" w:eastAsia="Arial" w:hint="default"/>
                <w:sz w:val="14"/>
                <w:szCs w:val="14"/>
              </w:rPr>
            </w:pPr>
            <w:r>
              <w:rPr>
                <w:rFonts w:ascii="Arial"/>
                <w:w w:val="105"/>
                <w:sz w:val="14"/>
              </w:rPr>
              <w:t>1,547,786</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3,428,799</w:t>
            </w:r>
            <w:r>
              <w:rPr>
                <w:rFonts w:ascii="Arial"/>
                <w:spacing w:val="-1"/>
                <w:sz w:val="14"/>
              </w:rPr>
            </w: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2008年度增减变动额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8" w:right="0"/>
              <w:jc w:val="left"/>
              <w:rPr>
                <w:rFonts w:ascii="宋体" w:hAnsi="宋体" w:cs="宋体" w:eastAsia="宋体" w:hint="default"/>
                <w:sz w:val="14"/>
                <w:szCs w:val="14"/>
              </w:rPr>
            </w:pPr>
            <w:r>
              <w:rPr>
                <w:rFonts w:ascii="宋体" w:hAnsi="宋体" w:cs="宋体" w:eastAsia="宋体" w:hint="default"/>
                <w:w w:val="105"/>
                <w:sz w:val="14"/>
                <w:szCs w:val="14"/>
              </w:rPr>
              <w:t>净利润</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 w:right="0"/>
              <w:jc w:val="left"/>
              <w:rPr>
                <w:rFonts w:ascii="Arial" w:hAnsi="Arial" w:cs="Arial" w:eastAsia="Arial" w:hint="default"/>
                <w:sz w:val="14"/>
                <w:szCs w:val="14"/>
              </w:rPr>
            </w:pPr>
            <w:r>
              <w:rPr>
                <w:rFonts w:ascii="Arial"/>
                <w:w w:val="105"/>
                <w:sz w:val="14"/>
              </w:rPr>
              <w:t>1,403,999</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1,403,999</w:t>
            </w:r>
            <w:r>
              <w:rPr>
                <w:rFonts w:ascii="Arial"/>
                <w:spacing w:val="-1"/>
                <w:sz w:val="14"/>
              </w:rPr>
            </w:r>
          </w:p>
        </w:tc>
      </w:tr>
      <w:tr>
        <w:trPr>
          <w:trHeight w:val="20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68" w:right="0"/>
              <w:jc w:val="left"/>
              <w:rPr>
                <w:rFonts w:ascii="宋体" w:hAnsi="宋体" w:cs="宋体" w:eastAsia="宋体" w:hint="default"/>
                <w:sz w:val="14"/>
                <w:szCs w:val="14"/>
              </w:rPr>
            </w:pPr>
            <w:r>
              <w:rPr>
                <w:rFonts w:ascii="宋体" w:hAnsi="宋体" w:cs="宋体" w:eastAsia="宋体" w:hint="default"/>
                <w:w w:val="105"/>
                <w:sz w:val="14"/>
                <w:szCs w:val="14"/>
              </w:rPr>
              <w:t>股东投入和减少资本</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5" w:right="0"/>
              <w:jc w:val="left"/>
              <w:rPr>
                <w:rFonts w:ascii="宋体" w:hAnsi="宋体" w:cs="宋体" w:eastAsia="宋体" w:hint="default"/>
                <w:sz w:val="14"/>
                <w:szCs w:val="14"/>
              </w:rPr>
            </w:pPr>
            <w:r>
              <w:rPr>
                <w:rFonts w:ascii="宋体" w:hAnsi="宋体" w:cs="宋体" w:eastAsia="宋体" w:hint="default"/>
                <w:w w:val="105"/>
                <w:sz w:val="14"/>
                <w:szCs w:val="14"/>
              </w:rPr>
              <w:t>非公开发行人民币普通股</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.24</w:t>
            </w:r>
            <w:r>
              <w:rPr>
                <w:rFonts w:ascii="宋体" w:hAnsi="宋体" w:cs="宋体" w:eastAsia="宋体" w:hint="default"/>
                <w:w w:val="105"/>
                <w:sz w:val="14"/>
                <w:szCs w:val="14"/>
              </w:rPr>
              <w:t>、七</w:t>
            </w:r>
            <w:r>
              <w:rPr>
                <w:rFonts w:ascii="Arial" w:hAnsi="Arial" w:cs="Arial" w:eastAsia="Arial" w:hint="default"/>
                <w:w w:val="105"/>
                <w:sz w:val="14"/>
                <w:szCs w:val="14"/>
              </w:rPr>
              <w:t>.25</w:t>
            </w:r>
            <w:r>
              <w:rPr>
                <w:rFonts w:ascii="Arial" w:hAnsi="Arial" w:cs="Arial" w:eastAsia="Arial"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54,000</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2,366,056</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2,420,056</w:t>
            </w:r>
            <w:r>
              <w:rPr>
                <w:rFonts w:ascii="Arial"/>
                <w:spacing w:val="-1"/>
                <w:sz w:val="14"/>
              </w:rPr>
            </w: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8" w:right="0"/>
              <w:jc w:val="left"/>
              <w:rPr>
                <w:rFonts w:ascii="宋体" w:hAnsi="宋体" w:cs="宋体" w:eastAsia="宋体" w:hint="default"/>
                <w:sz w:val="14"/>
                <w:szCs w:val="14"/>
              </w:rPr>
            </w:pPr>
            <w:r>
              <w:rPr>
                <w:rFonts w:ascii="宋体" w:hAnsi="宋体" w:cs="宋体" w:eastAsia="宋体" w:hint="default"/>
                <w:w w:val="105"/>
                <w:sz w:val="14"/>
                <w:szCs w:val="14"/>
              </w:rPr>
              <w:t>利润分配</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5" w:right="0"/>
              <w:jc w:val="left"/>
              <w:rPr>
                <w:rFonts w:ascii="宋体" w:hAnsi="宋体" w:cs="宋体" w:eastAsia="宋体" w:hint="default"/>
                <w:sz w:val="14"/>
                <w:szCs w:val="14"/>
              </w:rPr>
            </w:pPr>
            <w:r>
              <w:rPr>
                <w:rFonts w:ascii="宋体" w:hAnsi="宋体" w:cs="宋体" w:eastAsia="宋体" w:hint="default"/>
                <w:w w:val="105"/>
                <w:sz w:val="14"/>
                <w:szCs w:val="14"/>
              </w:rPr>
              <w:t>提取盈余公积</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3"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.26</w:t>
            </w:r>
            <w:r>
              <w:rPr>
                <w:rFonts w:ascii="Arial" w:hAnsi="Arial" w:cs="Arial" w:eastAsia="Arial"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140,400</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0"/>
              <w:jc w:val="right"/>
              <w:rPr>
                <w:rFonts w:ascii="Arial" w:hAnsi="Arial" w:cs="Arial" w:eastAsia="Arial" w:hint="default"/>
                <w:sz w:val="14"/>
                <w:szCs w:val="14"/>
              </w:rPr>
            </w:pPr>
            <w:r>
              <w:rPr>
                <w:rFonts w:ascii="Arial"/>
                <w:spacing w:val="-1"/>
                <w:w w:val="105"/>
                <w:sz w:val="14"/>
              </w:rPr>
              <w:t>(140,400)</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r>
      <w:tr>
        <w:trPr>
          <w:trHeight w:val="21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5" w:right="0"/>
              <w:jc w:val="left"/>
              <w:rPr>
                <w:rFonts w:ascii="宋体" w:hAnsi="宋体" w:cs="宋体" w:eastAsia="宋体" w:hint="default"/>
                <w:sz w:val="14"/>
                <w:szCs w:val="14"/>
              </w:rPr>
            </w:pPr>
            <w:r>
              <w:rPr>
                <w:rFonts w:ascii="宋体" w:hAnsi="宋体" w:cs="宋体" w:eastAsia="宋体" w:hint="default"/>
                <w:w w:val="105"/>
                <w:sz w:val="14"/>
                <w:szCs w:val="14"/>
              </w:rPr>
              <w:t>对股东的分配</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3"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.27</w:t>
            </w:r>
            <w:r>
              <w:rPr>
                <w:rFonts w:ascii="Arial" w:hAnsi="Arial" w:cs="Arial" w:eastAsia="Arial"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0"/>
              <w:jc w:val="right"/>
              <w:rPr>
                <w:rFonts w:ascii="Arial" w:hAnsi="Arial" w:cs="Arial" w:eastAsia="Arial" w:hint="default"/>
                <w:sz w:val="14"/>
                <w:szCs w:val="14"/>
              </w:rPr>
            </w:pPr>
            <w:r>
              <w:rPr>
                <w:rFonts w:ascii="Arial"/>
                <w:spacing w:val="-1"/>
                <w:w w:val="105"/>
                <w:sz w:val="14"/>
              </w:rPr>
              <w:t>(437,850)</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0"/>
              <w:jc w:val="right"/>
              <w:rPr>
                <w:rFonts w:ascii="Arial" w:hAnsi="Arial" w:cs="Arial" w:eastAsia="Arial" w:hint="default"/>
                <w:sz w:val="14"/>
                <w:szCs w:val="14"/>
              </w:rPr>
            </w:pPr>
            <w:r>
              <w:rPr>
                <w:rFonts w:ascii="Arial"/>
                <w:spacing w:val="-1"/>
                <w:w w:val="105"/>
                <w:sz w:val="14"/>
              </w:rPr>
              <w:t>(437,850)</w:t>
            </w:r>
            <w:r>
              <w:rPr>
                <w:rFonts w:ascii="Arial"/>
                <w:spacing w:val="-1"/>
                <w:sz w:val="14"/>
              </w:rPr>
            </w: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8" w:right="0"/>
              <w:jc w:val="left"/>
              <w:rPr>
                <w:rFonts w:ascii="宋体" w:hAnsi="宋体" w:cs="宋体" w:eastAsia="宋体" w:hint="default"/>
                <w:sz w:val="14"/>
                <w:szCs w:val="14"/>
              </w:rPr>
            </w:pPr>
            <w:r>
              <w:rPr>
                <w:rFonts w:ascii="宋体" w:hAnsi="宋体" w:cs="宋体" w:eastAsia="宋体" w:hint="default"/>
                <w:w w:val="105"/>
                <w:sz w:val="14"/>
                <w:szCs w:val="14"/>
              </w:rPr>
              <w:t>股东权益内部结转</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15" w:right="0"/>
              <w:jc w:val="left"/>
              <w:rPr>
                <w:rFonts w:ascii="宋体" w:hAnsi="宋体" w:cs="宋体" w:eastAsia="宋体" w:hint="default"/>
                <w:sz w:val="14"/>
                <w:szCs w:val="14"/>
              </w:rPr>
            </w:pPr>
            <w:r>
              <w:rPr>
                <w:rFonts w:ascii="宋体" w:hAnsi="宋体" w:cs="宋体" w:eastAsia="宋体" w:hint="default"/>
                <w:w w:val="105"/>
                <w:sz w:val="14"/>
                <w:szCs w:val="14"/>
              </w:rPr>
              <w:t>资本公积转增股本</w:t>
            </w:r>
            <w:r>
              <w:rPr>
                <w:rFonts w:ascii="宋体" w:hAnsi="宋体" w:cs="宋体" w:eastAsia="宋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4" w:right="0"/>
              <w:jc w:val="center"/>
              <w:rPr>
                <w:rFonts w:ascii="Arial" w:hAnsi="Arial" w:cs="Arial" w:eastAsia="Arial" w:hint="default"/>
                <w:sz w:val="14"/>
                <w:szCs w:val="14"/>
              </w:rPr>
            </w:pPr>
            <w:r>
              <w:rPr>
                <w:rFonts w:ascii="宋体" w:hAnsi="宋体" w:cs="宋体" w:eastAsia="宋体" w:hint="default"/>
                <w:w w:val="105"/>
                <w:sz w:val="14"/>
                <w:szCs w:val="14"/>
              </w:rPr>
              <w:t>七</w:t>
            </w:r>
            <w:r>
              <w:rPr>
                <w:rFonts w:ascii="Arial" w:hAnsi="Arial" w:cs="Arial" w:eastAsia="Arial" w:hint="default"/>
                <w:w w:val="105"/>
                <w:sz w:val="14"/>
                <w:szCs w:val="14"/>
              </w:rPr>
              <w:t>.24</w:t>
            </w:r>
            <w:r>
              <w:rPr>
                <w:rFonts w:ascii="宋体" w:hAnsi="宋体" w:cs="宋体" w:eastAsia="宋体" w:hint="default"/>
                <w:w w:val="105"/>
                <w:sz w:val="14"/>
                <w:szCs w:val="14"/>
              </w:rPr>
              <w:t>、七</w:t>
            </w:r>
            <w:r>
              <w:rPr>
                <w:rFonts w:ascii="Arial" w:hAnsi="Arial" w:cs="Arial" w:eastAsia="Arial" w:hint="default"/>
                <w:w w:val="105"/>
                <w:sz w:val="14"/>
                <w:szCs w:val="14"/>
              </w:rPr>
              <w:t>.25</w:t>
            </w:r>
            <w:r>
              <w:rPr>
                <w:rFonts w:ascii="Arial" w:hAnsi="Arial" w:cs="Arial" w:eastAsia="Arial" w:hint="default"/>
                <w:sz w:val="14"/>
                <w:szCs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1,495,504</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Arial" w:hAnsi="Arial" w:cs="Arial" w:eastAsia="Arial" w:hint="default"/>
                <w:sz w:val="14"/>
                <w:szCs w:val="14"/>
              </w:rPr>
            </w:pPr>
            <w:r>
              <w:rPr>
                <w:rFonts w:ascii="Arial"/>
                <w:spacing w:val="-1"/>
                <w:w w:val="105"/>
                <w:sz w:val="14"/>
              </w:rPr>
              <w:t>(1,495,504)</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w w:val="104"/>
                <w:sz w:val="14"/>
              </w:rPr>
              <w:t>-</w:t>
            </w:r>
            <w:r>
              <w:rPr>
                <w:rFonts w:ascii="Arial"/>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8"/>
              <w:jc w:val="right"/>
              <w:rPr>
                <w:rFonts w:ascii="Arial" w:hAnsi="Arial" w:cs="Arial" w:eastAsia="Arial" w:hint="default"/>
                <w:sz w:val="14"/>
                <w:szCs w:val="14"/>
              </w:rPr>
            </w:pPr>
            <w:r>
              <w:rPr>
                <w:rFonts w:ascii="Arial"/>
                <w:w w:val="104"/>
                <w:sz w:val="14"/>
              </w:rPr>
              <w:t>-</w:t>
            </w:r>
            <w:r>
              <w:rPr>
                <w:rFonts w:ascii="Arial"/>
                <w:sz w:val="14"/>
              </w:rPr>
            </w:r>
          </w:p>
        </w:tc>
      </w:tr>
      <w:tr>
        <w:trPr>
          <w:trHeight w:val="214" w:hRule="exact"/>
        </w:trPr>
        <w:tc>
          <w:tcPr>
            <w:tcW w:w="3607"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9"/>
              <w:jc w:val="right"/>
              <w:rPr>
                <w:rFonts w:ascii="Arial" w:hAnsi="Arial" w:cs="Arial" w:eastAsia="Arial" w:hint="default"/>
                <w:sz w:val="14"/>
                <w:szCs w:val="14"/>
              </w:rPr>
            </w:pPr>
            <w:r>
              <w:rPr>
                <w:rFonts w:ascii="Arial"/>
                <w:w w:val="104"/>
                <w:sz w:val="14"/>
              </w:rPr>
              <w:t>-</w:t>
            </w:r>
            <w:r>
              <w:rPr>
                <w:rFonts w:ascii="Arial"/>
                <w:sz w:val="14"/>
              </w:rPr>
            </w:r>
          </w:p>
        </w:tc>
      </w:tr>
      <w:tr>
        <w:trPr>
          <w:trHeight w:val="21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9" w:right="0"/>
              <w:jc w:val="left"/>
              <w:rPr>
                <w:rFonts w:ascii="黑体" w:hAnsi="黑体" w:cs="黑体" w:eastAsia="黑体" w:hint="default"/>
                <w:sz w:val="14"/>
                <w:szCs w:val="14"/>
              </w:rPr>
            </w:pPr>
            <w:r>
              <w:rPr>
                <w:rFonts w:ascii="黑体" w:hAnsi="黑体" w:cs="黑体" w:eastAsia="黑体" w:hint="default"/>
                <w:w w:val="105"/>
                <w:sz w:val="14"/>
                <w:szCs w:val="14"/>
              </w:rPr>
              <w:t>2008年12月31日年末余额</w:t>
            </w:r>
            <w:r>
              <w:rPr>
                <w:rFonts w:ascii="黑体" w:hAnsi="黑体" w:cs="黑体" w:eastAsia="黑体" w:hint="default"/>
                <w:sz w:val="14"/>
                <w:szCs w:val="14"/>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2,991,008</w:t>
            </w:r>
            <w:r>
              <w:rPr>
                <w:rFonts w:ascii="Arial"/>
                <w:spacing w:val="-1"/>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1,086,191</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364,270</w:t>
            </w:r>
            <w:r>
              <w:rPr>
                <w:rFonts w:ascii="Arial"/>
                <w:spacing w:val="-1"/>
                <w:sz w:val="14"/>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0" w:right="0"/>
              <w:jc w:val="left"/>
              <w:rPr>
                <w:rFonts w:ascii="Arial" w:hAnsi="Arial" w:cs="Arial" w:eastAsia="Arial" w:hint="default"/>
                <w:sz w:val="14"/>
                <w:szCs w:val="14"/>
              </w:rPr>
            </w:pPr>
            <w:r>
              <w:rPr>
                <w:rFonts w:ascii="Arial"/>
                <w:w w:val="105"/>
                <w:sz w:val="14"/>
              </w:rPr>
              <w:t>2,373,535</w:t>
            </w:r>
            <w:r>
              <w:rPr>
                <w:rFonts w:ascii="Arial"/>
                <w:sz w:val="14"/>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7"/>
              <w:jc w:val="right"/>
              <w:rPr>
                <w:rFonts w:ascii="Arial" w:hAnsi="Arial" w:cs="Arial" w:eastAsia="Arial" w:hint="default"/>
                <w:sz w:val="14"/>
                <w:szCs w:val="14"/>
              </w:rPr>
            </w:pPr>
            <w:r>
              <w:rPr>
                <w:rFonts w:ascii="Arial"/>
                <w:spacing w:val="-1"/>
                <w:w w:val="105"/>
                <w:sz w:val="14"/>
              </w:rPr>
              <w:t>6,815,004</w:t>
            </w:r>
            <w:r>
              <w:rPr>
                <w:rFonts w:ascii="Arial"/>
                <w:spacing w:val="-1"/>
                <w:sz w:val="14"/>
              </w:rPr>
            </w:r>
          </w:p>
        </w:tc>
      </w:tr>
    </w:tbl>
    <w:p>
      <w:pPr>
        <w:spacing w:line="240" w:lineRule="auto" w:before="6"/>
        <w:rPr>
          <w:rFonts w:ascii="宋体" w:hAnsi="宋体" w:cs="宋体" w:eastAsia="宋体" w:hint="default"/>
          <w:sz w:val="11"/>
          <w:szCs w:val="11"/>
        </w:rPr>
      </w:pPr>
    </w:p>
    <w:p>
      <w:pPr>
        <w:spacing w:before="62"/>
        <w:ind w:left="177" w:right="100" w:firstLine="0"/>
        <w:jc w:val="left"/>
        <w:rPr>
          <w:rFonts w:ascii="黑体" w:hAnsi="黑体" w:cs="黑体" w:eastAsia="黑体" w:hint="default"/>
          <w:sz w:val="14"/>
          <w:szCs w:val="14"/>
        </w:rPr>
      </w:pPr>
      <w:r>
        <w:rPr>
          <w:rFonts w:ascii="黑体" w:hAnsi="黑体" w:cs="黑体" w:eastAsia="黑体" w:hint="default"/>
          <w:w w:val="105"/>
          <w:sz w:val="14"/>
          <w:szCs w:val="14"/>
        </w:rPr>
        <w:t>后附财务报表附注为财务报表的组成部分。</w:t>
      </w:r>
      <w:r>
        <w:rPr>
          <w:rFonts w:ascii="黑体" w:hAnsi="黑体" w:cs="黑体" w:eastAsia="黑体" w:hint="default"/>
          <w:sz w:val="14"/>
          <w:szCs w:val="14"/>
        </w:rPr>
      </w:r>
    </w:p>
    <w:p>
      <w:pPr>
        <w:spacing w:line="240" w:lineRule="auto" w:before="5"/>
        <w:rPr>
          <w:rFonts w:ascii="黑体" w:hAnsi="黑体" w:cs="黑体" w:eastAsia="黑体" w:hint="default"/>
          <w:sz w:val="17"/>
          <w:szCs w:val="17"/>
        </w:rPr>
      </w:pPr>
    </w:p>
    <w:p>
      <w:pPr>
        <w:tabs>
          <w:tab w:pos="2829" w:val="left" w:leader="none"/>
          <w:tab w:pos="5996" w:val="left" w:leader="none"/>
        </w:tabs>
        <w:spacing w:before="0"/>
        <w:ind w:left="177" w:right="100" w:firstLine="0"/>
        <w:jc w:val="left"/>
        <w:rPr>
          <w:rFonts w:ascii="黑体" w:hAnsi="黑体" w:cs="黑体" w:eastAsia="黑体" w:hint="default"/>
          <w:sz w:val="14"/>
          <w:szCs w:val="14"/>
        </w:rPr>
      </w:pPr>
      <w:r>
        <w:rPr>
          <w:rFonts w:ascii="黑体" w:hAnsi="黑体" w:cs="黑体" w:eastAsia="黑体" w:hint="default"/>
          <w:w w:val="105"/>
          <w:sz w:val="14"/>
          <w:szCs w:val="14"/>
        </w:rPr>
        <w:t>企业负责人：</w:t>
      </w:r>
      <w:r>
        <w:rPr>
          <w:rFonts w:ascii="黑体" w:hAnsi="黑体" w:cs="黑体" w:eastAsia="黑体" w:hint="default"/>
          <w:spacing w:val="-9"/>
          <w:w w:val="105"/>
          <w:sz w:val="14"/>
          <w:szCs w:val="14"/>
        </w:rPr>
        <w:t> </w:t>
      </w:r>
      <w:r>
        <w:rPr>
          <w:rFonts w:ascii="黑体" w:hAnsi="黑体" w:cs="黑体" w:eastAsia="黑体" w:hint="default"/>
          <w:w w:val="105"/>
          <w:sz w:val="14"/>
          <w:szCs w:val="14"/>
        </w:rPr>
        <w:t>张近东</w:t>
        <w:tab/>
        <w:t>主管会计工作的负责人：</w:t>
      </w:r>
      <w:r>
        <w:rPr>
          <w:rFonts w:ascii="黑体" w:hAnsi="黑体" w:cs="黑体" w:eastAsia="黑体" w:hint="default"/>
          <w:spacing w:val="-13"/>
          <w:w w:val="105"/>
          <w:sz w:val="14"/>
          <w:szCs w:val="14"/>
        </w:rPr>
        <w:t> </w:t>
      </w:r>
      <w:r>
        <w:rPr>
          <w:rFonts w:ascii="黑体" w:hAnsi="黑体" w:cs="黑体" w:eastAsia="黑体" w:hint="default"/>
          <w:w w:val="105"/>
          <w:sz w:val="14"/>
          <w:szCs w:val="14"/>
        </w:rPr>
        <w:t>朱华</w:t>
        <w:tab/>
        <w:t>会计机构负责人：肖忠祥</w:t>
      </w:r>
      <w:r>
        <w:rPr>
          <w:rFonts w:ascii="黑体" w:hAnsi="黑体" w:cs="黑体" w:eastAsia="黑体" w:hint="default"/>
          <w:sz w:val="14"/>
          <w:szCs w:val="14"/>
        </w:rPr>
      </w:r>
    </w:p>
    <w:p>
      <w:pPr>
        <w:spacing w:after="0"/>
        <w:jc w:val="left"/>
        <w:rPr>
          <w:rFonts w:ascii="黑体" w:hAnsi="黑体" w:cs="黑体" w:eastAsia="黑体" w:hint="default"/>
          <w:sz w:val="14"/>
          <w:szCs w:val="14"/>
        </w:rPr>
        <w:sectPr>
          <w:pgSz w:w="11910" w:h="16840"/>
          <w:pgMar w:header="826" w:footer="894" w:top="1100" w:bottom="1100" w:left="1500" w:right="620"/>
        </w:sectPr>
      </w:pPr>
    </w:p>
    <w:p>
      <w:pPr>
        <w:spacing w:line="240" w:lineRule="auto" w:before="7"/>
        <w:rPr>
          <w:rFonts w:ascii="黑体" w:hAnsi="黑体" w:cs="黑体" w:eastAsia="黑体" w:hint="default"/>
          <w:sz w:val="24"/>
          <w:szCs w:val="24"/>
        </w:rPr>
      </w:pPr>
    </w:p>
    <w:p>
      <w:pPr>
        <w:pStyle w:val="BodyText"/>
        <w:spacing w:line="357" w:lineRule="auto" w:before="26"/>
        <w:ind w:left="3813" w:right="3729"/>
        <w:jc w:val="center"/>
      </w:pPr>
      <w:r>
        <w:rPr/>
        <w:t>苏宁电器股份有限公司 财务报表附注 二○○八年度</w:t>
      </w:r>
    </w:p>
    <w:p>
      <w:pPr>
        <w:pStyle w:val="BodyText"/>
        <w:spacing w:line="240" w:lineRule="auto" w:before="36"/>
        <w:ind w:left="2833" w:right="2751"/>
        <w:jc w:val="center"/>
      </w:pPr>
      <w:r>
        <w:rPr/>
        <w:t>(除特别注明外，金额单位为人民币千元)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tabs>
          <w:tab w:pos="811" w:val="left" w:leader="none"/>
        </w:tabs>
        <w:spacing w:line="240" w:lineRule="auto"/>
        <w:ind w:right="1690"/>
        <w:jc w:val="left"/>
        <w:rPr>
          <w:b w:val="0"/>
          <w:bCs w:val="0"/>
        </w:rPr>
      </w:pPr>
      <w:r>
        <w:rPr>
          <w:w w:val="95"/>
        </w:rPr>
        <w:t>一</w:t>
        <w:tab/>
      </w:r>
      <w:r>
        <w:rPr/>
        <w:t>公司基本情况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811" w:right="128"/>
        <w:jc w:val="both"/>
      </w:pPr>
      <w:r>
        <w:rPr/>
        <w:t>苏宁电器股份有限公司</w:t>
      </w:r>
      <w:r>
        <w:rPr>
          <w:rFonts w:ascii="Arial" w:hAnsi="Arial" w:cs="Arial" w:eastAsia="Arial" w:hint="default"/>
        </w:rPr>
        <w:t>(</w:t>
      </w:r>
      <w:r>
        <w:rPr/>
        <w:t>以下简称</w:t>
      </w:r>
      <w:r>
        <w:rPr>
          <w:rFonts w:ascii="Arial" w:hAnsi="Arial" w:cs="Arial" w:eastAsia="Arial" w:hint="default"/>
        </w:rPr>
        <w:t>“</w:t>
      </w:r>
      <w:r>
        <w:rPr/>
        <w:t>本公司</w:t>
      </w:r>
      <w:r>
        <w:rPr>
          <w:rFonts w:ascii="Arial" w:hAnsi="Arial" w:cs="Arial" w:eastAsia="Arial" w:hint="default"/>
        </w:rPr>
        <w:t>”)</w:t>
      </w:r>
      <w:r>
        <w:rPr/>
        <w:t>的前身系于</w:t>
      </w:r>
      <w:r>
        <w:rPr>
          <w:spacing w:val="-71"/>
        </w:rPr>
        <w:t> </w:t>
      </w:r>
      <w:r>
        <w:rPr>
          <w:rFonts w:ascii="Arial" w:hAnsi="Arial" w:cs="Arial" w:eastAsia="Arial" w:hint="default"/>
        </w:rPr>
        <w:t>1996</w:t>
      </w:r>
      <w:r>
        <w:rPr>
          <w:rFonts w:ascii="Arial" w:hAnsi="Arial" w:cs="Arial" w:eastAsia="Arial" w:hint="default"/>
          <w:spacing w:val="-18"/>
        </w:rPr>
        <w:t> </w:t>
      </w:r>
      <w:r>
        <w:rPr/>
        <w:t>年</w:t>
      </w:r>
      <w:r>
        <w:rPr>
          <w:spacing w:val="-70"/>
        </w:rPr>
        <w:t> </w:t>
      </w:r>
      <w:r>
        <w:rPr>
          <w:rFonts w:ascii="Arial" w:hAnsi="Arial" w:cs="Arial" w:eastAsia="Arial" w:hint="default"/>
        </w:rPr>
        <w:t>5</w:t>
      </w:r>
      <w:r>
        <w:rPr>
          <w:rFonts w:ascii="Arial" w:hAnsi="Arial" w:cs="Arial" w:eastAsia="Arial" w:hint="default"/>
          <w:spacing w:val="-18"/>
        </w:rPr>
        <w:t> </w:t>
      </w:r>
      <w:r>
        <w:rPr/>
        <w:t>月</w:t>
      </w:r>
      <w:r>
        <w:rPr>
          <w:spacing w:val="-70"/>
        </w:rPr>
        <w:t> </w:t>
      </w:r>
      <w:r>
        <w:rPr>
          <w:rFonts w:ascii="Arial" w:hAnsi="Arial" w:cs="Arial" w:eastAsia="Arial" w:hint="default"/>
        </w:rPr>
        <w:t>15</w:t>
      </w:r>
      <w:r>
        <w:rPr>
          <w:rFonts w:ascii="Arial" w:hAnsi="Arial" w:cs="Arial" w:eastAsia="Arial" w:hint="default"/>
          <w:spacing w:val="-18"/>
        </w:rPr>
        <w:t> </w:t>
      </w:r>
      <w:r>
        <w:rPr/>
        <w:t>日在中华人民共 </w:t>
      </w:r>
      <w:r>
        <w:rPr>
          <w:spacing w:val="2"/>
        </w:rPr>
        <w:t>和国江苏省南京市注册成立的江苏苏宁交家电有限公司，成立时的注册资本为人民币</w:t>
      </w:r>
      <w:r>
        <w:rPr>
          <w:spacing w:val="-85"/>
        </w:rPr>
        <w:t> </w:t>
      </w:r>
      <w:r>
        <w:rPr>
          <w:spacing w:val="-85"/>
        </w:rPr>
      </w:r>
      <w:r>
        <w:rPr>
          <w:rFonts w:ascii="Arial" w:hAnsi="Arial" w:cs="Arial" w:eastAsia="Arial" w:hint="default"/>
        </w:rPr>
        <w:t>120</w:t>
      </w:r>
      <w:r>
        <w:rPr>
          <w:rFonts w:ascii="Arial" w:hAnsi="Arial" w:cs="Arial" w:eastAsia="Arial" w:hint="default"/>
          <w:spacing w:val="-2"/>
        </w:rPr>
        <w:t> </w:t>
      </w:r>
      <w:r>
        <w:rPr/>
        <w:t>万元。于</w:t>
      </w:r>
      <w:r>
        <w:rPr>
          <w:spacing w:val="-56"/>
        </w:rPr>
        <w:t> </w:t>
      </w:r>
      <w:r>
        <w:rPr>
          <w:rFonts w:ascii="Arial" w:hAnsi="Arial" w:cs="Arial" w:eastAsia="Arial" w:hint="default"/>
        </w:rPr>
        <w:t>2000</w:t>
      </w:r>
      <w:r>
        <w:rPr>
          <w:rFonts w:ascii="Arial" w:hAnsi="Arial" w:cs="Arial" w:eastAsia="Arial" w:hint="default"/>
          <w:spacing w:val="-1"/>
        </w:rPr>
        <w:t> </w:t>
      </w:r>
      <w:r>
        <w:rPr/>
        <w:t>年</w:t>
      </w:r>
      <w:r>
        <w:rPr>
          <w:spacing w:val="-54"/>
        </w:rPr>
        <w:t> </w:t>
      </w:r>
      <w:r>
        <w:rPr>
          <w:rFonts w:ascii="Arial" w:hAnsi="Arial" w:cs="Arial" w:eastAsia="Arial" w:hint="default"/>
        </w:rPr>
        <w:t>7</w:t>
      </w:r>
      <w:r>
        <w:rPr>
          <w:rFonts w:ascii="Arial" w:hAnsi="Arial" w:cs="Arial" w:eastAsia="Arial" w:hint="default"/>
          <w:spacing w:val="-2"/>
        </w:rPr>
        <w:t> </w:t>
      </w:r>
      <w:r>
        <w:rPr/>
        <w:t>月</w:t>
      </w:r>
      <w:r>
        <w:rPr>
          <w:spacing w:val="-55"/>
        </w:rPr>
        <w:t> </w:t>
      </w:r>
      <w:r>
        <w:rPr>
          <w:rFonts w:ascii="Arial" w:hAnsi="Arial" w:cs="Arial" w:eastAsia="Arial" w:hint="default"/>
        </w:rPr>
        <w:t>28</w:t>
      </w:r>
      <w:r>
        <w:rPr>
          <w:rFonts w:ascii="Arial" w:hAnsi="Arial" w:cs="Arial" w:eastAsia="Arial" w:hint="default"/>
          <w:spacing w:val="-2"/>
        </w:rPr>
        <w:t> </w:t>
      </w:r>
      <w:r>
        <w:rPr/>
        <w:t>日，经江苏省工商行政管理局批准更名为江苏苏宁交家</w:t>
      </w:r>
    </w:p>
    <w:p>
      <w:pPr>
        <w:pStyle w:val="BodyText"/>
        <w:spacing w:line="291" w:lineRule="exact"/>
        <w:ind w:left="811" w:right="0"/>
        <w:jc w:val="both"/>
      </w:pPr>
      <w:r>
        <w:rPr/>
        <w:t>电集团有限公司</w:t>
      </w:r>
      <w:r>
        <w:rPr>
          <w:spacing w:val="-120"/>
        </w:rPr>
        <w:t>。</w:t>
      </w:r>
      <w:r>
        <w:rPr/>
        <w:t>于</w:t>
      </w:r>
      <w:r>
        <w:rPr>
          <w:spacing w:val="-89"/>
        </w:rPr>
        <w:t> </w:t>
      </w:r>
      <w:r>
        <w:rPr>
          <w:rFonts w:ascii="Arial" w:hAnsi="Arial" w:cs="Arial" w:eastAsia="Arial" w:hint="default"/>
          <w:spacing w:val="-1"/>
          <w:w w:val="99"/>
        </w:rPr>
        <w:t>200</w:t>
      </w:r>
      <w:r>
        <w:rPr>
          <w:rFonts w:ascii="Arial" w:hAnsi="Arial" w:cs="Arial" w:eastAsia="Arial" w:hint="default"/>
          <w:w w:val="99"/>
        </w:rPr>
        <w:t>0</w:t>
      </w:r>
      <w:r>
        <w:rPr>
          <w:rFonts w:ascii="Arial" w:hAnsi="Arial" w:cs="Arial" w:eastAsia="Arial" w:hint="default"/>
          <w:spacing w:val="-36"/>
        </w:rPr>
        <w:t> </w:t>
      </w:r>
      <w:r>
        <w:rPr/>
        <w:t>年</w:t>
      </w:r>
      <w:r>
        <w:rPr>
          <w:spacing w:val="-89"/>
        </w:rPr>
        <w:t> </w:t>
      </w:r>
      <w:r>
        <w:rPr>
          <w:rFonts w:ascii="Arial" w:hAnsi="Arial" w:cs="Arial" w:eastAsia="Arial" w:hint="default"/>
          <w:w w:val="99"/>
        </w:rPr>
        <w:t>8</w:t>
      </w:r>
      <w:r>
        <w:rPr>
          <w:rFonts w:ascii="Arial" w:hAnsi="Arial" w:cs="Arial" w:eastAsia="Arial" w:hint="default"/>
          <w:spacing w:val="-36"/>
        </w:rPr>
        <w:t> </w:t>
      </w:r>
      <w:r>
        <w:rPr/>
        <w:t>月</w:t>
      </w:r>
      <w:r>
        <w:rPr>
          <w:spacing w:val="-89"/>
        </w:rPr>
        <w:t> </w:t>
      </w:r>
      <w:r>
        <w:rPr>
          <w:rFonts w:ascii="Arial" w:hAnsi="Arial" w:cs="Arial" w:eastAsia="Arial" w:hint="default"/>
          <w:spacing w:val="-1"/>
          <w:w w:val="99"/>
        </w:rPr>
        <w:t>3</w:t>
      </w:r>
      <w:r>
        <w:rPr>
          <w:rFonts w:ascii="Arial" w:hAnsi="Arial" w:cs="Arial" w:eastAsia="Arial" w:hint="default"/>
          <w:w w:val="99"/>
        </w:rPr>
        <w:t>0</w:t>
      </w:r>
      <w:r>
        <w:rPr>
          <w:rFonts w:ascii="Arial" w:hAnsi="Arial" w:cs="Arial" w:eastAsia="Arial" w:hint="default"/>
          <w:spacing w:val="-36"/>
        </w:rPr>
        <w:t> </w:t>
      </w:r>
      <w:r>
        <w:rPr/>
        <w:t>日经国家工商行政管理局批准更名为苏宁交家电</w:t>
      </w:r>
      <w:r>
        <w:rPr>
          <w:rFonts w:ascii="Arial" w:hAnsi="Arial" w:cs="Arial" w:eastAsia="Arial" w:hint="default"/>
        </w:rPr>
        <w:t>(</w:t>
      </w:r>
      <w:r>
        <w:rPr/>
        <w:t>集</w:t>
      </w:r>
    </w:p>
    <w:p>
      <w:pPr>
        <w:pStyle w:val="BodyText"/>
        <w:spacing w:line="312" w:lineRule="exact"/>
        <w:ind w:left="811" w:right="0"/>
        <w:jc w:val="both"/>
      </w:pPr>
      <w:r>
        <w:rPr/>
        <w:t>团</w:t>
      </w:r>
      <w:r>
        <w:rPr>
          <w:rFonts w:ascii="Arial" w:hAnsi="Arial" w:cs="Arial" w:eastAsia="Arial" w:hint="default"/>
        </w:rPr>
        <w:t>)</w:t>
      </w:r>
      <w:r>
        <w:rPr/>
        <w:t>有限公司。于</w:t>
      </w:r>
      <w:r>
        <w:rPr>
          <w:spacing w:val="-60"/>
        </w:rPr>
        <w:t> </w:t>
      </w:r>
      <w:r>
        <w:rPr>
          <w:rFonts w:ascii="Arial" w:hAnsi="Arial" w:cs="Arial" w:eastAsia="Arial" w:hint="default"/>
        </w:rPr>
        <w:t>2001</w:t>
      </w:r>
      <w:r>
        <w:rPr>
          <w:rFonts w:ascii="Arial" w:hAnsi="Arial" w:cs="Arial" w:eastAsia="Arial" w:hint="default"/>
          <w:spacing w:val="-7"/>
        </w:rPr>
        <w:t> </w:t>
      </w:r>
      <w:r>
        <w:rPr/>
        <w:t>年</w:t>
      </w:r>
      <w:r>
        <w:rPr>
          <w:spacing w:val="-60"/>
        </w:rPr>
        <w:t> </w:t>
      </w:r>
      <w:r>
        <w:rPr>
          <w:rFonts w:ascii="Arial" w:hAnsi="Arial" w:cs="Arial" w:eastAsia="Arial" w:hint="default"/>
        </w:rPr>
        <w:t>6</w:t>
      </w:r>
      <w:r>
        <w:rPr>
          <w:rFonts w:ascii="Arial" w:hAnsi="Arial" w:cs="Arial" w:eastAsia="Arial" w:hint="default"/>
          <w:spacing w:val="-7"/>
        </w:rPr>
        <w:t> </w:t>
      </w:r>
      <w:r>
        <w:rPr/>
        <w:t>月</w:t>
      </w:r>
      <w:r>
        <w:rPr>
          <w:spacing w:val="-60"/>
        </w:rPr>
        <w:t> </w:t>
      </w:r>
      <w:r>
        <w:rPr>
          <w:rFonts w:ascii="Arial" w:hAnsi="Arial" w:cs="Arial" w:eastAsia="Arial" w:hint="default"/>
        </w:rPr>
        <w:t>28</w:t>
      </w:r>
      <w:r>
        <w:rPr>
          <w:rFonts w:ascii="Arial" w:hAnsi="Arial" w:cs="Arial" w:eastAsia="Arial" w:hint="default"/>
          <w:spacing w:val="-7"/>
        </w:rPr>
        <w:t> </w:t>
      </w:r>
      <w:r>
        <w:rPr/>
        <w:t>日，经江苏省人民政府苏政复</w:t>
      </w:r>
      <w:r>
        <w:rPr>
          <w:rFonts w:ascii="Arial" w:hAnsi="Arial" w:cs="Arial" w:eastAsia="Arial" w:hint="default"/>
        </w:rPr>
        <w:t>[2001]109</w:t>
      </w:r>
      <w:r>
        <w:rPr>
          <w:rFonts w:ascii="Arial" w:hAnsi="Arial" w:cs="Arial" w:eastAsia="Arial" w:hint="default"/>
          <w:spacing w:val="-7"/>
        </w:rPr>
        <w:t> </w:t>
      </w:r>
      <w:r>
        <w:rPr/>
        <w:t>号文批准，</w:t>
      </w:r>
    </w:p>
    <w:p>
      <w:pPr>
        <w:pStyle w:val="BodyText"/>
        <w:spacing w:line="312" w:lineRule="exact"/>
        <w:ind w:left="811" w:right="0"/>
        <w:jc w:val="both"/>
      </w:pPr>
      <w:r>
        <w:rPr/>
        <w:t>以苏宁交家电</w:t>
      </w:r>
      <w:r>
        <w:rPr>
          <w:rFonts w:ascii="Arial" w:hAnsi="Arial" w:cs="Arial" w:eastAsia="Arial" w:hint="default"/>
        </w:rPr>
        <w:t>(</w:t>
      </w:r>
      <w:r>
        <w:rPr/>
        <w:t>集团</w:t>
      </w:r>
      <w:r>
        <w:rPr>
          <w:rFonts w:ascii="Arial" w:hAnsi="Arial" w:cs="Arial" w:eastAsia="Arial" w:hint="default"/>
        </w:rPr>
        <w:t>)</w:t>
      </w:r>
      <w:r>
        <w:rPr/>
        <w:t>有限公司于</w:t>
      </w:r>
      <w:r>
        <w:rPr>
          <w:spacing w:val="-68"/>
        </w:rPr>
        <w:t> </w:t>
      </w:r>
      <w:r>
        <w:rPr>
          <w:rFonts w:ascii="Arial" w:hAnsi="Arial" w:cs="Arial" w:eastAsia="Arial" w:hint="default"/>
        </w:rPr>
        <w:t>2000</w:t>
      </w:r>
      <w:r>
        <w:rPr>
          <w:rFonts w:ascii="Arial" w:hAnsi="Arial" w:cs="Arial" w:eastAsia="Arial" w:hint="default"/>
          <w:spacing w:val="-14"/>
        </w:rPr>
        <w:t> </w:t>
      </w:r>
      <w:r>
        <w:rPr/>
        <w:t>年</w:t>
      </w:r>
      <w:r>
        <w:rPr>
          <w:spacing w:val="-67"/>
        </w:rPr>
        <w:t> </w:t>
      </w:r>
      <w:r>
        <w:rPr>
          <w:rFonts w:ascii="Arial" w:hAnsi="Arial" w:cs="Arial" w:eastAsia="Arial" w:hint="default"/>
        </w:rPr>
        <w:t>12</w:t>
      </w:r>
      <w:r>
        <w:rPr>
          <w:rFonts w:ascii="Arial" w:hAnsi="Arial" w:cs="Arial" w:eastAsia="Arial" w:hint="default"/>
          <w:spacing w:val="-13"/>
        </w:rPr>
        <w:t> </w:t>
      </w:r>
      <w:r>
        <w:rPr/>
        <w:t>月</w:t>
      </w:r>
      <w:r>
        <w:rPr>
          <w:spacing w:val="-67"/>
        </w:rPr>
        <w:t> </w:t>
      </w:r>
      <w:r>
        <w:rPr>
          <w:rFonts w:ascii="Arial" w:hAnsi="Arial" w:cs="Arial" w:eastAsia="Arial" w:hint="default"/>
        </w:rPr>
        <w:t>31</w:t>
      </w:r>
      <w:r>
        <w:rPr>
          <w:rFonts w:ascii="Arial" w:hAnsi="Arial" w:cs="Arial" w:eastAsia="Arial" w:hint="default"/>
          <w:spacing w:val="-14"/>
        </w:rPr>
        <w:t> </w:t>
      </w:r>
      <w:r>
        <w:rPr/>
        <w:t>日的净资产整体变更为苏宁电器连锁</w:t>
      </w:r>
    </w:p>
    <w:p>
      <w:pPr>
        <w:pStyle w:val="BodyText"/>
        <w:spacing w:line="312" w:lineRule="exact"/>
        <w:ind w:left="811" w:right="0"/>
        <w:jc w:val="both"/>
      </w:pPr>
      <w:r>
        <w:rPr>
          <w:spacing w:val="-3"/>
        </w:rPr>
        <w:t>集团股份有限公司，股本总额人民币</w:t>
      </w:r>
      <w:r>
        <w:rPr>
          <w:spacing w:val="-62"/>
        </w:rPr>
        <w:t> </w:t>
      </w:r>
      <w:r>
        <w:rPr>
          <w:rFonts w:ascii="Arial" w:hAnsi="Arial" w:cs="Arial" w:eastAsia="Arial" w:hint="default"/>
        </w:rPr>
        <w:t>68,160,000</w:t>
      </w:r>
      <w:r>
        <w:rPr>
          <w:rFonts w:ascii="Arial" w:hAnsi="Arial" w:cs="Arial" w:eastAsia="Arial" w:hint="default"/>
          <w:spacing w:val="-9"/>
        </w:rPr>
        <w:t> </w:t>
      </w:r>
      <w:r>
        <w:rPr>
          <w:spacing w:val="-16"/>
        </w:rPr>
        <w:t>元，于</w:t>
      </w:r>
      <w:r>
        <w:rPr>
          <w:spacing w:val="-61"/>
        </w:rPr>
        <w:t> </w:t>
      </w:r>
      <w:r>
        <w:rPr>
          <w:rFonts w:ascii="Arial" w:hAnsi="Arial" w:cs="Arial" w:eastAsia="Arial" w:hint="default"/>
        </w:rPr>
        <w:t>2001</w:t>
      </w:r>
      <w:r>
        <w:rPr>
          <w:rFonts w:ascii="Arial" w:hAnsi="Arial" w:cs="Arial" w:eastAsia="Arial" w:hint="default"/>
          <w:spacing w:val="-9"/>
        </w:rPr>
        <w:t> </w:t>
      </w:r>
      <w:r>
        <w:rPr/>
        <w:t>年</w:t>
      </w:r>
      <w:r>
        <w:rPr>
          <w:spacing w:val="-62"/>
        </w:rPr>
        <w:t> </w:t>
      </w:r>
      <w:r>
        <w:rPr>
          <w:rFonts w:ascii="Arial" w:hAnsi="Arial" w:cs="Arial" w:eastAsia="Arial" w:hint="default"/>
        </w:rPr>
        <w:t>6</w:t>
      </w:r>
      <w:r>
        <w:rPr>
          <w:rFonts w:ascii="Arial" w:hAnsi="Arial" w:cs="Arial" w:eastAsia="Arial" w:hint="default"/>
          <w:spacing w:val="-8"/>
        </w:rPr>
        <w:t> </w:t>
      </w:r>
      <w:r>
        <w:rPr/>
        <w:t>月</w:t>
      </w:r>
      <w:r>
        <w:rPr>
          <w:spacing w:val="-62"/>
        </w:rPr>
        <w:t> </w:t>
      </w:r>
      <w:r>
        <w:rPr>
          <w:rFonts w:ascii="Arial" w:hAnsi="Arial" w:cs="Arial" w:eastAsia="Arial" w:hint="default"/>
        </w:rPr>
        <w:t>29</w:t>
      </w:r>
      <w:r>
        <w:rPr>
          <w:rFonts w:ascii="Arial" w:hAnsi="Arial" w:cs="Arial" w:eastAsia="Arial" w:hint="default"/>
          <w:spacing w:val="-9"/>
        </w:rPr>
        <w:t> </w:t>
      </w:r>
      <w:r>
        <w:rPr/>
        <w:t>日领取营业执</w:t>
      </w:r>
    </w:p>
    <w:p>
      <w:pPr>
        <w:pStyle w:val="BodyText"/>
        <w:spacing w:line="312" w:lineRule="exact" w:before="21"/>
        <w:ind w:left="811" w:right="130"/>
        <w:jc w:val="both"/>
      </w:pPr>
      <w:r>
        <w:rPr>
          <w:spacing w:val="-6"/>
        </w:rPr>
        <w:t>照。此后，根据</w:t>
      </w:r>
      <w:r>
        <w:rPr>
          <w:spacing w:val="-67"/>
        </w:rPr>
        <w:t> </w:t>
      </w:r>
      <w:r>
        <w:rPr>
          <w:rFonts w:ascii="Arial" w:hAnsi="Arial" w:cs="Arial" w:eastAsia="Arial" w:hint="default"/>
        </w:rPr>
        <w:t>2005</w:t>
      </w:r>
      <w:r>
        <w:rPr>
          <w:rFonts w:ascii="Arial" w:hAnsi="Arial" w:cs="Arial" w:eastAsia="Arial" w:hint="default"/>
          <w:spacing w:val="-13"/>
        </w:rPr>
        <w:t> </w:t>
      </w:r>
      <w:r>
        <w:rPr/>
        <w:t>年第二次临时股东大会决议，本公司更名为苏宁电器股份有限公 司。</w:t>
      </w:r>
    </w:p>
    <w:p>
      <w:pPr>
        <w:spacing w:line="240" w:lineRule="auto" w:before="1"/>
        <w:rPr>
          <w:rFonts w:ascii="宋体" w:hAnsi="宋体" w:cs="宋体" w:eastAsia="宋体" w:hint="default"/>
          <w:sz w:val="21"/>
          <w:szCs w:val="21"/>
        </w:rPr>
      </w:pPr>
    </w:p>
    <w:p>
      <w:pPr>
        <w:pStyle w:val="BodyText"/>
        <w:spacing w:line="312" w:lineRule="exact"/>
        <w:ind w:left="811" w:right="130"/>
        <w:jc w:val="both"/>
      </w:pPr>
      <w:r>
        <w:rPr/>
        <w:t>经中国证券监督管理委员会证监发行字</w:t>
      </w:r>
      <w:r>
        <w:rPr>
          <w:rFonts w:ascii="Arial" w:hAnsi="Arial" w:cs="Arial" w:eastAsia="Arial" w:hint="default"/>
        </w:rPr>
        <w:t>[2004]97</w:t>
      </w:r>
      <w:r>
        <w:rPr>
          <w:rFonts w:ascii="Arial" w:hAnsi="Arial" w:cs="Arial" w:eastAsia="Arial" w:hint="default"/>
          <w:spacing w:val="-8"/>
        </w:rPr>
        <w:t> </w:t>
      </w:r>
      <w:r>
        <w:rPr/>
        <w:t>号文</w:t>
      </w:r>
      <w:r>
        <w:rPr>
          <w:rFonts w:ascii="Arial" w:hAnsi="Arial" w:cs="Arial" w:eastAsia="Arial" w:hint="default"/>
        </w:rPr>
        <w:t>“</w:t>
      </w:r>
      <w:r>
        <w:rPr/>
        <w:t>关于核准苏宁电器连锁集团股份 有限公司公开发行股票的通知</w:t>
      </w:r>
      <w:r>
        <w:rPr>
          <w:rFonts w:ascii="Arial" w:hAnsi="Arial" w:cs="Arial" w:eastAsia="Arial" w:hint="default"/>
        </w:rPr>
        <w:t>”</w:t>
      </w:r>
      <w:r>
        <w:rPr/>
        <w:t>批准，本公司于</w:t>
      </w:r>
      <w:r>
        <w:rPr>
          <w:spacing w:val="-48"/>
        </w:rPr>
        <w:t> </w:t>
      </w:r>
      <w:r>
        <w:rPr>
          <w:rFonts w:ascii="Arial" w:hAnsi="Arial" w:cs="Arial" w:eastAsia="Arial" w:hint="default"/>
        </w:rPr>
        <w:t>2004</w:t>
      </w:r>
      <w:r>
        <w:rPr>
          <w:rFonts w:ascii="Arial" w:hAnsi="Arial" w:cs="Arial" w:eastAsia="Arial" w:hint="default"/>
          <w:spacing w:val="6"/>
        </w:rPr>
        <w:t> </w:t>
      </w:r>
      <w:r>
        <w:rPr/>
        <w:t>年</w:t>
      </w:r>
      <w:r>
        <w:rPr>
          <w:spacing w:val="-48"/>
        </w:rPr>
        <w:t> </w:t>
      </w:r>
      <w:r>
        <w:rPr>
          <w:rFonts w:ascii="Arial" w:hAnsi="Arial" w:cs="Arial" w:eastAsia="Arial" w:hint="default"/>
        </w:rPr>
        <w:t>7</w:t>
      </w:r>
      <w:r>
        <w:rPr>
          <w:rFonts w:ascii="Arial" w:hAnsi="Arial" w:cs="Arial" w:eastAsia="Arial" w:hint="default"/>
          <w:spacing w:val="5"/>
        </w:rPr>
        <w:t> </w:t>
      </w:r>
      <w:r>
        <w:rPr/>
        <w:t>月</w:t>
      </w:r>
      <w:r>
        <w:rPr>
          <w:spacing w:val="-48"/>
        </w:rPr>
        <w:t> </w:t>
      </w:r>
      <w:r>
        <w:rPr>
          <w:rFonts w:ascii="Arial" w:hAnsi="Arial" w:cs="Arial" w:eastAsia="Arial" w:hint="default"/>
        </w:rPr>
        <w:t>7</w:t>
      </w:r>
      <w:r>
        <w:rPr>
          <w:rFonts w:ascii="Arial" w:hAnsi="Arial" w:cs="Arial" w:eastAsia="Arial" w:hint="default"/>
          <w:spacing w:val="5"/>
        </w:rPr>
        <w:t> </w:t>
      </w:r>
      <w:r>
        <w:rPr/>
        <w:t>日向境内投资者发行了</w:t>
      </w:r>
    </w:p>
    <w:p>
      <w:pPr>
        <w:pStyle w:val="BodyText"/>
        <w:spacing w:line="291" w:lineRule="exact"/>
        <w:ind w:left="812" w:right="0"/>
        <w:jc w:val="both"/>
      </w:pPr>
      <w:r>
        <w:rPr>
          <w:rFonts w:ascii="Arial" w:hAnsi="Arial" w:cs="Arial" w:eastAsia="Arial" w:hint="default"/>
        </w:rPr>
        <w:t>2,500 </w:t>
      </w:r>
      <w:r>
        <w:rPr/>
        <w:t>万股人民币普通股</w:t>
      </w:r>
      <w:r>
        <w:rPr>
          <w:rFonts w:ascii="Arial" w:hAnsi="Arial" w:cs="Arial" w:eastAsia="Arial" w:hint="default"/>
        </w:rPr>
        <w:t>(</w:t>
      </w:r>
      <w:r>
        <w:rPr/>
        <w:t>以下称为</w:t>
      </w:r>
      <w:r>
        <w:rPr>
          <w:rFonts w:ascii="Arial" w:hAnsi="Arial" w:cs="Arial" w:eastAsia="Arial" w:hint="default"/>
        </w:rPr>
        <w:t>“A </w:t>
      </w:r>
      <w:r>
        <w:rPr/>
        <w:t>股</w:t>
      </w:r>
      <w:r>
        <w:rPr>
          <w:rFonts w:ascii="Arial" w:hAnsi="Arial" w:cs="Arial" w:eastAsia="Arial" w:hint="default"/>
        </w:rPr>
        <w:t>”)</w:t>
      </w:r>
      <w:r>
        <w:rPr/>
        <w:t>，每股面值人民币 </w:t>
      </w:r>
      <w:r>
        <w:rPr>
          <w:rFonts w:ascii="Arial" w:hAnsi="Arial" w:cs="Arial" w:eastAsia="Arial" w:hint="default"/>
        </w:rPr>
        <w:t>1</w:t>
      </w:r>
      <w:r>
        <w:rPr>
          <w:rFonts w:ascii="Arial" w:hAnsi="Arial" w:cs="Arial" w:eastAsia="Arial" w:hint="default"/>
          <w:spacing w:val="11"/>
        </w:rPr>
        <w:t> </w:t>
      </w:r>
      <w:r>
        <w:rPr/>
        <w:t>元，每股发行价为人民</w:t>
      </w:r>
    </w:p>
    <w:p>
      <w:pPr>
        <w:pStyle w:val="BodyText"/>
        <w:spacing w:line="312" w:lineRule="exact"/>
        <w:ind w:left="812" w:right="0"/>
        <w:jc w:val="both"/>
      </w:pPr>
      <w:r>
        <w:rPr/>
        <w:t>币</w:t>
      </w:r>
      <w:r>
        <w:rPr>
          <w:spacing w:val="-59"/>
        </w:rPr>
        <w:t> </w:t>
      </w:r>
      <w:r>
        <w:rPr>
          <w:rFonts w:ascii="Arial" w:hAnsi="Arial" w:cs="Arial" w:eastAsia="Arial" w:hint="default"/>
        </w:rPr>
        <w:t>16.33</w:t>
      </w:r>
      <w:r>
        <w:rPr>
          <w:rFonts w:ascii="Arial" w:hAnsi="Arial" w:cs="Arial" w:eastAsia="Arial" w:hint="default"/>
          <w:spacing w:val="-6"/>
        </w:rPr>
        <w:t> </w:t>
      </w:r>
      <w:r>
        <w:rPr/>
        <w:t>元，发行后总股本增至人民币</w:t>
      </w:r>
      <w:r>
        <w:rPr>
          <w:spacing w:val="-59"/>
        </w:rPr>
        <w:t> </w:t>
      </w:r>
      <w:r>
        <w:rPr>
          <w:rFonts w:ascii="Arial" w:hAnsi="Arial" w:cs="Arial" w:eastAsia="Arial" w:hint="default"/>
        </w:rPr>
        <w:t>93,160,000</w:t>
      </w:r>
      <w:r>
        <w:rPr>
          <w:rFonts w:ascii="Arial" w:hAnsi="Arial" w:cs="Arial" w:eastAsia="Arial" w:hint="default"/>
          <w:spacing w:val="-6"/>
        </w:rPr>
        <w:t> </w:t>
      </w:r>
      <w:r>
        <w:rPr/>
        <w:t>元，本公司发行的</w:t>
      </w:r>
      <w:r>
        <w:rPr>
          <w:spacing w:val="-59"/>
        </w:rPr>
        <w:t> </w:t>
      </w:r>
      <w:r>
        <w:rPr>
          <w:rFonts w:ascii="Arial" w:hAnsi="Arial" w:cs="Arial" w:eastAsia="Arial" w:hint="default"/>
        </w:rPr>
        <w:t>A</w:t>
      </w:r>
      <w:r>
        <w:rPr>
          <w:rFonts w:ascii="Arial" w:hAnsi="Arial" w:cs="Arial" w:eastAsia="Arial" w:hint="default"/>
          <w:spacing w:val="-6"/>
        </w:rPr>
        <w:t> </w:t>
      </w:r>
      <w:r>
        <w:rPr/>
        <w:t>股于</w:t>
      </w:r>
      <w:r>
        <w:rPr>
          <w:spacing w:val="-59"/>
        </w:rPr>
        <w:t> </w:t>
      </w:r>
      <w:r>
        <w:rPr>
          <w:rFonts w:ascii="Arial" w:hAnsi="Arial" w:cs="Arial" w:eastAsia="Arial" w:hint="default"/>
        </w:rPr>
        <w:t>2004</w:t>
      </w:r>
      <w:r>
        <w:rPr>
          <w:rFonts w:ascii="Arial" w:hAnsi="Arial" w:cs="Arial" w:eastAsia="Arial" w:hint="default"/>
          <w:spacing w:val="-6"/>
        </w:rPr>
        <w:t> </w:t>
      </w:r>
      <w:r>
        <w:rPr/>
        <w:t>年</w:t>
      </w:r>
    </w:p>
    <w:p>
      <w:pPr>
        <w:pStyle w:val="BodyText"/>
        <w:spacing w:line="322" w:lineRule="exact"/>
        <w:ind w:left="812" w:right="0"/>
        <w:jc w:val="both"/>
      </w:pPr>
      <w:r>
        <w:rPr>
          <w:rFonts w:ascii="Arial" w:hAnsi="Arial" w:cs="Arial" w:eastAsia="Arial" w:hint="default"/>
        </w:rPr>
        <w:t>7</w:t>
      </w:r>
      <w:r>
        <w:rPr>
          <w:rFonts w:ascii="Arial" w:hAnsi="Arial" w:cs="Arial" w:eastAsia="Arial" w:hint="default"/>
          <w:spacing w:val="-8"/>
        </w:rPr>
        <w:t> </w:t>
      </w:r>
      <w:r>
        <w:rPr/>
        <w:t>月</w:t>
      </w:r>
      <w:r>
        <w:rPr>
          <w:spacing w:val="-61"/>
        </w:rPr>
        <w:t> </w:t>
      </w:r>
      <w:r>
        <w:rPr>
          <w:rFonts w:ascii="Arial" w:hAnsi="Arial" w:cs="Arial" w:eastAsia="Arial" w:hint="default"/>
        </w:rPr>
        <w:t>21</w:t>
      </w:r>
      <w:r>
        <w:rPr>
          <w:rFonts w:ascii="Arial" w:hAnsi="Arial" w:cs="Arial" w:eastAsia="Arial" w:hint="default"/>
          <w:spacing w:val="-8"/>
        </w:rPr>
        <w:t> </w:t>
      </w:r>
      <w:r>
        <w:rPr/>
        <w:t>日在深圳证券交易所中小企业板块挂牌上市交易。</w:t>
      </w:r>
    </w:p>
    <w:p>
      <w:pPr>
        <w:spacing w:line="240" w:lineRule="auto" w:before="13"/>
        <w:rPr>
          <w:rFonts w:ascii="宋体" w:hAnsi="宋体" w:cs="宋体" w:eastAsia="宋体" w:hint="default"/>
          <w:sz w:val="21"/>
          <w:szCs w:val="21"/>
        </w:rPr>
      </w:pPr>
    </w:p>
    <w:p>
      <w:pPr>
        <w:pStyle w:val="BodyText"/>
        <w:spacing w:line="312" w:lineRule="exact"/>
        <w:ind w:left="812" w:right="131"/>
        <w:jc w:val="both"/>
      </w:pPr>
      <w:r>
        <w:rPr/>
        <w:t>经于</w:t>
      </w:r>
      <w:r>
        <w:rPr>
          <w:rFonts w:ascii="Arial" w:hAnsi="Arial" w:cs="Arial" w:eastAsia="Arial" w:hint="default"/>
        </w:rPr>
        <w:t>2005</w:t>
      </w:r>
      <w:r>
        <w:rPr/>
        <w:t>年</w:t>
      </w:r>
      <w:r>
        <w:rPr>
          <w:rFonts w:ascii="Arial" w:hAnsi="Arial" w:cs="Arial" w:eastAsia="Arial" w:hint="default"/>
        </w:rPr>
        <w:t>5</w:t>
      </w:r>
      <w:r>
        <w:rPr/>
        <w:t>月</w:t>
      </w:r>
      <w:r>
        <w:rPr>
          <w:rFonts w:ascii="Arial" w:hAnsi="Arial" w:cs="Arial" w:eastAsia="Arial" w:hint="default"/>
        </w:rPr>
        <w:t>22</w:t>
      </w:r>
      <w:r>
        <w:rPr/>
        <w:t>日召开的</w:t>
      </w:r>
      <w:r>
        <w:rPr>
          <w:rFonts w:ascii="Arial" w:hAnsi="Arial" w:cs="Arial" w:eastAsia="Arial" w:hint="default"/>
        </w:rPr>
        <w:t>2004</w:t>
      </w:r>
      <w:r>
        <w:rPr/>
        <w:t>年年度股东大会通过，本公司以资本公积转增股本人</w:t>
      </w:r>
      <w:r>
        <w:rPr>
          <w:spacing w:val="-53"/>
        </w:rPr>
        <w:t> </w:t>
      </w:r>
      <w:r>
        <w:rPr/>
        <w:t>民币</w:t>
      </w:r>
      <w:r>
        <w:rPr>
          <w:rFonts w:ascii="Arial" w:hAnsi="Arial" w:cs="Arial" w:eastAsia="Arial" w:hint="default"/>
        </w:rPr>
        <w:t>93,160,000</w:t>
      </w:r>
      <w:r>
        <w:rPr/>
        <w:t>元。经此次转增后，股本总额变更为人民币</w:t>
      </w:r>
      <w:r>
        <w:rPr>
          <w:rFonts w:ascii="Arial" w:hAnsi="Arial" w:cs="Arial" w:eastAsia="Arial" w:hint="default"/>
        </w:rPr>
        <w:t>186,320,000</w:t>
      </w:r>
      <w:r>
        <w:rPr/>
        <w:t>元。</w:t>
      </w:r>
    </w:p>
    <w:p>
      <w:pPr>
        <w:spacing w:line="240" w:lineRule="auto" w:before="1"/>
        <w:rPr>
          <w:rFonts w:ascii="宋体" w:hAnsi="宋体" w:cs="宋体" w:eastAsia="宋体" w:hint="default"/>
          <w:sz w:val="21"/>
          <w:szCs w:val="21"/>
        </w:rPr>
      </w:pPr>
    </w:p>
    <w:p>
      <w:pPr>
        <w:pStyle w:val="BodyText"/>
        <w:spacing w:line="312" w:lineRule="exact"/>
        <w:ind w:left="812" w:right="128"/>
        <w:jc w:val="both"/>
      </w:pPr>
      <w:r>
        <w:rPr/>
        <w:t>经于</w:t>
      </w:r>
      <w:r>
        <w:rPr>
          <w:rFonts w:ascii="Arial" w:hAnsi="Arial" w:cs="Arial" w:eastAsia="Arial" w:hint="default"/>
        </w:rPr>
        <w:t>2005</w:t>
      </w:r>
      <w:r>
        <w:rPr/>
        <w:t>年</w:t>
      </w:r>
      <w:r>
        <w:rPr>
          <w:rFonts w:ascii="Arial" w:hAnsi="Arial" w:cs="Arial" w:eastAsia="Arial" w:hint="default"/>
        </w:rPr>
        <w:t>9</w:t>
      </w:r>
      <w:r>
        <w:rPr/>
        <w:t>月</w:t>
      </w:r>
      <w:r>
        <w:rPr>
          <w:rFonts w:ascii="Arial" w:hAnsi="Arial" w:cs="Arial" w:eastAsia="Arial" w:hint="default"/>
        </w:rPr>
        <w:t>29</w:t>
      </w:r>
      <w:r>
        <w:rPr/>
        <w:t>日召开的</w:t>
      </w:r>
      <w:r>
        <w:rPr>
          <w:rFonts w:ascii="Arial" w:hAnsi="Arial" w:cs="Arial" w:eastAsia="Arial" w:hint="default"/>
        </w:rPr>
        <w:t>2005</w:t>
      </w:r>
      <w:r>
        <w:rPr/>
        <w:t>年第二次临时股东大会决议通过，本公司以资本公积</w:t>
      </w:r>
      <w:r>
        <w:rPr>
          <w:spacing w:val="-53"/>
        </w:rPr>
        <w:t> </w:t>
      </w:r>
      <w:r>
        <w:rPr/>
        <w:t>转增股本人民币</w:t>
      </w:r>
      <w:r>
        <w:rPr>
          <w:rFonts w:ascii="Arial" w:hAnsi="Arial" w:cs="Arial" w:eastAsia="Arial" w:hint="default"/>
        </w:rPr>
        <w:t>149,056,000</w:t>
      </w:r>
      <w:r>
        <w:rPr/>
        <w:t>元。经此次转增后，股本总额变更为人民币</w:t>
      </w:r>
      <w:r>
        <w:rPr>
          <w:rFonts w:ascii="Arial" w:hAnsi="Arial" w:cs="Arial" w:eastAsia="Arial" w:hint="default"/>
        </w:rPr>
        <w:t>335,376,000</w:t>
      </w:r>
      <w:r>
        <w:rPr>
          <w:rFonts w:ascii="Arial" w:hAnsi="Arial" w:cs="Arial" w:eastAsia="Arial" w:hint="default"/>
          <w:spacing w:val="-8"/>
        </w:rPr>
        <w:t> </w:t>
      </w:r>
      <w:r>
        <w:rPr/>
        <w:t>元。</w:t>
      </w:r>
    </w:p>
    <w:p>
      <w:pPr>
        <w:spacing w:line="240" w:lineRule="auto" w:before="1"/>
        <w:rPr>
          <w:rFonts w:ascii="宋体" w:hAnsi="宋体" w:cs="宋体" w:eastAsia="宋体" w:hint="default"/>
          <w:sz w:val="21"/>
          <w:szCs w:val="21"/>
        </w:rPr>
      </w:pPr>
    </w:p>
    <w:p>
      <w:pPr>
        <w:pStyle w:val="BodyText"/>
        <w:spacing w:line="312" w:lineRule="exact"/>
        <w:ind w:left="812" w:right="117"/>
        <w:jc w:val="both"/>
      </w:pPr>
      <w:r>
        <w:rPr/>
        <w:t>经中国证券监督管理委员会证监发行字</w:t>
      </w:r>
      <w:r>
        <w:rPr>
          <w:rFonts w:ascii="Arial" w:hAnsi="Arial" w:cs="Arial" w:eastAsia="Arial" w:hint="default"/>
        </w:rPr>
        <w:t>[2006]21</w:t>
      </w:r>
      <w:r>
        <w:rPr/>
        <w:t>号文</w:t>
      </w:r>
      <w:r>
        <w:rPr>
          <w:rFonts w:ascii="Arial" w:hAnsi="Arial" w:cs="Arial" w:eastAsia="Arial" w:hint="default"/>
        </w:rPr>
        <w:t>“</w:t>
      </w:r>
      <w:r>
        <w:rPr/>
        <w:t>关于核准苏宁电器股份有限公司</w:t>
      </w:r>
      <w:r>
        <w:rPr>
          <w:spacing w:val="-89"/>
        </w:rPr>
        <w:t> </w:t>
      </w:r>
      <w:r>
        <w:rPr>
          <w:spacing w:val="-2"/>
        </w:rPr>
        <w:t>非公开发行股票的通知</w:t>
      </w:r>
      <w:r>
        <w:rPr>
          <w:rFonts w:ascii="Arial" w:hAnsi="Arial" w:cs="Arial" w:eastAsia="Arial" w:hint="default"/>
          <w:spacing w:val="-2"/>
        </w:rPr>
        <w:t>”</w:t>
      </w:r>
      <w:r>
        <w:rPr>
          <w:spacing w:val="-2"/>
        </w:rPr>
        <w:t>批准，本公司于</w:t>
      </w:r>
      <w:r>
        <w:rPr>
          <w:rFonts w:ascii="Arial" w:hAnsi="Arial" w:cs="Arial" w:eastAsia="Arial" w:hint="default"/>
          <w:spacing w:val="-2"/>
        </w:rPr>
        <w:t>2006</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20</w:t>
      </w:r>
      <w:r>
        <w:rPr>
          <w:spacing w:val="-2"/>
        </w:rPr>
        <w:t>日向特定投资者非公开发行</w:t>
      </w:r>
      <w:r>
        <w:rPr>
          <w:rFonts w:ascii="Arial" w:hAnsi="Arial" w:cs="Arial" w:eastAsia="Arial" w:hint="default"/>
          <w:spacing w:val="-2"/>
        </w:rPr>
        <w:t>2,500</w:t>
      </w:r>
      <w:r>
        <w:rPr>
          <w:rFonts w:ascii="Arial" w:hAnsi="Arial" w:cs="Arial" w:eastAsia="Arial" w:hint="default"/>
          <w:spacing w:val="-51"/>
        </w:rPr>
        <w:t> </w:t>
      </w:r>
      <w:r>
        <w:rPr>
          <w:spacing w:val="13"/>
        </w:rPr>
        <w:t>万</w:t>
      </w:r>
      <w:r>
        <w:rPr>
          <w:rFonts w:ascii="Arial" w:hAnsi="Arial" w:cs="Arial" w:eastAsia="Arial" w:hint="default"/>
          <w:spacing w:val="13"/>
        </w:rPr>
        <w:t>A</w:t>
      </w:r>
      <w:r>
        <w:rPr>
          <w:spacing w:val="13"/>
        </w:rPr>
        <w:t>股，每股面值人民币</w:t>
      </w:r>
      <w:r>
        <w:rPr>
          <w:rFonts w:ascii="Arial" w:hAnsi="Arial" w:cs="Arial" w:eastAsia="Arial" w:hint="default"/>
          <w:spacing w:val="13"/>
        </w:rPr>
        <w:t>1</w:t>
      </w:r>
      <w:r>
        <w:rPr>
          <w:spacing w:val="13"/>
        </w:rPr>
        <w:t>元，每股发行价为人民币</w:t>
      </w:r>
      <w:r>
        <w:rPr>
          <w:rFonts w:ascii="Arial" w:hAnsi="Arial" w:cs="Arial" w:eastAsia="Arial" w:hint="default"/>
          <w:spacing w:val="13"/>
        </w:rPr>
        <w:t>48</w:t>
      </w:r>
      <w:r>
        <w:rPr>
          <w:spacing w:val="13"/>
        </w:rPr>
        <w:t>元，股本总额变更为人民币</w:t>
      </w:r>
      <w:r>
        <w:rPr>
          <w:spacing w:val="-87"/>
        </w:rPr>
        <w:t> </w:t>
      </w:r>
      <w:r>
        <w:rPr>
          <w:rFonts w:ascii="Arial" w:hAnsi="Arial" w:cs="Arial" w:eastAsia="Arial" w:hint="default"/>
        </w:rPr>
        <w:t>360,376,000</w:t>
      </w:r>
      <w:r>
        <w:rPr/>
        <w:t>元。</w:t>
      </w:r>
    </w:p>
    <w:p>
      <w:pPr>
        <w:spacing w:line="240" w:lineRule="auto" w:before="1"/>
        <w:rPr>
          <w:rFonts w:ascii="宋体" w:hAnsi="宋体" w:cs="宋体" w:eastAsia="宋体" w:hint="default"/>
          <w:sz w:val="21"/>
          <w:szCs w:val="21"/>
        </w:rPr>
      </w:pPr>
    </w:p>
    <w:p>
      <w:pPr>
        <w:pStyle w:val="BodyText"/>
        <w:spacing w:line="312" w:lineRule="exact"/>
        <w:ind w:left="811" w:right="131"/>
        <w:jc w:val="both"/>
      </w:pPr>
      <w:r>
        <w:rPr/>
        <w:t>经于</w:t>
      </w:r>
      <w:r>
        <w:rPr>
          <w:rFonts w:ascii="Arial" w:hAnsi="Arial" w:cs="Arial" w:eastAsia="Arial" w:hint="default"/>
        </w:rPr>
        <w:t>2006</w:t>
      </w:r>
      <w:r>
        <w:rPr/>
        <w:t>年</w:t>
      </w:r>
      <w:r>
        <w:rPr>
          <w:rFonts w:ascii="Arial" w:hAnsi="Arial" w:cs="Arial" w:eastAsia="Arial" w:hint="default"/>
        </w:rPr>
        <w:t>9</w:t>
      </w:r>
      <w:r>
        <w:rPr/>
        <w:t>月</w:t>
      </w:r>
      <w:r>
        <w:rPr>
          <w:rFonts w:ascii="Arial" w:hAnsi="Arial" w:cs="Arial" w:eastAsia="Arial" w:hint="default"/>
        </w:rPr>
        <w:t>13</w:t>
      </w:r>
      <w:r>
        <w:rPr/>
        <w:t>日召开的</w:t>
      </w:r>
      <w:r>
        <w:rPr>
          <w:rFonts w:ascii="Arial" w:hAnsi="Arial" w:cs="Arial" w:eastAsia="Arial" w:hint="default"/>
        </w:rPr>
        <w:t>2006</w:t>
      </w:r>
      <w:r>
        <w:rPr/>
        <w:t>年第二次临时股东大会决议通过，本公司以资本公积</w:t>
      </w:r>
      <w:r>
        <w:rPr>
          <w:spacing w:val="-53"/>
        </w:rPr>
        <w:t> </w:t>
      </w:r>
      <w:r>
        <w:rPr/>
        <w:t>转增股本人民币</w:t>
      </w:r>
      <w:r>
        <w:rPr>
          <w:rFonts w:ascii="Arial" w:hAnsi="Arial" w:cs="Arial" w:eastAsia="Arial" w:hint="default"/>
        </w:rPr>
        <w:t>360,376,000</w:t>
      </w:r>
      <w:r>
        <w:rPr/>
        <w:t>元。经此次转增后，股本总额变更为人民币</w:t>
      </w:r>
      <w:r>
        <w:rPr>
          <w:rFonts w:ascii="Arial" w:hAnsi="Arial" w:cs="Arial" w:eastAsia="Arial" w:hint="default"/>
        </w:rPr>
        <w:t>720,752,000</w:t>
      </w:r>
      <w:r>
        <w:rPr>
          <w:rFonts w:ascii="Arial" w:hAnsi="Arial" w:cs="Arial" w:eastAsia="Arial" w:hint="default"/>
          <w:spacing w:val="-8"/>
        </w:rPr>
        <w:t> </w:t>
      </w:r>
      <w:r>
        <w:rPr/>
        <w:t>元。</w:t>
      </w:r>
    </w:p>
    <w:p>
      <w:pPr>
        <w:spacing w:after="0" w:line="312" w:lineRule="exact"/>
        <w:jc w:val="both"/>
        <w:sectPr>
          <w:pgSz w:w="11910" w:h="16840"/>
          <w:pgMar w:header="826" w:footer="894" w:top="1100" w:bottom="110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59"/>
        <w:jc w:val="left"/>
        <w:rPr>
          <w:rFonts w:ascii="Arial" w:hAnsi="Arial" w:cs="Arial" w:eastAsia="Arial" w:hint="default"/>
          <w:b w:val="0"/>
          <w:bCs w:val="0"/>
        </w:rPr>
      </w:pPr>
      <w:r>
        <w:rPr>
          <w:w w:val="95"/>
        </w:rPr>
        <w:t>一</w:t>
        <w:tab/>
      </w:r>
      <w:r>
        <w:rPr/>
        <w:t>公司基本情况</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5"/>
          <w:szCs w:val="25"/>
        </w:rPr>
      </w:pPr>
    </w:p>
    <w:p>
      <w:pPr>
        <w:pStyle w:val="BodyText"/>
        <w:spacing w:line="312" w:lineRule="exact"/>
        <w:ind w:left="811" w:right="159"/>
        <w:jc w:val="left"/>
      </w:pPr>
      <w:r>
        <w:rPr/>
        <w:t>经于</w:t>
      </w:r>
      <w:r>
        <w:rPr>
          <w:rFonts w:ascii="Arial" w:hAnsi="Arial" w:cs="Arial" w:eastAsia="Arial" w:hint="default"/>
        </w:rPr>
        <w:t>2007</w:t>
      </w:r>
      <w:r>
        <w:rPr/>
        <w:t>年</w:t>
      </w:r>
      <w:r>
        <w:rPr>
          <w:rFonts w:ascii="Arial" w:hAnsi="Arial" w:cs="Arial" w:eastAsia="Arial" w:hint="default"/>
        </w:rPr>
        <w:t>3</w:t>
      </w:r>
      <w:r>
        <w:rPr/>
        <w:t>月</w:t>
      </w:r>
      <w:r>
        <w:rPr>
          <w:rFonts w:ascii="Arial" w:hAnsi="Arial" w:cs="Arial" w:eastAsia="Arial" w:hint="default"/>
        </w:rPr>
        <w:t>30</w:t>
      </w:r>
      <w:r>
        <w:rPr/>
        <w:t>日召开的</w:t>
      </w:r>
      <w:r>
        <w:rPr>
          <w:rFonts w:ascii="Arial" w:hAnsi="Arial" w:cs="Arial" w:eastAsia="Arial" w:hint="default"/>
        </w:rPr>
        <w:t>2006</w:t>
      </w:r>
      <w:r>
        <w:rPr>
          <w:rFonts w:ascii="Arial" w:hAnsi="Arial" w:cs="Arial" w:eastAsia="Arial" w:hint="default"/>
          <w:spacing w:val="8"/>
        </w:rPr>
        <w:t> </w:t>
      </w:r>
      <w:r>
        <w:rPr/>
        <w:t>年年度股东大会决议通过，本公司以资本公积转增股</w:t>
      </w:r>
      <w:r>
        <w:rPr>
          <w:spacing w:val="-1"/>
        </w:rPr>
        <w:t> </w:t>
      </w:r>
      <w:r>
        <w:rPr/>
        <w:t>本人民币</w:t>
      </w:r>
      <w:r>
        <w:rPr>
          <w:rFonts w:ascii="Arial" w:hAnsi="Arial" w:cs="Arial" w:eastAsia="Arial" w:hint="default"/>
        </w:rPr>
        <w:t>720,752,000</w:t>
      </w:r>
      <w:r>
        <w:rPr/>
        <w:t>元。经此次转增后，股本总额变更为人民币</w:t>
      </w:r>
      <w:r>
        <w:rPr>
          <w:rFonts w:ascii="Arial" w:hAnsi="Arial" w:cs="Arial" w:eastAsia="Arial" w:hint="default"/>
        </w:rPr>
        <w:t>1,441,504,000</w:t>
      </w:r>
      <w:r>
        <w:rPr/>
        <w:t>元。</w:t>
      </w:r>
    </w:p>
    <w:p>
      <w:pPr>
        <w:spacing w:line="240" w:lineRule="auto" w:before="1"/>
        <w:rPr>
          <w:rFonts w:ascii="宋体" w:hAnsi="宋体" w:cs="宋体" w:eastAsia="宋体" w:hint="default"/>
          <w:sz w:val="21"/>
          <w:szCs w:val="21"/>
        </w:rPr>
      </w:pPr>
    </w:p>
    <w:p>
      <w:pPr>
        <w:pStyle w:val="BodyText"/>
        <w:spacing w:line="312" w:lineRule="exact"/>
        <w:ind w:left="812" w:right="159"/>
        <w:jc w:val="left"/>
      </w:pPr>
      <w:r>
        <w:rPr/>
        <w:t>经中国证券监督管理委员会证监许可</w:t>
      </w:r>
      <w:r>
        <w:rPr>
          <w:rFonts w:ascii="Arial" w:hAnsi="Arial" w:cs="Arial" w:eastAsia="Arial" w:hint="default"/>
        </w:rPr>
        <w:t>[2008]647</w:t>
      </w:r>
      <w:r>
        <w:rPr>
          <w:rFonts w:ascii="Arial" w:hAnsi="Arial" w:cs="Arial" w:eastAsia="Arial" w:hint="default"/>
          <w:spacing w:val="13"/>
        </w:rPr>
        <w:t> </w:t>
      </w:r>
      <w:r>
        <w:rPr/>
        <w:t>号文</w:t>
      </w:r>
      <w:r>
        <w:rPr>
          <w:rFonts w:ascii="Arial" w:hAnsi="Arial" w:cs="Arial" w:eastAsia="Arial" w:hint="default"/>
        </w:rPr>
        <w:t>“</w:t>
      </w:r>
      <w:r>
        <w:rPr/>
        <w:t>关于核准苏宁电器股份有限公司</w:t>
      </w:r>
      <w:r>
        <w:rPr>
          <w:spacing w:val="-115"/>
        </w:rPr>
        <w:t> </w:t>
      </w:r>
      <w:r>
        <w:rPr/>
        <w:t>非公开发行股票的批复</w:t>
      </w:r>
      <w:r>
        <w:rPr>
          <w:rFonts w:ascii="Arial" w:hAnsi="Arial" w:cs="Arial" w:eastAsia="Arial" w:hint="default"/>
        </w:rPr>
        <w:t>”</w:t>
      </w:r>
      <w:r>
        <w:rPr/>
        <w:t>批准，本公司于 </w:t>
      </w:r>
      <w:r>
        <w:rPr>
          <w:rFonts w:ascii="Arial" w:hAnsi="Arial" w:cs="Arial" w:eastAsia="Arial" w:hint="default"/>
        </w:rPr>
        <w:t>2008 </w:t>
      </w:r>
      <w:r>
        <w:rPr/>
        <w:t>年 </w:t>
      </w:r>
      <w:r>
        <w:rPr>
          <w:rFonts w:ascii="Arial" w:hAnsi="Arial" w:cs="Arial" w:eastAsia="Arial" w:hint="default"/>
        </w:rPr>
        <w:t>5 </w:t>
      </w:r>
      <w:r>
        <w:rPr/>
        <w:t>月 </w:t>
      </w:r>
      <w:r>
        <w:rPr>
          <w:rFonts w:ascii="Arial" w:hAnsi="Arial" w:cs="Arial" w:eastAsia="Arial" w:hint="default"/>
        </w:rPr>
        <w:t>16</w:t>
      </w:r>
      <w:r>
        <w:rPr>
          <w:rFonts w:ascii="Arial" w:hAnsi="Arial" w:cs="Arial" w:eastAsia="Arial" w:hint="default"/>
          <w:spacing w:val="-21"/>
        </w:rPr>
        <w:t> </w:t>
      </w:r>
      <w:r>
        <w:rPr/>
        <w:t>日向特定投资者非公开发行</w:t>
      </w:r>
    </w:p>
    <w:p>
      <w:pPr>
        <w:pStyle w:val="BodyText"/>
        <w:spacing w:line="291" w:lineRule="exact"/>
        <w:ind w:left="812" w:right="0"/>
        <w:jc w:val="left"/>
      </w:pPr>
      <w:r>
        <w:rPr>
          <w:rFonts w:ascii="Arial" w:hAnsi="Arial" w:cs="Arial" w:eastAsia="Arial" w:hint="default"/>
        </w:rPr>
        <w:t>5,400</w:t>
      </w:r>
      <w:r>
        <w:rPr>
          <w:rFonts w:ascii="Arial" w:hAnsi="Arial" w:cs="Arial" w:eastAsia="Arial" w:hint="default"/>
          <w:spacing w:val="-12"/>
        </w:rPr>
        <w:t> </w:t>
      </w:r>
      <w:r>
        <w:rPr/>
        <w:t>万</w:t>
      </w:r>
      <w:r>
        <w:rPr>
          <w:spacing w:val="-65"/>
        </w:rPr>
        <w:t> </w:t>
      </w:r>
      <w:r>
        <w:rPr>
          <w:rFonts w:ascii="Arial" w:hAnsi="Arial" w:cs="Arial" w:eastAsia="Arial" w:hint="default"/>
        </w:rPr>
        <w:t>A</w:t>
      </w:r>
      <w:r>
        <w:rPr>
          <w:rFonts w:ascii="Arial" w:hAnsi="Arial" w:cs="Arial" w:eastAsia="Arial" w:hint="default"/>
          <w:spacing w:val="-11"/>
        </w:rPr>
        <w:t> </w:t>
      </w:r>
      <w:r>
        <w:rPr/>
        <w:t>股，每股面值人民币</w:t>
      </w:r>
      <w:r>
        <w:rPr>
          <w:spacing w:val="-65"/>
        </w:rPr>
        <w:t> </w:t>
      </w:r>
      <w:r>
        <w:rPr>
          <w:rFonts w:ascii="Arial" w:hAnsi="Arial" w:cs="Arial" w:eastAsia="Arial" w:hint="default"/>
        </w:rPr>
        <w:t>1</w:t>
      </w:r>
      <w:r>
        <w:rPr>
          <w:rFonts w:ascii="Arial" w:hAnsi="Arial" w:cs="Arial" w:eastAsia="Arial" w:hint="default"/>
          <w:spacing w:val="-12"/>
        </w:rPr>
        <w:t> </w:t>
      </w:r>
      <w:r>
        <w:rPr/>
        <w:t>元，每股发行价为人民币</w:t>
      </w:r>
      <w:r>
        <w:rPr>
          <w:spacing w:val="-65"/>
        </w:rPr>
        <w:t> </w:t>
      </w:r>
      <w:r>
        <w:rPr>
          <w:rFonts w:ascii="Arial" w:hAnsi="Arial" w:cs="Arial" w:eastAsia="Arial" w:hint="default"/>
        </w:rPr>
        <w:t>45</w:t>
      </w:r>
      <w:r>
        <w:rPr>
          <w:rFonts w:ascii="Arial" w:hAnsi="Arial" w:cs="Arial" w:eastAsia="Arial" w:hint="default"/>
          <w:spacing w:val="-12"/>
        </w:rPr>
        <w:t> </w:t>
      </w:r>
      <w:r>
        <w:rPr/>
        <w:t>元，股本总额变更为人</w:t>
      </w:r>
    </w:p>
    <w:p>
      <w:pPr>
        <w:pStyle w:val="BodyText"/>
        <w:spacing w:line="322" w:lineRule="exact"/>
        <w:ind w:left="812" w:right="159"/>
        <w:jc w:val="left"/>
      </w:pPr>
      <w:r>
        <w:rPr/>
        <w:t>民币</w:t>
      </w:r>
      <w:r>
        <w:rPr>
          <w:spacing w:val="-66"/>
        </w:rPr>
        <w:t> </w:t>
      </w:r>
      <w:r>
        <w:rPr>
          <w:rFonts w:ascii="Arial" w:hAnsi="Arial" w:cs="Arial" w:eastAsia="Arial" w:hint="default"/>
        </w:rPr>
        <w:t>1,495,504,000</w:t>
      </w:r>
      <w:r>
        <w:rPr>
          <w:rFonts w:ascii="Arial" w:hAnsi="Arial" w:cs="Arial" w:eastAsia="Arial" w:hint="default"/>
          <w:spacing w:val="-13"/>
        </w:rPr>
        <w:t> </w:t>
      </w:r>
      <w:r>
        <w:rPr/>
        <w:t>元。</w:t>
      </w:r>
    </w:p>
    <w:p>
      <w:pPr>
        <w:spacing w:line="240" w:lineRule="auto" w:before="8"/>
        <w:rPr>
          <w:rFonts w:ascii="宋体" w:hAnsi="宋体" w:cs="宋体" w:eastAsia="宋体" w:hint="default"/>
          <w:sz w:val="19"/>
          <w:szCs w:val="19"/>
        </w:rPr>
      </w:pPr>
    </w:p>
    <w:p>
      <w:pPr>
        <w:pStyle w:val="BodyText"/>
        <w:spacing w:line="322" w:lineRule="exact"/>
        <w:ind w:left="812" w:right="0"/>
        <w:jc w:val="left"/>
      </w:pPr>
      <w:r>
        <w:rPr/>
        <w:t>经于</w:t>
      </w:r>
      <w:r>
        <w:rPr>
          <w:spacing w:val="-51"/>
        </w:rPr>
        <w:t> </w:t>
      </w:r>
      <w:r>
        <w:rPr>
          <w:rFonts w:ascii="Arial" w:hAnsi="Arial" w:cs="Arial" w:eastAsia="Arial" w:hint="default"/>
        </w:rPr>
        <w:t>2008</w:t>
      </w:r>
      <w:r>
        <w:rPr>
          <w:rFonts w:ascii="Arial" w:hAnsi="Arial" w:cs="Arial" w:eastAsia="Arial" w:hint="default"/>
          <w:spacing w:val="4"/>
        </w:rPr>
        <w:t> </w:t>
      </w:r>
      <w:r>
        <w:rPr/>
        <w:t>年</w:t>
      </w:r>
      <w:r>
        <w:rPr>
          <w:spacing w:val="-51"/>
        </w:rPr>
        <w:t> </w:t>
      </w:r>
      <w:r>
        <w:rPr>
          <w:rFonts w:ascii="Arial" w:hAnsi="Arial" w:cs="Arial" w:eastAsia="Arial" w:hint="default"/>
        </w:rPr>
        <w:t>9</w:t>
      </w:r>
      <w:r>
        <w:rPr>
          <w:rFonts w:ascii="Arial" w:hAnsi="Arial" w:cs="Arial" w:eastAsia="Arial" w:hint="default"/>
          <w:spacing w:val="4"/>
        </w:rPr>
        <w:t> </w:t>
      </w:r>
      <w:r>
        <w:rPr/>
        <w:t>月</w:t>
      </w:r>
      <w:r>
        <w:rPr>
          <w:spacing w:val="-51"/>
        </w:rPr>
        <w:t> </w:t>
      </w:r>
      <w:r>
        <w:rPr>
          <w:rFonts w:ascii="Arial" w:hAnsi="Arial" w:cs="Arial" w:eastAsia="Arial" w:hint="default"/>
        </w:rPr>
        <w:t>16</w:t>
      </w:r>
      <w:r>
        <w:rPr>
          <w:rFonts w:ascii="Arial" w:hAnsi="Arial" w:cs="Arial" w:eastAsia="Arial" w:hint="default"/>
          <w:spacing w:val="4"/>
        </w:rPr>
        <w:t> </w:t>
      </w:r>
      <w:r>
        <w:rPr/>
        <w:t>日召开的</w:t>
      </w:r>
      <w:r>
        <w:rPr>
          <w:spacing w:val="-51"/>
        </w:rPr>
        <w:t> </w:t>
      </w:r>
      <w:r>
        <w:rPr>
          <w:rFonts w:ascii="Arial" w:hAnsi="Arial" w:cs="Arial" w:eastAsia="Arial" w:hint="default"/>
        </w:rPr>
        <w:t>2008</w:t>
      </w:r>
      <w:r>
        <w:rPr>
          <w:rFonts w:ascii="Arial" w:hAnsi="Arial" w:cs="Arial" w:eastAsia="Arial" w:hint="default"/>
          <w:spacing w:val="3"/>
        </w:rPr>
        <w:t> </w:t>
      </w:r>
      <w:r>
        <w:rPr/>
        <w:t>年第一次临时股东大会决议通过，本公司以资本</w:t>
      </w:r>
    </w:p>
    <w:p>
      <w:pPr>
        <w:pStyle w:val="BodyText"/>
        <w:spacing w:line="312" w:lineRule="exact"/>
        <w:ind w:left="812" w:right="0"/>
        <w:jc w:val="left"/>
      </w:pPr>
      <w:r>
        <w:rPr>
          <w:spacing w:val="16"/>
        </w:rPr>
        <w:t>公积转增股本人民币 </w:t>
      </w:r>
      <w:r>
        <w:rPr>
          <w:rFonts w:ascii="Arial" w:hAnsi="Arial" w:cs="Arial" w:eastAsia="Arial" w:hint="default"/>
        </w:rPr>
        <w:t>1,495,504,000</w:t>
      </w:r>
      <w:r>
        <w:rPr>
          <w:rFonts w:ascii="Arial" w:hAnsi="Arial" w:cs="Arial" w:eastAsia="Arial" w:hint="default"/>
          <w:spacing w:val="60"/>
        </w:rPr>
        <w:t> </w:t>
      </w:r>
      <w:r>
        <w:rPr>
          <w:spacing w:val="18"/>
        </w:rPr>
        <w:t>元。经此次转增后，股本总额变更为人民币</w:t>
      </w:r>
      <w:r>
        <w:rPr/>
      </w:r>
    </w:p>
    <w:p>
      <w:pPr>
        <w:pStyle w:val="BodyText"/>
        <w:spacing w:line="322" w:lineRule="exact"/>
        <w:ind w:left="812" w:right="159"/>
        <w:jc w:val="left"/>
      </w:pPr>
      <w:r>
        <w:rPr>
          <w:rFonts w:ascii="Arial" w:hAnsi="Arial" w:cs="Arial" w:eastAsia="Arial" w:hint="default"/>
        </w:rPr>
        <w:t>2,991,008,000</w:t>
      </w:r>
      <w:r>
        <w:rPr>
          <w:rFonts w:ascii="Arial" w:hAnsi="Arial" w:cs="Arial" w:eastAsia="Arial" w:hint="default"/>
          <w:spacing w:val="-20"/>
        </w:rPr>
        <w:t> </w:t>
      </w:r>
      <w:r>
        <w:rPr/>
        <w:t>元。</w:t>
      </w:r>
    </w:p>
    <w:p>
      <w:pPr>
        <w:spacing w:line="240" w:lineRule="auto" w:before="8"/>
        <w:rPr>
          <w:rFonts w:ascii="宋体" w:hAnsi="宋体" w:cs="宋体" w:eastAsia="宋体" w:hint="default"/>
          <w:sz w:val="19"/>
          <w:szCs w:val="19"/>
        </w:rPr>
      </w:pPr>
    </w:p>
    <w:p>
      <w:pPr>
        <w:pStyle w:val="BodyText"/>
        <w:spacing w:line="322" w:lineRule="exact"/>
        <w:ind w:left="812" w:right="0"/>
        <w:jc w:val="left"/>
      </w:pPr>
      <w:r>
        <w:rPr/>
        <w:t>经于</w:t>
      </w:r>
      <w:r>
        <w:rPr>
          <w:spacing w:val="-63"/>
        </w:rPr>
        <w:t> </w:t>
      </w:r>
      <w:r>
        <w:rPr>
          <w:rFonts w:ascii="Arial" w:hAnsi="Arial" w:cs="Arial" w:eastAsia="Arial" w:hint="default"/>
        </w:rPr>
        <w:t>2005</w:t>
      </w:r>
      <w:r>
        <w:rPr>
          <w:rFonts w:ascii="Arial" w:hAnsi="Arial" w:cs="Arial" w:eastAsia="Arial" w:hint="default"/>
          <w:spacing w:val="-9"/>
        </w:rPr>
        <w:t> </w:t>
      </w:r>
      <w:r>
        <w:rPr/>
        <w:t>年</w:t>
      </w:r>
      <w:r>
        <w:rPr>
          <w:spacing w:val="-63"/>
        </w:rPr>
        <w:t> </w:t>
      </w:r>
      <w:r>
        <w:rPr>
          <w:rFonts w:ascii="Arial" w:hAnsi="Arial" w:cs="Arial" w:eastAsia="Arial" w:hint="default"/>
        </w:rPr>
        <w:t>8</w:t>
      </w:r>
      <w:r>
        <w:rPr>
          <w:rFonts w:ascii="Arial" w:hAnsi="Arial" w:cs="Arial" w:eastAsia="Arial" w:hint="default"/>
          <w:spacing w:val="-10"/>
        </w:rPr>
        <w:t> </w:t>
      </w:r>
      <w:r>
        <w:rPr/>
        <w:t>月</w:t>
      </w:r>
      <w:r>
        <w:rPr>
          <w:spacing w:val="-63"/>
        </w:rPr>
        <w:t> </w:t>
      </w:r>
      <w:r>
        <w:rPr>
          <w:rFonts w:ascii="Arial" w:hAnsi="Arial" w:cs="Arial" w:eastAsia="Arial" w:hint="default"/>
        </w:rPr>
        <w:t>4</w:t>
      </w:r>
      <w:r>
        <w:rPr>
          <w:rFonts w:ascii="Arial" w:hAnsi="Arial" w:cs="Arial" w:eastAsia="Arial" w:hint="default"/>
          <w:spacing w:val="-10"/>
        </w:rPr>
        <w:t> </w:t>
      </w:r>
      <w:r>
        <w:rPr/>
        <w:t>日召开的</w:t>
      </w:r>
      <w:r>
        <w:rPr>
          <w:spacing w:val="-63"/>
        </w:rPr>
        <w:t> </w:t>
      </w:r>
      <w:r>
        <w:rPr>
          <w:rFonts w:ascii="Arial" w:hAnsi="Arial" w:cs="Arial" w:eastAsia="Arial" w:hint="default"/>
        </w:rPr>
        <w:t>2005</w:t>
      </w:r>
      <w:r>
        <w:rPr>
          <w:rFonts w:ascii="Arial" w:hAnsi="Arial" w:cs="Arial" w:eastAsia="Arial" w:hint="default"/>
          <w:spacing w:val="-10"/>
        </w:rPr>
        <w:t> </w:t>
      </w:r>
      <w:r>
        <w:rPr/>
        <w:t>年第一次临时股东大会审议通过，本公司全体非流</w:t>
      </w:r>
    </w:p>
    <w:p>
      <w:pPr>
        <w:pStyle w:val="BodyText"/>
        <w:spacing w:line="312" w:lineRule="exact"/>
        <w:ind w:left="812" w:right="0"/>
        <w:jc w:val="left"/>
      </w:pPr>
      <w:r>
        <w:rPr/>
        <w:t>通股股东根据《股权分置改革方案》向股份变更登记日</w:t>
      </w:r>
      <w:r>
        <w:rPr>
          <w:rFonts w:ascii="Arial" w:hAnsi="Arial" w:cs="Arial" w:eastAsia="Arial" w:hint="default"/>
        </w:rPr>
        <w:t>(2005</w:t>
      </w:r>
      <w:r>
        <w:rPr>
          <w:rFonts w:ascii="Arial" w:hAnsi="Arial" w:cs="Arial" w:eastAsia="Arial" w:hint="default"/>
          <w:spacing w:val="3"/>
        </w:rPr>
        <w:t> </w:t>
      </w:r>
      <w:r>
        <w:rPr/>
        <w:t>年</w:t>
      </w:r>
      <w:r>
        <w:rPr>
          <w:spacing w:val="-50"/>
        </w:rPr>
        <w:t> </w:t>
      </w:r>
      <w:r>
        <w:rPr>
          <w:rFonts w:ascii="Arial" w:hAnsi="Arial" w:cs="Arial" w:eastAsia="Arial" w:hint="default"/>
        </w:rPr>
        <w:t>8</w:t>
      </w:r>
      <w:r>
        <w:rPr>
          <w:rFonts w:ascii="Arial" w:hAnsi="Arial" w:cs="Arial" w:eastAsia="Arial" w:hint="default"/>
          <w:spacing w:val="3"/>
        </w:rPr>
        <w:t> </w:t>
      </w:r>
      <w:r>
        <w:rPr/>
        <w:t>月</w:t>
      </w:r>
      <w:r>
        <w:rPr>
          <w:spacing w:val="-50"/>
        </w:rPr>
        <w:t> </w:t>
      </w:r>
      <w:r>
        <w:rPr>
          <w:rFonts w:ascii="Arial" w:hAnsi="Arial" w:cs="Arial" w:eastAsia="Arial" w:hint="default"/>
        </w:rPr>
        <w:t>9</w:t>
      </w:r>
      <w:r>
        <w:rPr>
          <w:rFonts w:ascii="Arial" w:hAnsi="Arial" w:cs="Arial" w:eastAsia="Arial" w:hint="default"/>
          <w:spacing w:val="3"/>
        </w:rPr>
        <w:t> </w:t>
      </w:r>
      <w:r>
        <w:rPr/>
        <w:t>日</w:t>
      </w:r>
      <w:r>
        <w:rPr>
          <w:rFonts w:ascii="Arial" w:hAnsi="Arial" w:cs="Arial" w:eastAsia="Arial" w:hint="default"/>
        </w:rPr>
        <w:t>)</w:t>
      </w:r>
      <w:r>
        <w:rPr/>
        <w:t>登记在册的</w:t>
      </w:r>
    </w:p>
    <w:p>
      <w:pPr>
        <w:pStyle w:val="BodyText"/>
        <w:spacing w:line="312" w:lineRule="exact"/>
        <w:ind w:left="812" w:right="0"/>
        <w:jc w:val="left"/>
        <w:rPr>
          <w:rFonts w:ascii="Arial" w:hAnsi="Arial" w:cs="Arial" w:eastAsia="Arial" w:hint="default"/>
        </w:rPr>
      </w:pPr>
      <w:r>
        <w:rPr/>
        <w:t>流通股股东每</w:t>
      </w:r>
      <w:r>
        <w:rPr>
          <w:spacing w:val="-62"/>
        </w:rPr>
        <w:t> </w:t>
      </w:r>
      <w:r>
        <w:rPr>
          <w:rFonts w:ascii="Arial" w:hAnsi="Arial" w:cs="Arial" w:eastAsia="Arial" w:hint="default"/>
        </w:rPr>
        <w:t>10</w:t>
      </w:r>
      <w:r>
        <w:rPr>
          <w:rFonts w:ascii="Arial" w:hAnsi="Arial" w:cs="Arial" w:eastAsia="Arial" w:hint="default"/>
          <w:spacing w:val="-9"/>
        </w:rPr>
        <w:t> </w:t>
      </w:r>
      <w:r>
        <w:rPr/>
        <w:t>股支付</w:t>
      </w:r>
      <w:r>
        <w:rPr>
          <w:spacing w:val="-62"/>
        </w:rPr>
        <w:t> </w:t>
      </w:r>
      <w:r>
        <w:rPr>
          <w:rFonts w:ascii="Arial" w:hAnsi="Arial" w:cs="Arial" w:eastAsia="Arial" w:hint="default"/>
        </w:rPr>
        <w:t>2.5</w:t>
      </w:r>
      <w:r>
        <w:rPr>
          <w:rFonts w:ascii="Arial" w:hAnsi="Arial" w:cs="Arial" w:eastAsia="Arial" w:hint="default"/>
          <w:spacing w:val="-9"/>
        </w:rPr>
        <w:t> </w:t>
      </w:r>
      <w:r>
        <w:rPr/>
        <w:t>股对价股份，共</w:t>
      </w:r>
      <w:r>
        <w:rPr>
          <w:spacing w:val="-62"/>
        </w:rPr>
        <w:t> </w:t>
      </w:r>
      <w:r>
        <w:rPr>
          <w:rFonts w:ascii="Arial" w:hAnsi="Arial" w:cs="Arial" w:eastAsia="Arial" w:hint="default"/>
        </w:rPr>
        <w:t>12,500,000</w:t>
      </w:r>
      <w:r>
        <w:rPr>
          <w:rFonts w:ascii="Arial" w:hAnsi="Arial" w:cs="Arial" w:eastAsia="Arial" w:hint="default"/>
          <w:spacing w:val="-9"/>
        </w:rPr>
        <w:t> </w:t>
      </w:r>
      <w:r>
        <w:rPr/>
        <w:t>股对价股份。由此，自</w:t>
      </w:r>
      <w:r>
        <w:rPr>
          <w:spacing w:val="-62"/>
        </w:rPr>
        <w:t> </w:t>
      </w:r>
      <w:r>
        <w:rPr>
          <w:rFonts w:ascii="Arial" w:hAnsi="Arial" w:cs="Arial" w:eastAsia="Arial" w:hint="default"/>
        </w:rPr>
        <w:t>2005</w:t>
      </w:r>
    </w:p>
    <w:p>
      <w:pPr>
        <w:pStyle w:val="BodyText"/>
        <w:spacing w:line="312" w:lineRule="exact"/>
        <w:ind w:left="812" w:right="0"/>
        <w:jc w:val="left"/>
      </w:pPr>
      <w:r>
        <w:rPr/>
        <w:t>年</w:t>
      </w:r>
      <w:r>
        <w:rPr>
          <w:spacing w:val="-71"/>
        </w:rPr>
        <w:t> </w:t>
      </w:r>
      <w:r>
        <w:rPr>
          <w:rFonts w:ascii="Arial" w:hAnsi="Arial" w:cs="Arial" w:eastAsia="Arial" w:hint="default"/>
        </w:rPr>
        <w:t>8</w:t>
      </w:r>
      <w:r>
        <w:rPr>
          <w:rFonts w:ascii="Arial" w:hAnsi="Arial" w:cs="Arial" w:eastAsia="Arial" w:hint="default"/>
          <w:spacing w:val="-18"/>
        </w:rPr>
        <w:t> </w:t>
      </w:r>
      <w:r>
        <w:rPr/>
        <w:t>月</w:t>
      </w:r>
      <w:r>
        <w:rPr>
          <w:spacing w:val="-71"/>
        </w:rPr>
        <w:t> </w:t>
      </w:r>
      <w:r>
        <w:rPr>
          <w:rFonts w:ascii="Arial" w:hAnsi="Arial" w:cs="Arial" w:eastAsia="Arial" w:hint="default"/>
        </w:rPr>
        <w:t>10</w:t>
      </w:r>
      <w:r>
        <w:rPr>
          <w:rFonts w:ascii="Arial" w:hAnsi="Arial" w:cs="Arial" w:eastAsia="Arial" w:hint="default"/>
          <w:spacing w:val="-17"/>
        </w:rPr>
        <w:t> </w:t>
      </w:r>
      <w:r>
        <w:rPr/>
        <w:t>日起，本公司原非流通股股东持有的非流通股股份的性质，变更为有限售条</w:t>
      </w:r>
    </w:p>
    <w:p>
      <w:pPr>
        <w:pStyle w:val="BodyText"/>
        <w:spacing w:line="322" w:lineRule="exact"/>
        <w:ind w:left="812" w:right="0"/>
        <w:jc w:val="left"/>
      </w:pPr>
      <w:r>
        <w:rPr/>
        <w:t>件的流通股。截止</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t>日，有限售条件的流通股的情况详见附注七</w:t>
      </w:r>
      <w:r>
        <w:rPr>
          <w:rFonts w:ascii="Arial" w:hAnsi="Arial" w:cs="Arial" w:eastAsia="Arial" w:hint="default"/>
        </w:rPr>
        <w:t>(24)</w:t>
      </w:r>
      <w:r>
        <w:rPr/>
        <w:t>。</w:t>
      </w:r>
    </w:p>
    <w:p>
      <w:pPr>
        <w:spacing w:line="240" w:lineRule="auto" w:before="13"/>
        <w:rPr>
          <w:rFonts w:ascii="宋体" w:hAnsi="宋体" w:cs="宋体" w:eastAsia="宋体" w:hint="default"/>
          <w:sz w:val="21"/>
          <w:szCs w:val="21"/>
        </w:rPr>
      </w:pPr>
    </w:p>
    <w:p>
      <w:pPr>
        <w:pStyle w:val="BodyText"/>
        <w:spacing w:line="312" w:lineRule="exact"/>
        <w:ind w:left="811" w:right="159"/>
        <w:jc w:val="left"/>
      </w:pPr>
      <w:r>
        <w:rPr/>
        <w:t>本公司及子公司</w:t>
      </w:r>
      <w:r>
        <w:rPr>
          <w:rFonts w:ascii="Arial" w:hAnsi="Arial" w:cs="Arial" w:eastAsia="Arial" w:hint="default"/>
        </w:rPr>
        <w:t>(</w:t>
      </w:r>
      <w:r>
        <w:rPr/>
        <w:t>以下合称</w:t>
      </w:r>
      <w:r>
        <w:rPr>
          <w:rFonts w:ascii="Arial" w:hAnsi="Arial" w:cs="Arial" w:eastAsia="Arial" w:hint="default"/>
        </w:rPr>
        <w:t>“</w:t>
      </w:r>
      <w:r>
        <w:rPr/>
        <w:t>本集团</w:t>
      </w:r>
      <w:r>
        <w:rPr>
          <w:rFonts w:ascii="Arial" w:hAnsi="Arial" w:cs="Arial" w:eastAsia="Arial" w:hint="default"/>
        </w:rPr>
        <w:t>”)</w:t>
      </w:r>
      <w:r>
        <w:rPr/>
        <w:t>目前主要的经营范围为家用电器、电子产品、办公</w:t>
      </w:r>
      <w:r>
        <w:rPr>
          <w:spacing w:val="-110"/>
        </w:rPr>
        <w:t> </w:t>
      </w:r>
      <w:r>
        <w:rPr/>
        <w:t>设备、通讯设备</w:t>
      </w:r>
      <w:r>
        <w:rPr>
          <w:rFonts w:ascii="Arial" w:hAnsi="Arial" w:cs="Arial" w:eastAsia="Arial" w:hint="default"/>
        </w:rPr>
        <w:t>(</w:t>
      </w:r>
      <w:r>
        <w:rPr/>
        <w:t>卫星地面接收设备除外</w:t>
      </w:r>
      <w:r>
        <w:rPr>
          <w:rFonts w:ascii="Arial" w:hAnsi="Arial" w:cs="Arial" w:eastAsia="Arial" w:hint="default"/>
        </w:rPr>
        <w:t>)</w:t>
      </w:r>
      <w:r>
        <w:rPr/>
        <w:t>及配件的连锁销售和服务。</w:t>
      </w:r>
    </w:p>
    <w:p>
      <w:pPr>
        <w:spacing w:line="240" w:lineRule="auto" w:before="10"/>
        <w:rPr>
          <w:rFonts w:ascii="宋体" w:hAnsi="宋体" w:cs="宋体" w:eastAsia="宋体" w:hint="default"/>
          <w:sz w:val="18"/>
          <w:szCs w:val="18"/>
        </w:rPr>
      </w:pPr>
    </w:p>
    <w:p>
      <w:pPr>
        <w:tabs>
          <w:tab w:pos="811" w:val="left" w:leader="none"/>
        </w:tabs>
        <w:spacing w:line="400" w:lineRule="auto" w:before="0"/>
        <w:ind w:left="102" w:right="2835" w:firstLine="709"/>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宋体" w:hAnsi="宋体" w:cs="宋体" w:eastAsia="宋体" w:hint="default"/>
          <w:spacing w:val="-61"/>
          <w:sz w:val="24"/>
          <w:szCs w:val="24"/>
        </w:rPr>
        <w:t> </w:t>
      </w:r>
      <w:r>
        <w:rPr>
          <w:rFonts w:ascii="Arial" w:hAnsi="Arial" w:cs="Arial" w:eastAsia="Arial" w:hint="default"/>
          <w:sz w:val="24"/>
          <w:szCs w:val="24"/>
        </w:rPr>
        <w:t>2009</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27</w:t>
      </w:r>
      <w:r>
        <w:rPr>
          <w:rFonts w:ascii="Arial" w:hAnsi="Arial" w:cs="Arial" w:eastAsia="Arial" w:hint="default"/>
          <w:spacing w:val="-8"/>
          <w:sz w:val="24"/>
          <w:szCs w:val="24"/>
        </w:rPr>
        <w:t> </w:t>
      </w:r>
      <w:r>
        <w:rPr>
          <w:rFonts w:ascii="宋体" w:hAnsi="宋体" w:cs="宋体" w:eastAsia="宋体" w:hint="default"/>
          <w:sz w:val="24"/>
          <w:szCs w:val="24"/>
        </w:rPr>
        <w:t>日批准报出。 </w:t>
      </w:r>
      <w:r>
        <w:rPr>
          <w:rFonts w:ascii="宋体" w:hAnsi="宋体" w:cs="宋体" w:eastAsia="宋体" w:hint="default"/>
          <w:b/>
          <w:bCs/>
          <w:w w:val="95"/>
          <w:sz w:val="24"/>
          <w:szCs w:val="24"/>
        </w:rPr>
        <w:t>二</w:t>
        <w:tab/>
      </w:r>
      <w:r>
        <w:rPr>
          <w:rFonts w:ascii="宋体" w:hAnsi="宋体" w:cs="宋体" w:eastAsia="宋体" w:hint="default"/>
          <w:b/>
          <w:bCs/>
          <w:sz w:val="24"/>
          <w:szCs w:val="24"/>
        </w:rPr>
        <w:t>财务报表的编制基础</w:t>
      </w:r>
      <w:r>
        <w:rPr>
          <w:rFonts w:ascii="宋体" w:hAnsi="宋体" w:cs="宋体" w:eastAsia="宋体" w:hint="default"/>
          <w:sz w:val="24"/>
          <w:szCs w:val="24"/>
        </w:rPr>
      </w:r>
    </w:p>
    <w:p>
      <w:pPr>
        <w:pStyle w:val="BodyText"/>
        <w:spacing w:line="322" w:lineRule="exact" w:before="113"/>
        <w:ind w:left="811" w:right="0"/>
        <w:jc w:val="left"/>
      </w:pPr>
      <w:r>
        <w:rPr/>
        <w:t>本财务报表按照财政部于 </w:t>
      </w:r>
      <w:r>
        <w:rPr>
          <w:rFonts w:ascii="Arial" w:hAnsi="Arial" w:cs="Arial" w:eastAsia="Arial" w:hint="default"/>
        </w:rPr>
        <w:t>2006 </w:t>
      </w:r>
      <w:r>
        <w:rPr/>
        <w:t>年 </w:t>
      </w:r>
      <w:r>
        <w:rPr>
          <w:rFonts w:ascii="Arial" w:hAnsi="Arial" w:cs="Arial" w:eastAsia="Arial" w:hint="default"/>
        </w:rPr>
        <w:t>2 </w:t>
      </w:r>
      <w:r>
        <w:rPr/>
        <w:t>月 </w:t>
      </w:r>
      <w:r>
        <w:rPr>
          <w:rFonts w:ascii="Arial" w:hAnsi="Arial" w:cs="Arial" w:eastAsia="Arial" w:hint="default"/>
        </w:rPr>
        <w:t>15 </w:t>
      </w:r>
      <w:r>
        <w:rPr/>
        <w:t>日颁布的《企业会计准则 </w:t>
      </w:r>
      <w:r>
        <w:rPr>
          <w:rFonts w:ascii="Arial" w:hAnsi="Arial" w:cs="Arial" w:eastAsia="Arial" w:hint="default"/>
        </w:rPr>
        <w:t>-</w:t>
      </w:r>
      <w:r>
        <w:rPr>
          <w:rFonts w:ascii="Arial" w:hAnsi="Arial" w:cs="Arial" w:eastAsia="Arial" w:hint="default"/>
          <w:spacing w:val="33"/>
        </w:rPr>
        <w:t> </w:t>
      </w:r>
      <w:r>
        <w:rPr/>
        <w:t>基本准则》和</w:t>
      </w:r>
    </w:p>
    <w:p>
      <w:pPr>
        <w:pStyle w:val="BodyText"/>
        <w:spacing w:line="312" w:lineRule="exact" w:before="21"/>
        <w:ind w:left="812" w:right="154"/>
        <w:jc w:val="left"/>
      </w:pPr>
      <w:r>
        <w:rPr>
          <w:rFonts w:ascii="Arial" w:hAnsi="Arial" w:cs="Arial" w:eastAsia="Arial" w:hint="default"/>
        </w:rPr>
        <w:t>38</w:t>
      </w:r>
      <w:r>
        <w:rPr>
          <w:rFonts w:ascii="Arial" w:hAnsi="Arial" w:cs="Arial" w:eastAsia="Arial" w:hint="default"/>
          <w:spacing w:val="24"/>
        </w:rPr>
        <w:t> </w:t>
      </w:r>
      <w:r>
        <w:rPr/>
        <w:t>项具体会计准则、其后颁布的企业会计准则应用指南、企业会计准则解释以及其他 相关规定</w:t>
      </w:r>
      <w:r>
        <w:rPr>
          <w:rFonts w:ascii="Arial" w:hAnsi="Arial" w:cs="Arial" w:eastAsia="Arial" w:hint="default"/>
        </w:rPr>
        <w:t>(</w:t>
      </w:r>
      <w:r>
        <w:rPr/>
        <w:t>以下合称</w:t>
      </w:r>
      <w:r>
        <w:rPr>
          <w:rFonts w:ascii="Arial" w:hAnsi="Arial" w:cs="Arial" w:eastAsia="Arial" w:hint="default"/>
        </w:rPr>
        <w:t>“</w:t>
      </w:r>
      <w:r>
        <w:rPr/>
        <w:t>企业会计准则</w:t>
      </w:r>
      <w:r>
        <w:rPr>
          <w:rFonts w:ascii="Arial" w:hAnsi="Arial" w:cs="Arial" w:eastAsia="Arial" w:hint="default"/>
        </w:rPr>
        <w:t>”)</w:t>
      </w:r>
      <w:r>
        <w:rPr>
          <w:rFonts w:ascii="Arial" w:hAnsi="Arial" w:cs="Arial" w:eastAsia="Arial" w:hint="default"/>
          <w:spacing w:val="50"/>
        </w:rPr>
        <w:t> </w:t>
      </w:r>
      <w:r>
        <w:rPr/>
        <w:t>编制。</w:t>
      </w:r>
    </w:p>
    <w:p>
      <w:pPr>
        <w:pStyle w:val="Heading2"/>
        <w:tabs>
          <w:tab w:pos="811" w:val="left" w:leader="none"/>
        </w:tabs>
        <w:spacing w:line="240" w:lineRule="auto" w:before="210"/>
        <w:ind w:right="159"/>
        <w:jc w:val="left"/>
        <w:rPr>
          <w:b w:val="0"/>
          <w:bCs w:val="0"/>
        </w:rPr>
      </w:pPr>
      <w:r>
        <w:rPr>
          <w:w w:val="95"/>
        </w:rPr>
        <w:t>三</w:t>
        <w:tab/>
      </w:r>
      <w:r>
        <w:rPr/>
        <w:t>遵循企业会计准则的声明</w:t>
      </w:r>
      <w:r>
        <w:rPr>
          <w:b w:val="0"/>
          <w:bCs w:val="0"/>
        </w:rPr>
      </w:r>
    </w:p>
    <w:p>
      <w:pPr>
        <w:spacing w:line="240" w:lineRule="auto" w:before="12"/>
        <w:rPr>
          <w:rFonts w:ascii="宋体" w:hAnsi="宋体" w:cs="宋体" w:eastAsia="宋体" w:hint="default"/>
          <w:b/>
          <w:bCs/>
          <w:sz w:val="20"/>
          <w:szCs w:val="20"/>
        </w:rPr>
      </w:pPr>
    </w:p>
    <w:p>
      <w:pPr>
        <w:pStyle w:val="BodyText"/>
        <w:spacing w:line="322" w:lineRule="exact"/>
        <w:ind w:left="811" w:right="0"/>
        <w:jc w:val="left"/>
        <w:rPr>
          <w:rFonts w:ascii="Arial" w:hAnsi="Arial" w:cs="Arial" w:eastAsia="Arial" w:hint="default"/>
        </w:rPr>
      </w:pPr>
      <w:r>
        <w:rPr/>
        <w:t>本公司</w:t>
      </w:r>
      <w:r>
        <w:rPr>
          <w:spacing w:val="-58"/>
        </w:rPr>
        <w:t> </w:t>
      </w:r>
      <w:r>
        <w:rPr>
          <w:rFonts w:ascii="Arial" w:hAnsi="Arial" w:cs="Arial" w:eastAsia="Arial" w:hint="default"/>
        </w:rPr>
        <w:t>2008</w:t>
      </w:r>
      <w:r>
        <w:rPr>
          <w:rFonts w:ascii="Arial" w:hAnsi="Arial" w:cs="Arial" w:eastAsia="Arial" w:hint="default"/>
          <w:spacing w:val="-5"/>
        </w:rPr>
        <w:t> </w:t>
      </w:r>
      <w:r>
        <w:rPr>
          <w:spacing w:val="-6"/>
        </w:rPr>
        <w:t>年度财务报表符合企业会计准则的要求，真实、完整地反映了本公司</w:t>
      </w:r>
      <w:r>
        <w:rPr>
          <w:spacing w:val="-58"/>
        </w:rPr>
        <w:t> </w:t>
      </w:r>
      <w:r>
        <w:rPr>
          <w:rFonts w:ascii="Arial" w:hAnsi="Arial" w:cs="Arial" w:eastAsia="Arial" w:hint="default"/>
        </w:rPr>
        <w:t>2008</w:t>
      </w:r>
    </w:p>
    <w:p>
      <w:pPr>
        <w:pStyle w:val="BodyText"/>
        <w:spacing w:line="312" w:lineRule="exact" w:before="21"/>
        <w:ind w:left="812" w:right="159"/>
        <w:jc w:val="left"/>
      </w:pPr>
      <w:r>
        <w:rPr/>
        <w:t>年</w:t>
      </w:r>
      <w:r>
        <w:rPr>
          <w:spacing w:val="-79"/>
        </w:rPr>
        <w:t> </w:t>
      </w:r>
      <w:r>
        <w:rPr>
          <w:rFonts w:ascii="Arial" w:hAnsi="Arial" w:cs="Arial" w:eastAsia="Arial" w:hint="default"/>
        </w:rPr>
        <w:t>12</w:t>
      </w:r>
      <w:r>
        <w:rPr>
          <w:rFonts w:ascii="Arial" w:hAnsi="Arial" w:cs="Arial" w:eastAsia="Arial" w:hint="default"/>
          <w:spacing w:val="-26"/>
        </w:rPr>
        <w:t> </w:t>
      </w:r>
      <w:r>
        <w:rPr/>
        <w:t>月</w:t>
      </w:r>
      <w:r>
        <w:rPr>
          <w:spacing w:val="-79"/>
        </w:rPr>
        <w:t> </w:t>
      </w:r>
      <w:r>
        <w:rPr>
          <w:rFonts w:ascii="Arial" w:hAnsi="Arial" w:cs="Arial" w:eastAsia="Arial" w:hint="default"/>
        </w:rPr>
        <w:t>31</w:t>
      </w:r>
      <w:r>
        <w:rPr>
          <w:rFonts w:ascii="Arial" w:hAnsi="Arial" w:cs="Arial" w:eastAsia="Arial" w:hint="default"/>
          <w:spacing w:val="-26"/>
        </w:rPr>
        <w:t> </w:t>
      </w:r>
      <w:r>
        <w:rPr/>
        <w:t>日的合并及公司财务状况以及</w:t>
      </w:r>
      <w:r>
        <w:rPr>
          <w:spacing w:val="-79"/>
        </w:rPr>
        <w:t> </w:t>
      </w:r>
      <w:r>
        <w:rPr>
          <w:rFonts w:ascii="Arial" w:hAnsi="Arial" w:cs="Arial" w:eastAsia="Arial" w:hint="default"/>
        </w:rPr>
        <w:t>2008</w:t>
      </w:r>
      <w:r>
        <w:rPr>
          <w:rFonts w:ascii="Arial" w:hAnsi="Arial" w:cs="Arial" w:eastAsia="Arial" w:hint="default"/>
          <w:spacing w:val="-26"/>
        </w:rPr>
        <w:t> </w:t>
      </w:r>
      <w:r>
        <w:rPr/>
        <w:t>年度的合并及公司经营成果和现金流量 等有关信息。</w:t>
      </w:r>
    </w:p>
    <w:p>
      <w:pPr>
        <w:spacing w:after="0" w:line="312" w:lineRule="exact"/>
        <w:jc w:val="left"/>
        <w:sectPr>
          <w:pgSz w:w="11910" w:h="16840"/>
          <w:pgMar w:header="826" w:footer="894" w:top="1100" w:bottom="1080" w:left="940" w:right="98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690"/>
        <w:jc w:val="left"/>
        <w:rPr>
          <w:b w:val="0"/>
          <w:bCs w:val="0"/>
        </w:rPr>
      </w:pPr>
      <w:r>
        <w:rPr>
          <w:w w:val="95"/>
        </w:rPr>
        <w:t>四</w:t>
        <w:tab/>
      </w:r>
      <w:r>
        <w:rPr/>
        <w:t>重要会计政策和会计估计</w:t>
      </w:r>
      <w:r>
        <w:rPr>
          <w:b w:val="0"/>
          <w:bCs w:val="0"/>
        </w:rPr>
      </w:r>
    </w:p>
    <w:p>
      <w:pPr>
        <w:spacing w:line="240" w:lineRule="auto" w:before="12"/>
        <w:rPr>
          <w:rFonts w:ascii="宋体" w:hAnsi="宋体" w:cs="宋体" w:eastAsia="宋体" w:hint="default"/>
          <w:b/>
          <w:bCs/>
          <w:sz w:val="20"/>
          <w:szCs w:val="20"/>
        </w:rPr>
      </w:pPr>
    </w:p>
    <w:p>
      <w:pPr>
        <w:pStyle w:val="BodyText"/>
        <w:tabs>
          <w:tab w:pos="811" w:val="left" w:leader="none"/>
        </w:tabs>
        <w:spacing w:line="240" w:lineRule="auto"/>
        <w:ind w:left="102" w:right="1690"/>
        <w:jc w:val="left"/>
      </w:pPr>
      <w:r>
        <w:rPr>
          <w:rFonts w:ascii="Arial" w:hAnsi="Arial" w:cs="Arial" w:eastAsia="Arial" w:hint="default"/>
          <w:w w:val="95"/>
          <w:position w:val="2"/>
        </w:rPr>
        <w:t>(1)</w:t>
        <w:tab/>
      </w:r>
      <w:r>
        <w:rPr/>
        <w:t>会计年度</w:t>
      </w:r>
    </w:p>
    <w:p>
      <w:pPr>
        <w:spacing w:line="240" w:lineRule="auto" w:before="12"/>
        <w:rPr>
          <w:rFonts w:ascii="宋体" w:hAnsi="宋体" w:cs="宋体" w:eastAsia="宋体" w:hint="default"/>
          <w:sz w:val="20"/>
          <w:szCs w:val="20"/>
        </w:rPr>
      </w:pPr>
    </w:p>
    <w:p>
      <w:pPr>
        <w:pStyle w:val="BodyText"/>
        <w:spacing w:line="240" w:lineRule="auto"/>
        <w:ind w:left="811" w:right="0"/>
        <w:jc w:val="both"/>
      </w:pPr>
      <w:r>
        <w:rPr/>
        <w:t>会计年度为公历</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日起至</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8"/>
        <w:rPr>
          <w:rFonts w:ascii="宋体" w:hAnsi="宋体" w:cs="宋体" w:eastAsia="宋体" w:hint="default"/>
          <w:sz w:val="19"/>
          <w:szCs w:val="19"/>
        </w:rPr>
      </w:pPr>
    </w:p>
    <w:p>
      <w:pPr>
        <w:pStyle w:val="BodyText"/>
        <w:tabs>
          <w:tab w:pos="811" w:val="left" w:leader="none"/>
        </w:tabs>
        <w:spacing w:line="448" w:lineRule="auto"/>
        <w:ind w:left="811" w:right="6730" w:hanging="710"/>
        <w:jc w:val="left"/>
      </w:pPr>
      <w:r>
        <w:rPr>
          <w:rFonts w:ascii="Arial" w:hAnsi="Arial" w:cs="Arial" w:eastAsia="Arial" w:hint="default"/>
          <w:w w:val="95"/>
          <w:position w:val="2"/>
        </w:rPr>
        <w:t>(2)</w:t>
        <w:tab/>
      </w:r>
      <w:r>
        <w:rPr/>
        <w:t>记账本位币 记账本位币为人民币。</w:t>
      </w:r>
    </w:p>
    <w:p>
      <w:pPr>
        <w:pStyle w:val="BodyText"/>
        <w:tabs>
          <w:tab w:pos="811" w:val="left" w:leader="none"/>
        </w:tabs>
        <w:spacing w:line="240" w:lineRule="auto" w:before="65"/>
        <w:ind w:left="102" w:right="1690"/>
        <w:jc w:val="left"/>
      </w:pPr>
      <w:r>
        <w:rPr>
          <w:rFonts w:ascii="Arial" w:hAnsi="Arial" w:cs="Arial" w:eastAsia="Arial" w:hint="default"/>
          <w:w w:val="95"/>
          <w:position w:val="2"/>
        </w:rPr>
        <w:t>(3)</w:t>
        <w:tab/>
      </w:r>
      <w:r>
        <w:rPr/>
        <w:t>计量属性</w:t>
      </w:r>
    </w:p>
    <w:p>
      <w:pPr>
        <w:spacing w:line="240" w:lineRule="auto" w:before="4"/>
        <w:rPr>
          <w:rFonts w:ascii="宋体" w:hAnsi="宋体" w:cs="宋体" w:eastAsia="宋体" w:hint="default"/>
          <w:sz w:val="23"/>
          <w:szCs w:val="23"/>
        </w:rPr>
      </w:pPr>
    </w:p>
    <w:p>
      <w:pPr>
        <w:pStyle w:val="BodyText"/>
        <w:spacing w:line="312" w:lineRule="exact"/>
        <w:ind w:left="812" w:right="128"/>
        <w:jc w:val="both"/>
      </w:pPr>
      <w:r>
        <w:rPr>
          <w:spacing w:val="2"/>
        </w:rPr>
        <w:t>除特别说明采用公允价值、可变现净值、现值等计量属性之外，一般采用历史成本计</w:t>
      </w:r>
      <w:r>
        <w:rPr>
          <w:spacing w:val="-85"/>
        </w:rPr>
        <w:t> </w:t>
      </w:r>
      <w:r>
        <w:rPr>
          <w:spacing w:val="-85"/>
        </w:rPr>
      </w:r>
      <w:r>
        <w:rPr/>
        <w:t>量。</w:t>
      </w:r>
    </w:p>
    <w:p>
      <w:pPr>
        <w:spacing w:line="240" w:lineRule="auto" w:before="10"/>
        <w:rPr>
          <w:rFonts w:ascii="宋体" w:hAnsi="宋体" w:cs="宋体" w:eastAsia="宋体" w:hint="default"/>
          <w:sz w:val="18"/>
          <w:szCs w:val="18"/>
        </w:rPr>
      </w:pPr>
    </w:p>
    <w:p>
      <w:pPr>
        <w:pStyle w:val="BodyText"/>
        <w:tabs>
          <w:tab w:pos="811" w:val="left" w:leader="none"/>
        </w:tabs>
        <w:spacing w:line="427" w:lineRule="auto"/>
        <w:ind w:left="812" w:right="1690" w:hanging="710"/>
        <w:jc w:val="left"/>
      </w:pPr>
      <w:r>
        <w:rPr>
          <w:rFonts w:ascii="Arial" w:hAnsi="Arial" w:cs="Arial" w:eastAsia="Arial" w:hint="default"/>
          <w:w w:val="95"/>
          <w:position w:val="2"/>
        </w:rPr>
        <w:t>(4)</w:t>
        <w:tab/>
      </w:r>
      <w:r>
        <w:rPr/>
        <w:t>外币折算 </w:t>
      </w:r>
      <w:r>
        <w:rPr>
          <w:rFonts w:ascii="Arial" w:hAnsi="Arial" w:cs="Arial" w:eastAsia="Arial" w:hint="default"/>
        </w:rPr>
        <w:t>-</w:t>
      </w:r>
      <w:r>
        <w:rPr>
          <w:rFonts w:ascii="Arial" w:hAnsi="Arial" w:cs="Arial" w:eastAsia="Arial" w:hint="default"/>
          <w:spacing w:val="53"/>
        </w:rPr>
        <w:t> </w:t>
      </w:r>
      <w:r>
        <w:rPr/>
        <w:t>外币交易 外币交易按交易发生日的即期汇率将外币金额折算为人民币入账。</w:t>
      </w:r>
    </w:p>
    <w:p>
      <w:pPr>
        <w:pStyle w:val="BodyText"/>
        <w:spacing w:line="312" w:lineRule="exact" w:before="117"/>
        <w:ind w:left="812" w:right="128"/>
        <w:jc w:val="both"/>
      </w:pPr>
      <w:r>
        <w:rPr>
          <w:spacing w:val="2"/>
        </w:rPr>
        <w:t>于资产负债表日，外币货币性项目采用资产负债表日的即期汇率折算为人民币，所产</w:t>
      </w:r>
      <w:r>
        <w:rPr>
          <w:spacing w:val="-85"/>
        </w:rPr>
        <w:t> </w:t>
      </w:r>
      <w:r>
        <w:rPr>
          <w:spacing w:val="-85"/>
        </w:rPr>
      </w:r>
      <w:r>
        <w:rPr>
          <w:spacing w:val="2"/>
        </w:rPr>
        <w:t>生的折算差额除了为购建或生产符合资本化条件的资产而借入的外币专门借款产生的</w:t>
      </w:r>
      <w:r>
        <w:rPr>
          <w:spacing w:val="-85"/>
        </w:rPr>
        <w:t> </w:t>
      </w:r>
      <w:r>
        <w:rPr>
          <w:spacing w:val="-85"/>
        </w:rPr>
      </w:r>
      <w:r>
        <w:rPr>
          <w:spacing w:val="2"/>
        </w:rPr>
        <w:t>汇兑差额按资本化的原则处理外，直接计入当期损益。以历史成本计量的外币非货币</w:t>
      </w:r>
      <w:r>
        <w:rPr>
          <w:spacing w:val="-85"/>
        </w:rPr>
        <w:t> </w:t>
      </w:r>
      <w:r>
        <w:rPr>
          <w:spacing w:val="-85"/>
        </w:rPr>
      </w:r>
      <w:r>
        <w:rPr>
          <w:spacing w:val="2"/>
        </w:rPr>
        <w:t>性项目，于资产负债表日采用交易发生日的即期汇率折算。汇率变动对现金的影响额</w:t>
      </w:r>
      <w:r>
        <w:rPr>
          <w:spacing w:val="-85"/>
        </w:rPr>
        <w:t> </w:t>
      </w:r>
      <w:r>
        <w:rPr>
          <w:spacing w:val="-85"/>
        </w:rPr>
      </w:r>
      <w:r>
        <w:rPr/>
        <w:t>在现金流量表中单独列示。</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690"/>
        <w:jc w:val="left"/>
      </w:pPr>
      <w:r>
        <w:rPr>
          <w:rFonts w:ascii="Arial" w:hAnsi="Arial" w:cs="Arial" w:eastAsia="Arial" w:hint="default"/>
          <w:w w:val="95"/>
          <w:position w:val="2"/>
        </w:rPr>
        <w:t>(5)</w:t>
        <w:tab/>
      </w:r>
      <w:r>
        <w:rPr/>
        <w:t>现金及现金等价物</w:t>
      </w:r>
    </w:p>
    <w:p>
      <w:pPr>
        <w:spacing w:line="240" w:lineRule="auto" w:before="4"/>
        <w:rPr>
          <w:rFonts w:ascii="宋体" w:hAnsi="宋体" w:cs="宋体" w:eastAsia="宋体" w:hint="default"/>
          <w:sz w:val="23"/>
          <w:szCs w:val="23"/>
        </w:rPr>
      </w:pPr>
    </w:p>
    <w:p>
      <w:pPr>
        <w:pStyle w:val="BodyText"/>
        <w:spacing w:line="312" w:lineRule="exact"/>
        <w:ind w:left="812" w:right="106"/>
        <w:jc w:val="both"/>
      </w:pPr>
      <w:r>
        <w:rPr>
          <w:spacing w:val="-3"/>
        </w:rPr>
        <w:t>列示于现金流量表中的现金是指库存现金及可随时用于支付的存款，现金等价物是指持</w:t>
      </w:r>
      <w:r>
        <w:rPr>
          <w:spacing w:val="-102"/>
        </w:rPr>
        <w:t> </w:t>
      </w:r>
      <w:r>
        <w:rPr>
          <w:spacing w:val="-102"/>
        </w:rPr>
      </w:r>
      <w:r>
        <w:rPr/>
        <w:t>有的期限短、流动性强、易于转换为已知金额现金及价值变动风险很小的投资。</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690"/>
        <w:jc w:val="left"/>
      </w:pPr>
      <w:r>
        <w:rPr>
          <w:rFonts w:ascii="Arial" w:hAnsi="Arial" w:cs="Arial" w:eastAsia="Arial" w:hint="default"/>
          <w:w w:val="95"/>
          <w:position w:val="2"/>
        </w:rPr>
        <w:t>(6)</w:t>
        <w:tab/>
      </w:r>
      <w:r>
        <w:rPr/>
        <w:t>金融资产 </w:t>
      </w:r>
      <w:r>
        <w:rPr>
          <w:rFonts w:ascii="Arial" w:hAnsi="Arial" w:cs="Arial" w:eastAsia="Arial" w:hint="default"/>
        </w:rPr>
        <w:t>-</w:t>
      </w:r>
      <w:r>
        <w:rPr>
          <w:rFonts w:ascii="Arial" w:hAnsi="Arial" w:cs="Arial" w:eastAsia="Arial" w:hint="default"/>
          <w:spacing w:val="53"/>
        </w:rPr>
        <w:t> </w:t>
      </w:r>
      <w:r>
        <w:rPr/>
        <w:t>应收账款</w:t>
      </w:r>
    </w:p>
    <w:p>
      <w:pPr>
        <w:spacing w:line="240" w:lineRule="auto" w:before="13"/>
        <w:rPr>
          <w:rFonts w:ascii="宋体" w:hAnsi="宋体" w:cs="宋体" w:eastAsia="宋体" w:hint="default"/>
          <w:sz w:val="21"/>
          <w:szCs w:val="21"/>
        </w:rPr>
      </w:pPr>
    </w:p>
    <w:p>
      <w:pPr>
        <w:pStyle w:val="BodyText"/>
        <w:spacing w:line="312" w:lineRule="exact"/>
        <w:ind w:left="812" w:right="128"/>
        <w:jc w:val="both"/>
      </w:pPr>
      <w:r>
        <w:rPr>
          <w:spacing w:val="2"/>
        </w:rPr>
        <w:t>应收款项是指在活跃市场中没有报价、回收金额固定或可确定的非衍生金融资产，包</w:t>
      </w:r>
      <w:r>
        <w:rPr>
          <w:spacing w:val="-85"/>
        </w:rPr>
        <w:t> </w:t>
      </w:r>
      <w:r>
        <w:rPr>
          <w:spacing w:val="-85"/>
        </w:rPr>
      </w:r>
      <w:r>
        <w:rPr/>
        <w:t>括应收账款、其他应收款和长期应收款等。</w:t>
      </w:r>
    </w:p>
    <w:p>
      <w:pPr>
        <w:spacing w:line="240" w:lineRule="auto" w:before="1"/>
        <w:rPr>
          <w:rFonts w:ascii="宋体" w:hAnsi="宋体" w:cs="宋体" w:eastAsia="宋体" w:hint="default"/>
          <w:sz w:val="21"/>
          <w:szCs w:val="21"/>
        </w:rPr>
      </w:pPr>
    </w:p>
    <w:p>
      <w:pPr>
        <w:pStyle w:val="BodyText"/>
        <w:spacing w:line="312" w:lineRule="exact"/>
        <w:ind w:left="812" w:right="128"/>
        <w:jc w:val="both"/>
      </w:pPr>
      <w:r>
        <w:rPr>
          <w:spacing w:val="2"/>
        </w:rPr>
        <w:t>本集团对外销售商品或提供劳务形成的应收账款，按从购货方应收的合同或协议价款</w:t>
      </w:r>
      <w:r>
        <w:rPr>
          <w:spacing w:val="-85"/>
        </w:rPr>
        <w:t> </w:t>
      </w:r>
      <w:r>
        <w:rPr>
          <w:spacing w:val="-85"/>
        </w:rPr>
      </w:r>
      <w:r>
        <w:rPr>
          <w:spacing w:val="2"/>
        </w:rPr>
        <w:t>的公允价值作为初始确认金额。应收款项采用实际利率法，以摊余成本减去坏账准备</w:t>
      </w:r>
      <w:r>
        <w:rPr>
          <w:spacing w:val="-85"/>
        </w:rPr>
        <w:t> </w:t>
      </w:r>
      <w:r>
        <w:rPr>
          <w:spacing w:val="-85"/>
        </w:rPr>
      </w:r>
      <w:r>
        <w:rPr/>
        <w:t>后的净额列示。</w:t>
      </w:r>
    </w:p>
    <w:p>
      <w:pPr>
        <w:spacing w:after="0" w:line="312" w:lineRule="exact"/>
        <w:jc w:val="both"/>
        <w:sectPr>
          <w:pgSz w:w="11910" w:h="16840"/>
          <w:pgMar w:header="826" w:footer="894" w:top="1100" w:bottom="108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69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1690"/>
        <w:jc w:val="left"/>
        <w:rPr>
          <w:rFonts w:ascii="Arial" w:hAnsi="Arial" w:cs="Arial" w:eastAsia="Arial" w:hint="default"/>
        </w:rPr>
      </w:pPr>
      <w:r>
        <w:rPr>
          <w:rFonts w:ascii="Arial" w:hAnsi="Arial" w:cs="Arial" w:eastAsia="Arial" w:hint="default"/>
          <w:w w:val="95"/>
          <w:position w:val="2"/>
        </w:rPr>
        <w:t>(6)</w:t>
        <w:tab/>
      </w:r>
      <w:r>
        <w:rPr/>
        <w:t>金融资产 </w:t>
      </w:r>
      <w:r>
        <w:rPr>
          <w:rFonts w:ascii="Arial" w:hAnsi="Arial" w:cs="Arial" w:eastAsia="Arial" w:hint="default"/>
        </w:rPr>
        <w:t>-</w:t>
      </w:r>
      <w:r>
        <w:rPr>
          <w:rFonts w:ascii="Arial" w:hAnsi="Arial" w:cs="Arial" w:eastAsia="Arial" w:hint="default"/>
          <w:spacing w:val="53"/>
        </w:rPr>
        <w:t> </w:t>
      </w:r>
      <w:r>
        <w:rPr/>
        <w:t>应收账款</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2" w:right="106"/>
        <w:jc w:val="both"/>
      </w:pPr>
      <w:r>
        <w:rPr>
          <w:spacing w:val="-3"/>
        </w:rPr>
        <w:t>对于单项金额重大的应收款项，单独进行减值测试。当存在客观证据表明本集团将无法</w:t>
      </w:r>
      <w:r>
        <w:rPr>
          <w:spacing w:val="-102"/>
        </w:rPr>
        <w:t> </w:t>
      </w:r>
      <w:r>
        <w:rPr>
          <w:spacing w:val="-102"/>
        </w:rPr>
      </w:r>
      <w:r>
        <w:rPr>
          <w:spacing w:val="-3"/>
        </w:rPr>
        <w:t>按应收款项的原有条款收回款项时，根据其预计未来现金流量现值低于其账面价值的差</w:t>
      </w:r>
      <w:r>
        <w:rPr>
          <w:spacing w:val="-102"/>
        </w:rPr>
        <w:t> </w:t>
      </w:r>
      <w:r>
        <w:rPr>
          <w:spacing w:val="-102"/>
        </w:rPr>
      </w:r>
      <w:r>
        <w:rPr/>
        <w:t>额，计提坏账准备。</w:t>
      </w:r>
    </w:p>
    <w:p>
      <w:pPr>
        <w:spacing w:line="240" w:lineRule="auto" w:before="1"/>
        <w:rPr>
          <w:rFonts w:ascii="宋体" w:hAnsi="宋体" w:cs="宋体" w:eastAsia="宋体" w:hint="default"/>
          <w:sz w:val="21"/>
          <w:szCs w:val="21"/>
        </w:rPr>
      </w:pPr>
    </w:p>
    <w:p>
      <w:pPr>
        <w:pStyle w:val="BodyText"/>
        <w:spacing w:line="312" w:lineRule="exact"/>
        <w:ind w:left="811" w:right="106"/>
        <w:jc w:val="both"/>
      </w:pPr>
      <w:r>
        <w:rPr>
          <w:spacing w:val="-3"/>
        </w:rPr>
        <w:t>对于单项金额非重大的应收款项，与经单独测试后未减值的应收款项一起按信用风险特</w:t>
      </w:r>
      <w:r>
        <w:rPr>
          <w:spacing w:val="-102"/>
        </w:rPr>
        <w:t> </w:t>
      </w:r>
      <w:r>
        <w:rPr>
          <w:spacing w:val="-102"/>
        </w:rPr>
      </w:r>
      <w:r>
        <w:rPr>
          <w:spacing w:val="-3"/>
        </w:rPr>
        <w:t>征划分为若干组合，根据以前年度与之相同或相类似的、具有类似信用风险特征的应收</w:t>
      </w:r>
      <w:r>
        <w:rPr>
          <w:spacing w:val="-102"/>
        </w:rPr>
        <w:t> </w:t>
      </w:r>
      <w:r>
        <w:rPr>
          <w:spacing w:val="-102"/>
        </w:rPr>
      </w:r>
      <w:r>
        <w:rPr/>
        <w:t>账款组合的实际损失率为基础，结合现时情况确定应计提的坏账准备。</w:t>
      </w:r>
    </w:p>
    <w:p>
      <w:pPr>
        <w:spacing w:line="240" w:lineRule="auto" w:before="6"/>
        <w:rPr>
          <w:rFonts w:ascii="宋体" w:hAnsi="宋体" w:cs="宋体" w:eastAsia="宋体" w:hint="default"/>
          <w:sz w:val="18"/>
          <w:szCs w:val="18"/>
        </w:rPr>
      </w:pPr>
    </w:p>
    <w:p>
      <w:pPr>
        <w:pStyle w:val="BodyText"/>
        <w:spacing w:line="312" w:lineRule="exact"/>
        <w:ind w:left="811" w:right="106"/>
        <w:jc w:val="both"/>
      </w:pPr>
      <w:r>
        <w:rPr>
          <w:spacing w:val="-3"/>
        </w:rPr>
        <w:t>本集团向金融机构转让不附追索权的应收账款，按交易款项扣除已转销应收账款的账面</w:t>
      </w:r>
      <w:r>
        <w:rPr>
          <w:spacing w:val="-102"/>
        </w:rPr>
        <w:t> </w:t>
      </w:r>
      <w:r>
        <w:rPr>
          <w:spacing w:val="-102"/>
        </w:rPr>
      </w:r>
      <w:r>
        <w:rPr/>
        <w:t>价值和相关税费后的差额计入当期损益。</w:t>
      </w:r>
    </w:p>
    <w:p>
      <w:pPr>
        <w:spacing w:line="240" w:lineRule="auto" w:before="10"/>
        <w:rPr>
          <w:rFonts w:ascii="宋体" w:hAnsi="宋体" w:cs="宋体" w:eastAsia="宋体" w:hint="default"/>
          <w:sz w:val="18"/>
          <w:szCs w:val="18"/>
        </w:rPr>
      </w:pPr>
    </w:p>
    <w:p>
      <w:pPr>
        <w:pStyle w:val="BodyText"/>
        <w:tabs>
          <w:tab w:pos="811" w:val="left" w:leader="none"/>
        </w:tabs>
        <w:spacing w:line="448" w:lineRule="auto"/>
        <w:ind w:left="812" w:right="1690" w:hanging="710"/>
        <w:jc w:val="left"/>
      </w:pPr>
      <w:r>
        <w:rPr>
          <w:rFonts w:ascii="Arial" w:hAnsi="Arial" w:cs="Arial" w:eastAsia="Arial" w:hint="default"/>
          <w:w w:val="95"/>
          <w:position w:val="2"/>
        </w:rPr>
        <w:t>(7)</w:t>
        <w:tab/>
      </w:r>
      <w:r>
        <w:rPr/>
        <w:t>存货 存货包括库存商品和安装维修用备件，按成本与可变现净值孰低列示。</w:t>
      </w:r>
    </w:p>
    <w:p>
      <w:pPr>
        <w:pStyle w:val="BodyText"/>
        <w:spacing w:line="312" w:lineRule="exact" w:before="96"/>
        <w:ind w:left="812" w:right="106"/>
        <w:jc w:val="both"/>
      </w:pPr>
      <w:r>
        <w:rPr>
          <w:spacing w:val="2"/>
        </w:rPr>
        <w:t>库存商品和安装维修用备件按实际成本核算。库存商品销售时的成本按先进先出法核</w:t>
      </w:r>
      <w:r>
        <w:rPr>
          <w:spacing w:val="-85"/>
        </w:rPr>
        <w:t> </w:t>
      </w:r>
      <w:r>
        <w:rPr>
          <w:spacing w:val="-85"/>
        </w:rPr>
      </w:r>
      <w:r>
        <w:rPr/>
        <w:t>算，安装维修用备件采用一次转销法进行摊销。</w:t>
      </w:r>
    </w:p>
    <w:p>
      <w:pPr>
        <w:spacing w:line="240" w:lineRule="auto" w:before="1"/>
        <w:rPr>
          <w:rFonts w:ascii="宋体" w:hAnsi="宋体" w:cs="宋体" w:eastAsia="宋体" w:hint="default"/>
          <w:sz w:val="21"/>
          <w:szCs w:val="21"/>
        </w:rPr>
      </w:pPr>
    </w:p>
    <w:p>
      <w:pPr>
        <w:pStyle w:val="BodyText"/>
        <w:spacing w:line="312" w:lineRule="exact"/>
        <w:ind w:left="812" w:right="106"/>
        <w:jc w:val="both"/>
      </w:pPr>
      <w:r>
        <w:rPr>
          <w:spacing w:val="-3"/>
        </w:rPr>
        <w:t>存货跌价准备按存货成本高于其可变现净值的差额计提。可变现净值按日常活动中，以</w:t>
      </w:r>
      <w:r>
        <w:rPr>
          <w:spacing w:val="-102"/>
        </w:rPr>
        <w:t> </w:t>
      </w:r>
      <w:r>
        <w:rPr>
          <w:spacing w:val="-102"/>
        </w:rPr>
      </w:r>
      <w:r>
        <w:rPr/>
        <w:t>存货的估计售价减去估计的销售费用以及相关税费后的金额确定。</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本集团的存货盘存制度采用永续盘存制。</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1690"/>
        <w:jc w:val="left"/>
      </w:pPr>
      <w:r>
        <w:rPr>
          <w:rFonts w:ascii="Arial" w:hAnsi="Arial" w:cs="Arial" w:eastAsia="Arial" w:hint="default"/>
          <w:w w:val="95"/>
          <w:position w:val="2"/>
        </w:rPr>
        <w:t>(8)</w:t>
        <w:tab/>
      </w:r>
      <w:r>
        <w:rPr/>
        <w:t>长期股权投资</w:t>
      </w:r>
    </w:p>
    <w:p>
      <w:pPr>
        <w:spacing w:line="240" w:lineRule="auto" w:before="4"/>
        <w:rPr>
          <w:rFonts w:ascii="宋体" w:hAnsi="宋体" w:cs="宋体" w:eastAsia="宋体" w:hint="default"/>
          <w:sz w:val="23"/>
          <w:szCs w:val="23"/>
        </w:rPr>
      </w:pPr>
    </w:p>
    <w:p>
      <w:pPr>
        <w:pStyle w:val="BodyText"/>
        <w:spacing w:line="312" w:lineRule="exact"/>
        <w:ind w:left="812" w:right="106"/>
        <w:jc w:val="both"/>
      </w:pPr>
      <w:r>
        <w:rPr>
          <w:spacing w:val="-3"/>
        </w:rPr>
        <w:t>长期股权投资包括本公司对子公司的长期股权投资、本集团对合营企业的长期股权投资</w:t>
      </w:r>
      <w:r>
        <w:rPr>
          <w:spacing w:val="-102"/>
        </w:rPr>
        <w:t> </w:t>
      </w:r>
      <w:r>
        <w:rPr>
          <w:spacing w:val="-102"/>
        </w:rPr>
      </w:r>
      <w:r>
        <w:rPr>
          <w:spacing w:val="-3"/>
        </w:rPr>
        <w:t>以及本集团对被投资单位不具有控制、共同控制或重大影响，并且在活跃市场中没有报</w:t>
      </w:r>
      <w:r>
        <w:rPr>
          <w:spacing w:val="-102"/>
        </w:rPr>
        <w:t> </w:t>
      </w:r>
      <w:r>
        <w:rPr>
          <w:spacing w:val="-102"/>
        </w:rPr>
      </w:r>
      <w:r>
        <w:rPr/>
        <w:t>价、公允价值不能可靠计量的长期股权投资。</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690"/>
        <w:jc w:val="left"/>
      </w:pPr>
      <w:r>
        <w:rPr>
          <w:rFonts w:ascii="Arial" w:hAnsi="Arial" w:cs="Arial" w:eastAsia="Arial" w:hint="default"/>
          <w:w w:val="95"/>
          <w:position w:val="2"/>
        </w:rPr>
        <w:t>(a)</w:t>
        <w:tab/>
      </w:r>
      <w:r>
        <w:rPr/>
        <w:t>子公司</w:t>
      </w:r>
    </w:p>
    <w:p>
      <w:pPr>
        <w:spacing w:line="240" w:lineRule="auto" w:before="4"/>
        <w:rPr>
          <w:rFonts w:ascii="宋体" w:hAnsi="宋体" w:cs="宋体" w:eastAsia="宋体" w:hint="default"/>
          <w:sz w:val="23"/>
          <w:szCs w:val="23"/>
        </w:rPr>
      </w:pPr>
    </w:p>
    <w:p>
      <w:pPr>
        <w:pStyle w:val="BodyText"/>
        <w:spacing w:line="312" w:lineRule="exact"/>
        <w:ind w:left="812" w:right="106"/>
        <w:jc w:val="both"/>
      </w:pPr>
      <w:r>
        <w:rPr>
          <w:spacing w:val="-3"/>
        </w:rPr>
        <w:t>子公司是指本公司能够对其实施控制，即有权决定其财务和经营政策，并能据以从其经</w:t>
      </w:r>
      <w:r>
        <w:rPr>
          <w:spacing w:val="-102"/>
        </w:rPr>
        <w:t> </w:t>
      </w:r>
      <w:r>
        <w:rPr>
          <w:spacing w:val="-102"/>
        </w:rPr>
      </w:r>
      <w:r>
        <w:rPr>
          <w:spacing w:val="-3"/>
        </w:rPr>
        <w:t>营活动中获取利益的被投资单位。在确定能否对被投资单位实施控制时，被投资单位当</w:t>
      </w:r>
      <w:r>
        <w:rPr>
          <w:spacing w:val="-102"/>
        </w:rPr>
        <w:t> </w:t>
      </w:r>
      <w:r>
        <w:rPr>
          <w:spacing w:val="-102"/>
        </w:rPr>
      </w:r>
      <w:r>
        <w:rPr>
          <w:spacing w:val="-3"/>
        </w:rPr>
        <w:t>期可转换公司债券、当期可执行认股权证等潜在表决权因素亦同时予以考虑。对子公司</w:t>
      </w:r>
      <w:r>
        <w:rPr>
          <w:spacing w:val="-102"/>
        </w:rPr>
        <w:t> </w:t>
      </w:r>
      <w:r>
        <w:rPr>
          <w:spacing w:val="-102"/>
        </w:rPr>
      </w:r>
      <w:r>
        <w:rPr>
          <w:spacing w:val="-3"/>
        </w:rPr>
        <w:t>的投资，在公司财务报表中按照成本法确定的金额列示，在编制合并财务报表时按权益</w:t>
      </w:r>
      <w:r>
        <w:rPr>
          <w:spacing w:val="-102"/>
        </w:rPr>
        <w:t> </w:t>
      </w:r>
      <w:r>
        <w:rPr>
          <w:spacing w:val="-102"/>
        </w:rPr>
      </w:r>
      <w:r>
        <w:rPr/>
        <w:t>法调整后进行合并。</w:t>
      </w:r>
    </w:p>
    <w:p>
      <w:pPr>
        <w:spacing w:after="0" w:line="312" w:lineRule="exact"/>
        <w:jc w:val="both"/>
        <w:sectPr>
          <w:pgSz w:w="11910" w:h="16840"/>
          <w:pgMar w:header="826" w:footer="894" w:top="1100" w:bottom="108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69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1690"/>
        <w:jc w:val="left"/>
        <w:rPr>
          <w:rFonts w:ascii="Arial" w:hAnsi="Arial" w:cs="Arial" w:eastAsia="Arial" w:hint="default"/>
        </w:rPr>
      </w:pPr>
      <w:r>
        <w:rPr>
          <w:rFonts w:ascii="Arial" w:hAnsi="Arial" w:cs="Arial" w:eastAsia="Arial" w:hint="default"/>
          <w:w w:val="95"/>
          <w:position w:val="2"/>
        </w:rPr>
        <w:t>(8)</w:t>
        <w:tab/>
      </w:r>
      <w:r>
        <w:rPr/>
        <w:t>长期股权投资</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1" w:val="left" w:leader="none"/>
        </w:tabs>
        <w:spacing w:line="240" w:lineRule="auto"/>
        <w:ind w:left="102" w:right="1690"/>
        <w:jc w:val="left"/>
        <w:rPr>
          <w:rFonts w:ascii="Arial" w:hAnsi="Arial" w:cs="Arial" w:eastAsia="Arial" w:hint="default"/>
        </w:rPr>
      </w:pPr>
      <w:r>
        <w:rPr>
          <w:rFonts w:ascii="Arial" w:hAnsi="Arial" w:cs="Arial" w:eastAsia="Arial" w:hint="default"/>
          <w:w w:val="95"/>
          <w:position w:val="2"/>
        </w:rPr>
        <w:t>(a)</w:t>
        <w:tab/>
      </w:r>
      <w:r>
        <w:rPr/>
        <w:t>子公司</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2" w:right="106"/>
        <w:jc w:val="both"/>
      </w:pPr>
      <w:r>
        <w:rPr>
          <w:spacing w:val="-3"/>
        </w:rPr>
        <w:t>采用成本法核算的长期股权投资按照初始投资成本计量。被投资单位宣告分派的现金股</w:t>
      </w:r>
      <w:r>
        <w:rPr>
          <w:spacing w:val="-102"/>
        </w:rPr>
        <w:t> </w:t>
      </w:r>
      <w:r>
        <w:rPr>
          <w:spacing w:val="-102"/>
        </w:rPr>
      </w:r>
      <w:r>
        <w:rPr>
          <w:spacing w:val="-3"/>
        </w:rPr>
        <w:t>利或利润，确认为投资收益计入当期损益。确认的投资收益，仅限于被投资单位接受投</w:t>
      </w:r>
      <w:r>
        <w:rPr>
          <w:spacing w:val="-105"/>
        </w:rPr>
        <w:t> </w:t>
      </w:r>
      <w:r>
        <w:rPr>
          <w:spacing w:val="-105"/>
        </w:rPr>
      </w:r>
      <w:r>
        <w:rPr>
          <w:spacing w:val="-3"/>
        </w:rPr>
        <w:t>资后产生的累积净利润的分配额，所获得的分配利润或现金股利超过上述数额的部分作</w:t>
      </w:r>
      <w:r>
        <w:rPr>
          <w:spacing w:val="-102"/>
        </w:rPr>
        <w:t> </w:t>
      </w:r>
      <w:r>
        <w:rPr>
          <w:spacing w:val="-102"/>
        </w:rPr>
      </w:r>
      <w:r>
        <w:rPr/>
        <w:t>为初始投资成本的收回。</w:t>
      </w:r>
    </w:p>
    <w:p>
      <w:pPr>
        <w:pStyle w:val="BodyText"/>
        <w:tabs>
          <w:tab w:pos="811" w:val="left" w:leader="none"/>
        </w:tabs>
        <w:spacing w:line="448" w:lineRule="auto" w:before="210"/>
        <w:ind w:left="811" w:right="2410" w:hanging="710"/>
        <w:jc w:val="left"/>
      </w:pPr>
      <w:r>
        <w:rPr>
          <w:rFonts w:ascii="Arial" w:hAnsi="Arial" w:cs="Arial" w:eastAsia="Arial" w:hint="default"/>
          <w:w w:val="95"/>
          <w:position w:val="2"/>
        </w:rPr>
        <w:t>(b)</w:t>
        <w:tab/>
      </w:r>
      <w:r>
        <w:rPr/>
        <w:t>合营企业 合营企业是指本集团与其他方对其实施共同控制的被投资单位。</w:t>
      </w:r>
    </w:p>
    <w:p>
      <w:pPr>
        <w:pStyle w:val="BodyText"/>
        <w:spacing w:line="312" w:lineRule="exact" w:before="96"/>
        <w:ind w:left="812" w:right="128"/>
        <w:jc w:val="both"/>
      </w:pPr>
      <w:r>
        <w:rPr>
          <w:spacing w:val="2"/>
        </w:rPr>
        <w:t>对合营企业投资采用权益法核算。初始投资成本大于投资时应享有被投资单位可辨认</w:t>
      </w:r>
      <w:r>
        <w:rPr>
          <w:spacing w:val="-85"/>
        </w:rPr>
        <w:t> </w:t>
      </w:r>
      <w:r>
        <w:rPr>
          <w:spacing w:val="-85"/>
        </w:rPr>
      </w:r>
      <w:r>
        <w:rPr>
          <w:spacing w:val="2"/>
        </w:rPr>
        <w:t>净资产公允价值份额的，以初始投资成本作为长期股权投资成本；初始投资成本小于</w:t>
      </w:r>
      <w:r>
        <w:rPr>
          <w:spacing w:val="-85"/>
        </w:rPr>
        <w:t> </w:t>
      </w:r>
      <w:r>
        <w:rPr>
          <w:spacing w:val="-85"/>
        </w:rPr>
      </w:r>
      <w:r>
        <w:rPr>
          <w:spacing w:val="2"/>
        </w:rPr>
        <w:t>投资时应享有被投资单位可辨认净资产公允价值份额的，其差额计入当期损益，并相</w:t>
      </w:r>
      <w:r>
        <w:rPr>
          <w:spacing w:val="-85"/>
        </w:rPr>
        <w:t> </w:t>
      </w:r>
      <w:r>
        <w:rPr>
          <w:spacing w:val="-85"/>
        </w:rPr>
      </w:r>
      <w:r>
        <w:rPr/>
        <w:t>应调增长期股权投资成本。</w:t>
      </w:r>
    </w:p>
    <w:p>
      <w:pPr>
        <w:spacing w:line="240" w:lineRule="auto" w:before="1"/>
        <w:rPr>
          <w:rFonts w:ascii="宋体" w:hAnsi="宋体" w:cs="宋体" w:eastAsia="宋体" w:hint="default"/>
          <w:sz w:val="21"/>
          <w:szCs w:val="21"/>
        </w:rPr>
      </w:pPr>
    </w:p>
    <w:p>
      <w:pPr>
        <w:pStyle w:val="BodyText"/>
        <w:spacing w:line="312" w:lineRule="exact"/>
        <w:ind w:left="812" w:right="128"/>
        <w:jc w:val="both"/>
      </w:pPr>
      <w:r>
        <w:rPr>
          <w:spacing w:val="2"/>
        </w:rPr>
        <w:t>采用权益法核算时，本集团按应享有或应分担的被投资单位的净损益份额确认当期投</w:t>
      </w:r>
      <w:r>
        <w:rPr>
          <w:spacing w:val="-85"/>
        </w:rPr>
        <w:t> </w:t>
      </w:r>
      <w:r>
        <w:rPr>
          <w:spacing w:val="-85"/>
        </w:rPr>
      </w:r>
      <w:r>
        <w:rPr>
          <w:spacing w:val="2"/>
        </w:rPr>
        <w:t>资损益。确认被投资单位发生的净亏损，以长期股权投资的账面价值以及其他实质上</w:t>
      </w:r>
      <w:r>
        <w:rPr>
          <w:spacing w:val="-85"/>
        </w:rPr>
        <w:t> </w:t>
      </w:r>
      <w:r>
        <w:rPr>
          <w:spacing w:val="-85"/>
        </w:rPr>
      </w:r>
      <w:r>
        <w:rPr>
          <w:spacing w:val="2"/>
        </w:rPr>
        <w:t>构成对被投资单位净投资的长期权益减记至零为限，但本集团负有承担额外损失义务</w:t>
      </w:r>
      <w:r>
        <w:rPr>
          <w:spacing w:val="-85"/>
        </w:rPr>
        <w:t> </w:t>
      </w:r>
      <w:r>
        <w:rPr>
          <w:spacing w:val="-85"/>
        </w:rPr>
      </w:r>
      <w:r>
        <w:rPr>
          <w:spacing w:val="2"/>
        </w:rPr>
        <w:t>且符合或有事项准则所规定的预计负债确认条件的，继续确认投资损失并作为预计负</w:t>
      </w:r>
      <w:r>
        <w:rPr>
          <w:spacing w:val="-85"/>
        </w:rPr>
        <w:t> </w:t>
      </w:r>
      <w:r>
        <w:rPr>
          <w:spacing w:val="-85"/>
        </w:rPr>
      </w:r>
      <w:r>
        <w:rPr>
          <w:spacing w:val="2"/>
        </w:rPr>
        <w:t>债核算。被投资单位除净损益以外股东权益的其他变动，在本集团持股比例不变的情</w:t>
      </w:r>
      <w:r>
        <w:rPr>
          <w:spacing w:val="-85"/>
        </w:rPr>
        <w:t> </w:t>
      </w:r>
      <w:r>
        <w:rPr>
          <w:spacing w:val="-85"/>
        </w:rPr>
      </w:r>
      <w:r>
        <w:rPr>
          <w:spacing w:val="2"/>
        </w:rPr>
        <w:t>况下，按照持股比例计算应享有或承担的部分直接计入资本公积。被投资单位分派的</w:t>
      </w:r>
      <w:r>
        <w:rPr>
          <w:spacing w:val="-85"/>
        </w:rPr>
        <w:t> </w:t>
      </w:r>
      <w:r>
        <w:rPr>
          <w:spacing w:val="-85"/>
        </w:rPr>
      </w:r>
      <w:r>
        <w:rPr>
          <w:spacing w:val="2"/>
        </w:rPr>
        <w:t>利润或现金股利于宣告分派时按照本集团应分得的部分，相应减少长期股权投资的账</w:t>
      </w:r>
      <w:r>
        <w:rPr>
          <w:spacing w:val="-85"/>
        </w:rPr>
        <w:t> </w:t>
      </w:r>
      <w:r>
        <w:rPr>
          <w:spacing w:val="-85"/>
        </w:rPr>
      </w:r>
      <w:r>
        <w:rPr>
          <w:spacing w:val="2"/>
        </w:rPr>
        <w:t>面价值。本集团与被投资单位之间未实现的内部交易损益按照持股比例计算归属于本</w:t>
      </w:r>
      <w:r>
        <w:rPr>
          <w:spacing w:val="-85"/>
        </w:rPr>
        <w:t> </w:t>
      </w:r>
      <w:r>
        <w:rPr>
          <w:spacing w:val="-85"/>
        </w:rPr>
      </w:r>
      <w:r>
        <w:rPr>
          <w:spacing w:val="2"/>
        </w:rPr>
        <w:t>集团的部分，予以抵销，在此基础上确认投资损益。本集团与被投资单位发生的内部</w:t>
      </w:r>
      <w:r>
        <w:rPr>
          <w:spacing w:val="-85"/>
        </w:rPr>
        <w:t> </w:t>
      </w:r>
      <w:r>
        <w:rPr>
          <w:spacing w:val="-85"/>
        </w:rPr>
      </w:r>
      <w:r>
        <w:rPr/>
        <w:t>交易损失，其中属于资产减值损失的部分，相应的未实现损失不予抵销。</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690"/>
        <w:jc w:val="left"/>
      </w:pPr>
      <w:r>
        <w:rPr>
          <w:rFonts w:ascii="Arial" w:hAnsi="Arial" w:cs="Arial" w:eastAsia="Arial" w:hint="default"/>
          <w:position w:val="2"/>
        </w:rPr>
        <w:t>(c)</w:t>
        <w:tab/>
      </w:r>
      <w:r>
        <w:rPr/>
        <w:t>其他长期股权投资</w:t>
      </w:r>
    </w:p>
    <w:p>
      <w:pPr>
        <w:spacing w:line="240" w:lineRule="auto" w:before="4"/>
        <w:rPr>
          <w:rFonts w:ascii="宋体" w:hAnsi="宋体" w:cs="宋体" w:eastAsia="宋体" w:hint="default"/>
          <w:sz w:val="23"/>
          <w:szCs w:val="23"/>
        </w:rPr>
      </w:pPr>
    </w:p>
    <w:p>
      <w:pPr>
        <w:pStyle w:val="BodyText"/>
        <w:spacing w:line="312" w:lineRule="exact"/>
        <w:ind w:left="812" w:right="128"/>
        <w:jc w:val="both"/>
      </w:pPr>
      <w:r>
        <w:rPr>
          <w:spacing w:val="2"/>
        </w:rPr>
        <w:t>其他本集团对被投资单位不具有控制、共同控制或重大影响，并且在活跃市场中没有</w:t>
      </w:r>
      <w:r>
        <w:rPr>
          <w:spacing w:val="-85"/>
        </w:rPr>
        <w:t> </w:t>
      </w:r>
      <w:r>
        <w:rPr>
          <w:spacing w:val="-85"/>
        </w:rPr>
      </w:r>
      <w:r>
        <w:rPr/>
        <w:t>报价、公允价值不能可靠计量的长期股权投资，采用成本法核算。</w:t>
      </w:r>
    </w:p>
    <w:p>
      <w:pPr>
        <w:spacing w:after="0" w:line="312" w:lineRule="exact"/>
        <w:jc w:val="both"/>
        <w:sectPr>
          <w:pgSz w:w="11910" w:h="16840"/>
          <w:pgMar w:header="826" w:footer="894" w:top="1100" w:bottom="108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0"/>
        <w:jc w:val="left"/>
      </w:pPr>
      <w:r>
        <w:rPr>
          <w:rFonts w:ascii="Arial" w:hAnsi="Arial" w:cs="Arial" w:eastAsia="Arial" w:hint="default"/>
          <w:w w:val="95"/>
          <w:position w:val="2"/>
        </w:rPr>
        <w:t>(9)</w:t>
        <w:tab/>
      </w:r>
      <w:r>
        <w:rPr/>
        <w:t>固定资产</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固定资产包括房屋及建筑物、机器设备、运输工具、电子设备以及其他设备等。购置</w:t>
      </w:r>
      <w:r>
        <w:rPr>
          <w:spacing w:val="-85"/>
        </w:rPr>
        <w:t> </w:t>
      </w:r>
      <w:r>
        <w:rPr>
          <w:spacing w:val="-85"/>
        </w:rPr>
      </w:r>
      <w:r>
        <w:rPr/>
        <w:t>或新建的固定资产按取得时的实际成本进行初始计量。</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与固定资产有关的后续支出，在相关的经济利益很可能流入本集团且其成本能够可靠</w:t>
      </w:r>
      <w:r>
        <w:rPr>
          <w:spacing w:val="-85"/>
        </w:rPr>
        <w:t> </w:t>
      </w:r>
      <w:r>
        <w:rPr>
          <w:spacing w:val="-85"/>
        </w:rPr>
      </w:r>
      <w:r>
        <w:rPr>
          <w:spacing w:val="2"/>
        </w:rPr>
        <w:t>的计量时，计入固定资产成本；对于被替换的部分，终止确认其账面价值；所有其他</w:t>
      </w:r>
      <w:r>
        <w:rPr>
          <w:spacing w:val="-85"/>
        </w:rPr>
        <w:t> </w:t>
      </w:r>
      <w:r>
        <w:rPr>
          <w:spacing w:val="-85"/>
        </w:rPr>
      </w:r>
      <w:r>
        <w:rPr/>
        <w:t>后续支出于发生时计入当期损益。</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固定资产折旧采用年限平均法并按其入账价值减去预计净残值后在预计使用寿命内计</w:t>
      </w:r>
      <w:r>
        <w:rPr>
          <w:spacing w:val="-85"/>
        </w:rPr>
        <w:t> </w:t>
      </w:r>
      <w:r>
        <w:rPr>
          <w:spacing w:val="-85"/>
        </w:rPr>
      </w:r>
      <w:r>
        <w:rPr>
          <w:spacing w:val="2"/>
        </w:rPr>
        <w:t>提。对计提了减值准备的固定资产，则在未来期间按扣除减值准备后的账面价值及依</w:t>
      </w:r>
      <w:r>
        <w:rPr>
          <w:spacing w:val="-85"/>
        </w:rPr>
        <w:t> </w:t>
      </w:r>
      <w:r>
        <w:rPr>
          <w:spacing w:val="-85"/>
        </w:rPr>
      </w:r>
      <w:r>
        <w:rPr/>
        <w:t>据尚可使用年限确定折旧额。</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固定资产的预计使用寿命、净残值率及年折旧率列示如下：</w:t>
      </w:r>
    </w:p>
    <w:p>
      <w:pPr>
        <w:spacing w:line="240" w:lineRule="auto" w:before="12"/>
        <w:rPr>
          <w:rFonts w:ascii="宋体" w:hAnsi="宋体" w:cs="宋体" w:eastAsia="宋体" w:hint="default"/>
          <w:sz w:val="18"/>
          <w:szCs w:val="18"/>
        </w:rPr>
      </w:pPr>
    </w:p>
    <w:tbl>
      <w:tblPr>
        <w:tblW w:w="0" w:type="auto"/>
        <w:jc w:val="left"/>
        <w:tblInd w:w="776" w:type="dxa"/>
        <w:tblLayout w:type="fixed"/>
        <w:tblCellMar>
          <w:top w:w="0" w:type="dxa"/>
          <w:left w:w="0" w:type="dxa"/>
          <w:bottom w:w="0" w:type="dxa"/>
          <w:right w:w="0" w:type="dxa"/>
        </w:tblCellMar>
        <w:tblLook w:val="01E0"/>
      </w:tblPr>
      <w:tblGrid>
        <w:gridCol w:w="2597"/>
        <w:gridCol w:w="2754"/>
        <w:gridCol w:w="1790"/>
        <w:gridCol w:w="1854"/>
      </w:tblGrid>
      <w:tr>
        <w:trPr>
          <w:trHeight w:val="96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21" w:right="0"/>
              <w:jc w:val="left"/>
              <w:rPr>
                <w:rFonts w:ascii="宋体" w:hAnsi="宋体" w:cs="宋体" w:eastAsia="宋体" w:hint="default"/>
                <w:sz w:val="24"/>
                <w:szCs w:val="24"/>
              </w:rPr>
            </w:pPr>
            <w:r>
              <w:rPr>
                <w:rFonts w:ascii="宋体" w:hAnsi="宋体" w:cs="宋体" w:eastAsia="宋体" w:hint="default"/>
                <w:sz w:val="24"/>
                <w:szCs w:val="24"/>
              </w:rPr>
              <w:t>预计使用寿命</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2"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1" w:right="0"/>
              <w:jc w:val="left"/>
              <w:rPr>
                <w:rFonts w:ascii="宋体" w:hAnsi="宋体" w:cs="宋体" w:eastAsia="宋体" w:hint="default"/>
                <w:sz w:val="24"/>
                <w:szCs w:val="24"/>
              </w:rPr>
            </w:pPr>
            <w:r>
              <w:rPr>
                <w:rFonts w:ascii="宋体" w:hAnsi="宋体" w:cs="宋体" w:eastAsia="宋体" w:hint="default"/>
                <w:sz w:val="24"/>
                <w:szCs w:val="24"/>
              </w:rPr>
              <w:t>预计净残值率</w:t>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8" w:right="0"/>
              <w:jc w:val="left"/>
              <w:rPr>
                <w:rFonts w:ascii="宋体" w:hAnsi="宋体" w:cs="宋体" w:eastAsia="宋体" w:hint="default"/>
                <w:sz w:val="24"/>
                <w:szCs w:val="24"/>
              </w:rPr>
            </w:pPr>
            <w:r>
              <w:rPr>
                <w:rFonts w:ascii="宋体" w:hAnsi="宋体" w:cs="宋体" w:eastAsia="宋体" w:hint="default"/>
                <w:sz w:val="24"/>
                <w:szCs w:val="24"/>
              </w:rPr>
              <w:t>年折旧率</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8" w:right="0"/>
              <w:jc w:val="lef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70"/>
                <w:sz w:val="24"/>
                <w:szCs w:val="24"/>
              </w:rPr>
              <w:t> </w:t>
            </w:r>
            <w:r>
              <w:rPr>
                <w:rFonts w:ascii="Arial" w:hAnsi="Arial" w:cs="Arial" w:eastAsia="Arial" w:hint="default"/>
                <w:sz w:val="24"/>
                <w:szCs w:val="24"/>
              </w:rPr>
              <w:t>4.85%</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9.70%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r>
        <w:trPr>
          <w:trHeight w:val="38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185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bl>
    <w:p>
      <w:pPr>
        <w:spacing w:line="240" w:lineRule="auto" w:before="5"/>
        <w:rPr>
          <w:rFonts w:ascii="宋体" w:hAnsi="宋体" w:cs="宋体" w:eastAsia="宋体" w:hint="default"/>
          <w:sz w:val="10"/>
          <w:szCs w:val="10"/>
        </w:rPr>
      </w:pPr>
    </w:p>
    <w:p>
      <w:pPr>
        <w:pStyle w:val="BodyText"/>
        <w:spacing w:line="312" w:lineRule="exact" w:before="56"/>
        <w:ind w:left="812" w:right="108"/>
        <w:jc w:val="both"/>
      </w:pPr>
      <w:r>
        <w:rPr>
          <w:spacing w:val="2"/>
        </w:rPr>
        <w:t>于每年年度终了，对固定资产的预计使用寿命、预计净残值和折旧方法进行复核并作</w:t>
      </w:r>
      <w:r>
        <w:rPr>
          <w:spacing w:val="-85"/>
        </w:rPr>
        <w:t> </w:t>
      </w:r>
      <w:r>
        <w:rPr>
          <w:spacing w:val="-85"/>
        </w:rPr>
      </w:r>
      <w:r>
        <w:rPr/>
        <w:t>适当调整。</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符合持有待售条件的固定资产，以账面价值与公允价值减去处置费用孰低的金额列示</w:t>
      </w:r>
      <w:r>
        <w:rPr>
          <w:spacing w:val="-85"/>
        </w:rPr>
        <w:t> </w:t>
      </w:r>
      <w:r>
        <w:rPr>
          <w:spacing w:val="-85"/>
        </w:rPr>
      </w:r>
      <w:r>
        <w:rPr>
          <w:spacing w:val="2"/>
        </w:rPr>
        <w:t>为其他流动资产。公允价值减去处置费用低于原账面价值的金额，确认为资产减值损</w:t>
      </w:r>
      <w:r>
        <w:rPr>
          <w:spacing w:val="-85"/>
        </w:rPr>
        <w:t> </w:t>
      </w:r>
      <w:r>
        <w:rPr>
          <w:spacing w:val="-85"/>
        </w:rPr>
      </w:r>
      <w:r>
        <w:rPr/>
        <w:t>失。</w:t>
      </w:r>
    </w:p>
    <w:p>
      <w:pPr>
        <w:spacing w:line="240" w:lineRule="auto" w:before="1"/>
        <w:rPr>
          <w:rFonts w:ascii="宋体" w:hAnsi="宋体" w:cs="宋体" w:eastAsia="宋体" w:hint="default"/>
          <w:sz w:val="21"/>
          <w:szCs w:val="21"/>
        </w:rPr>
      </w:pPr>
    </w:p>
    <w:p>
      <w:pPr>
        <w:pStyle w:val="BodyText"/>
        <w:spacing w:line="312" w:lineRule="exact"/>
        <w:ind w:left="811" w:right="108"/>
        <w:jc w:val="both"/>
      </w:pPr>
      <w:r>
        <w:rPr>
          <w:spacing w:val="2"/>
        </w:rPr>
        <w:t>当固定资产被处置、或者预期通过使用或处置不能产生经济利益时，终止确认该固定</w:t>
      </w:r>
      <w:r>
        <w:rPr>
          <w:spacing w:val="-85"/>
        </w:rPr>
        <w:t> </w:t>
      </w:r>
      <w:r>
        <w:rPr>
          <w:spacing w:val="-85"/>
        </w:rPr>
      </w:r>
      <w:r>
        <w:rPr>
          <w:spacing w:val="2"/>
        </w:rPr>
        <w:t>资产。固定资产出售、转让、报废或毁损的处置收入扣除其账面价值和相关税费后的</w:t>
      </w:r>
      <w:r>
        <w:rPr>
          <w:spacing w:val="-85"/>
        </w:rPr>
        <w:t> </w:t>
      </w:r>
      <w:r>
        <w:rPr>
          <w:spacing w:val="-85"/>
        </w:rPr>
      </w:r>
      <w:r>
        <w:rPr/>
        <w:t>金额计入当期损益。</w:t>
      </w:r>
    </w:p>
    <w:p>
      <w:pPr>
        <w:spacing w:after="0" w:line="312" w:lineRule="exact"/>
        <w:jc w:val="both"/>
        <w:sectPr>
          <w:pgSz w:w="11910" w:h="16840"/>
          <w:pgMar w:header="826" w:footer="894" w:top="1100" w:bottom="1080" w:left="940" w:right="104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92"/>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92"/>
        <w:jc w:val="left"/>
      </w:pPr>
      <w:r>
        <w:rPr>
          <w:rFonts w:ascii="Arial" w:hAnsi="Arial" w:cs="Arial" w:eastAsia="Arial" w:hint="default"/>
          <w:w w:val="95"/>
          <w:position w:val="2"/>
        </w:rPr>
        <w:t>(10)</w:t>
        <w:tab/>
      </w:r>
      <w:r>
        <w:rPr/>
        <w:t>在建工程</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在建工程按实际发生的成本计量。实际成本包括建筑费用、其他为使在建工程达到预</w:t>
      </w:r>
      <w:r>
        <w:rPr>
          <w:spacing w:val="-85"/>
        </w:rPr>
        <w:t> </w:t>
      </w:r>
      <w:r>
        <w:rPr>
          <w:spacing w:val="-85"/>
        </w:rPr>
      </w:r>
      <w:r>
        <w:rPr>
          <w:spacing w:val="2"/>
        </w:rPr>
        <w:t>定可使用状态所发生的必要支出以及在资产达到预定可使用状态之前所发生的符合资</w:t>
      </w:r>
      <w:r>
        <w:rPr>
          <w:spacing w:val="-85"/>
        </w:rPr>
        <w:t> </w:t>
      </w:r>
      <w:r>
        <w:rPr>
          <w:spacing w:val="-85"/>
        </w:rPr>
      </w:r>
      <w:r>
        <w:rPr>
          <w:spacing w:val="2"/>
        </w:rPr>
        <w:t>本化条件的借款费用。在建工程在达到预定可使用状态时，转入固定资产并自次月起</w:t>
      </w:r>
      <w:r>
        <w:rPr>
          <w:spacing w:val="-85"/>
        </w:rPr>
        <w:t> </w:t>
      </w:r>
      <w:r>
        <w:rPr>
          <w:spacing w:val="-85"/>
        </w:rPr>
      </w:r>
      <w:r>
        <w:rPr/>
        <w:t>开始计提折旧。</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spacing w:val="-5"/>
          <w:position w:val="2"/>
        </w:rPr>
        <w:t>(11)</w:t>
        <w:tab/>
      </w:r>
      <w:r>
        <w:rPr/>
        <w:t>无形资产</w:t>
      </w:r>
    </w:p>
    <w:p>
      <w:pPr>
        <w:spacing w:line="240" w:lineRule="auto" w:before="12"/>
        <w:rPr>
          <w:rFonts w:ascii="宋体" w:hAnsi="宋体" w:cs="宋体" w:eastAsia="宋体" w:hint="default"/>
          <w:sz w:val="20"/>
          <w:szCs w:val="20"/>
        </w:rPr>
      </w:pPr>
    </w:p>
    <w:p>
      <w:pPr>
        <w:pStyle w:val="BodyText"/>
        <w:spacing w:line="240" w:lineRule="auto"/>
        <w:ind w:left="812" w:right="0"/>
        <w:jc w:val="both"/>
      </w:pPr>
      <w:r>
        <w:rPr/>
        <w:t>无形资产包括土地使用权、软件及优惠承租权等。</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92"/>
        <w:jc w:val="left"/>
      </w:pPr>
      <w:r>
        <w:rPr>
          <w:rFonts w:ascii="Arial" w:hAnsi="Arial" w:cs="Arial" w:eastAsia="Arial" w:hint="default"/>
          <w:w w:val="95"/>
          <w:position w:val="2"/>
        </w:rPr>
        <w:t>(a)</w:t>
        <w:tab/>
      </w:r>
      <w:r>
        <w:rPr/>
        <w:t>土地使用权</w:t>
      </w:r>
    </w:p>
    <w:p>
      <w:pPr>
        <w:spacing w:line="240" w:lineRule="auto" w:before="4"/>
        <w:rPr>
          <w:rFonts w:ascii="宋体" w:hAnsi="宋体" w:cs="宋体" w:eastAsia="宋体" w:hint="default"/>
          <w:sz w:val="23"/>
          <w:szCs w:val="23"/>
        </w:rPr>
      </w:pPr>
    </w:p>
    <w:p>
      <w:pPr>
        <w:pStyle w:val="BodyText"/>
        <w:spacing w:line="312" w:lineRule="exact"/>
        <w:ind w:left="812" w:right="231"/>
        <w:jc w:val="both"/>
      </w:pPr>
      <w:r>
        <w:rPr/>
        <w:t>土地使用权以实际成本计量，按使用年限</w:t>
      </w:r>
      <w:r>
        <w:rPr>
          <w:rFonts w:ascii="Arial" w:hAnsi="Arial" w:cs="Arial" w:eastAsia="Arial" w:hint="default"/>
        </w:rPr>
        <w:t>(40 - 50</w:t>
      </w:r>
      <w:r>
        <w:rPr>
          <w:rFonts w:ascii="Arial" w:hAnsi="Arial" w:cs="Arial" w:eastAsia="Arial" w:hint="default"/>
          <w:spacing w:val="-43"/>
        </w:rPr>
        <w:t> </w:t>
      </w:r>
      <w:r>
        <w:rPr/>
        <w:t>年</w:t>
      </w:r>
      <w:r>
        <w:rPr>
          <w:rFonts w:ascii="Arial" w:hAnsi="Arial" w:cs="Arial" w:eastAsia="Arial" w:hint="default"/>
        </w:rPr>
        <w:t>)</w:t>
      </w:r>
      <w:r>
        <w:rPr/>
        <w:t>平均摊销。外购土地及建筑物的</w:t>
      </w:r>
      <w:r>
        <w:rPr>
          <w:spacing w:val="-1"/>
        </w:rPr>
        <w:t> </w:t>
      </w:r>
      <w:r>
        <w:rPr/>
        <w:t>价款难以在土地使用权与建筑物之间合理分配的，全部作为固定资产。</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(b)</w:t>
        <w:tab/>
      </w:r>
      <w:r>
        <w:rPr/>
        <w:t>软件</w:t>
      </w:r>
    </w:p>
    <w:p>
      <w:pPr>
        <w:spacing w:line="240" w:lineRule="auto" w:before="12"/>
        <w:rPr>
          <w:rFonts w:ascii="宋体" w:hAnsi="宋体" w:cs="宋体" w:eastAsia="宋体" w:hint="default"/>
          <w:sz w:val="20"/>
          <w:szCs w:val="20"/>
        </w:rPr>
      </w:pPr>
    </w:p>
    <w:p>
      <w:pPr>
        <w:pStyle w:val="BodyText"/>
        <w:spacing w:line="240" w:lineRule="auto"/>
        <w:ind w:left="812" w:right="0"/>
        <w:jc w:val="both"/>
      </w:pPr>
      <w:r>
        <w:rPr/>
        <w:t>软件以实际成本计量，按预计使用年限</w:t>
      </w:r>
      <w:r>
        <w:rPr>
          <w:spacing w:val="-60"/>
        </w:rPr>
        <w:t> </w:t>
      </w:r>
      <w:r>
        <w:rPr>
          <w:rFonts w:ascii="Arial" w:hAnsi="Arial" w:cs="Arial" w:eastAsia="Arial" w:hint="default"/>
        </w:rPr>
        <w:t>5</w:t>
      </w:r>
      <w:r>
        <w:rPr>
          <w:rFonts w:ascii="Arial" w:hAnsi="Arial" w:cs="Arial" w:eastAsia="Arial" w:hint="default"/>
          <w:spacing w:val="-7"/>
        </w:rPr>
        <w:t> </w:t>
      </w:r>
      <w:r>
        <w:rPr/>
        <w:t>年平均摊销。</w:t>
      </w:r>
    </w:p>
    <w:p>
      <w:pPr>
        <w:spacing w:line="240" w:lineRule="auto" w:before="8"/>
        <w:rPr>
          <w:rFonts w:ascii="宋体" w:hAnsi="宋体" w:cs="宋体" w:eastAsia="宋体" w:hint="default"/>
          <w:sz w:val="19"/>
          <w:szCs w:val="19"/>
        </w:rPr>
      </w:pPr>
    </w:p>
    <w:p>
      <w:pPr>
        <w:pStyle w:val="BodyText"/>
        <w:tabs>
          <w:tab w:pos="811" w:val="left" w:leader="none"/>
        </w:tabs>
        <w:spacing w:line="240" w:lineRule="auto"/>
        <w:ind w:left="102" w:right="92"/>
        <w:jc w:val="left"/>
      </w:pPr>
      <w:r>
        <w:rPr>
          <w:rFonts w:ascii="Arial" w:hAnsi="Arial" w:cs="Arial" w:eastAsia="Arial" w:hint="default"/>
          <w:position w:val="2"/>
        </w:rPr>
        <w:t>(c)</w:t>
        <w:tab/>
      </w:r>
      <w:r>
        <w:rPr/>
        <w:t>优惠承租权</w:t>
      </w:r>
    </w:p>
    <w:p>
      <w:pPr>
        <w:spacing w:line="240" w:lineRule="auto" w:before="4"/>
        <w:rPr>
          <w:rFonts w:ascii="宋体" w:hAnsi="宋体" w:cs="宋体" w:eastAsia="宋体" w:hint="default"/>
          <w:sz w:val="23"/>
          <w:szCs w:val="23"/>
        </w:rPr>
      </w:pPr>
    </w:p>
    <w:p>
      <w:pPr>
        <w:pStyle w:val="BodyText"/>
        <w:spacing w:line="312" w:lineRule="exact"/>
        <w:ind w:left="812" w:right="92"/>
        <w:jc w:val="left"/>
      </w:pPr>
      <w:r>
        <w:rPr>
          <w:spacing w:val="2"/>
        </w:rPr>
        <w:t>优惠承租权是在业务合并过程中确认的无形资产，系本集团由于承接低于市场价格的</w:t>
      </w:r>
      <w:r>
        <w:rPr>
          <w:spacing w:val="-85"/>
        </w:rPr>
        <w:t> </w:t>
      </w:r>
      <w:r>
        <w:rPr>
          <w:spacing w:val="-85"/>
        </w:rPr>
      </w:r>
      <w:r>
        <w:rPr/>
        <w:t>租约而支付的对价。优惠承租权以公允价值入账，并按其预计受益期间分期平均摊销。</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(d)</w:t>
        <w:tab/>
      </w:r>
      <w:r>
        <w:rPr/>
        <w:t>定期复核使用寿命和摊销方法</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对使用寿命有限的无形资产的预计使用寿命及摊销方法于每年年度终了进行复核并作</w:t>
      </w:r>
      <w:r>
        <w:rPr>
          <w:spacing w:val="-85"/>
        </w:rPr>
        <w:t> </w:t>
      </w:r>
      <w:r>
        <w:rPr>
          <w:spacing w:val="-85"/>
        </w:rPr>
      </w:r>
      <w:r>
        <w:rPr/>
        <w:t>适当调整。</w:t>
      </w:r>
    </w:p>
    <w:p>
      <w:pPr>
        <w:spacing w:after="0" w:line="312" w:lineRule="exact"/>
        <w:jc w:val="both"/>
        <w:sectPr>
          <w:footerReference w:type="default" r:id="rId16"/>
          <w:pgSz w:w="11910" w:h="16840"/>
          <w:pgMar w:footer="894" w:header="826" w:top="1100" w:bottom="1080" w:left="940" w:right="9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0"/>
        <w:jc w:val="left"/>
      </w:pPr>
      <w:r>
        <w:rPr>
          <w:rFonts w:ascii="Arial" w:hAnsi="Arial" w:cs="Arial" w:eastAsia="Arial" w:hint="default"/>
          <w:w w:val="95"/>
          <w:position w:val="2"/>
        </w:rPr>
        <w:t>(12)</w:t>
        <w:tab/>
      </w:r>
      <w:r>
        <w:rPr/>
        <w:t>研究与开发</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本集团开展系统软件的研究与开发。根据内部研究开发项目支出的性质以及研发活动</w:t>
      </w:r>
      <w:r>
        <w:rPr>
          <w:spacing w:val="-85"/>
        </w:rPr>
        <w:t> </w:t>
      </w:r>
      <w:r>
        <w:rPr>
          <w:spacing w:val="-85"/>
        </w:rPr>
      </w:r>
      <w:r>
        <w:rPr/>
        <w:t>最终形成无形资产是否具有较大不确定性，分为研究阶段支出和开发阶段支出。</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研究阶段的支出，于发生时计入当期损益；开发阶段的支出，同时满足下列条件的，</w:t>
      </w:r>
      <w:r>
        <w:rPr>
          <w:spacing w:val="-85"/>
        </w:rPr>
        <w:t> </w:t>
      </w:r>
      <w:r>
        <w:rPr>
          <w:spacing w:val="-85"/>
        </w:rPr>
      </w:r>
      <w:r>
        <w:rPr/>
        <w:t>确认为无形资产：</w:t>
      </w:r>
    </w:p>
    <w:p>
      <w:pPr>
        <w:spacing w:line="240" w:lineRule="auto" w:before="10"/>
        <w:rPr>
          <w:rFonts w:ascii="宋体" w:hAnsi="宋体" w:cs="宋体" w:eastAsia="宋体" w:hint="default"/>
          <w:sz w:val="18"/>
          <w:szCs w:val="18"/>
        </w:rPr>
      </w:pPr>
    </w:p>
    <w:p>
      <w:pPr>
        <w:pStyle w:val="BodyText"/>
        <w:spacing w:line="323" w:lineRule="exact"/>
        <w:ind w:left="845"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完成该无形资产以使其能够使用或出售在技术上具有可行性。</w:t>
      </w:r>
    </w:p>
    <w:p>
      <w:pPr>
        <w:pStyle w:val="BodyText"/>
        <w:spacing w:line="312" w:lineRule="exact"/>
        <w:ind w:left="845"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管理层具有完成该无形资产并使用或出售的意图。</w:t>
      </w:r>
    </w:p>
    <w:p>
      <w:pPr>
        <w:pStyle w:val="BodyText"/>
        <w:spacing w:line="312" w:lineRule="exact"/>
        <w:ind w:left="845"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能够证明该无形资产将如何产生经济利益。</w:t>
      </w:r>
    </w:p>
    <w:p>
      <w:pPr>
        <w:pStyle w:val="BodyText"/>
        <w:spacing w:line="312" w:lineRule="exact" w:before="20"/>
        <w:ind w:left="1130" w:right="0" w:hanging="285"/>
        <w:jc w:val="left"/>
      </w:pPr>
      <w:r>
        <w:rPr>
          <w:rFonts w:ascii="Symbol" w:hAnsi="Symbol" w:cs="Symbol" w:eastAsia="Symbol" w:hint="default"/>
        </w:rPr>
        <w:t></w:t>
      </w:r>
      <w:r>
        <w:rPr>
          <w:rFonts w:ascii="Symbol" w:hAnsi="Symbol" w:cs="Symbol" w:eastAsia="Symbol" w:hint="default"/>
          <w:spacing w:val="27"/>
        </w:rPr>
        <w:t></w:t>
      </w:r>
      <w:r>
        <w:rPr>
          <w:rFonts w:ascii="Times New Roman" w:hAnsi="Times New Roman" w:cs="Times New Roman" w:eastAsia="Times New Roman" w:hint="default"/>
          <w:spacing w:val="27"/>
        </w:rPr>
      </w:r>
      <w:r>
        <w:rPr/>
        <w:t>有足够的技术、财务资源和其他资源支持，以完成该无形资产的开发，并有能力使</w:t>
      </w:r>
      <w:r>
        <w:rPr>
          <w:spacing w:val="-118"/>
        </w:rPr>
        <w:t> </w:t>
      </w:r>
      <w:r>
        <w:rPr/>
        <w:t>用或出售该无形资产。</w:t>
      </w:r>
    </w:p>
    <w:p>
      <w:pPr>
        <w:pStyle w:val="BodyText"/>
        <w:spacing w:line="302" w:lineRule="exact"/>
        <w:ind w:left="845"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归属于该无形资产开发阶段的支出能够可靠地计量。</w:t>
      </w:r>
    </w:p>
    <w:p>
      <w:pPr>
        <w:spacing w:line="240" w:lineRule="auto" w:before="11"/>
        <w:rPr>
          <w:rFonts w:ascii="宋体" w:hAnsi="宋体" w:cs="宋体" w:eastAsia="宋体" w:hint="default"/>
          <w:sz w:val="21"/>
          <w:szCs w:val="21"/>
        </w:rPr>
      </w:pPr>
    </w:p>
    <w:p>
      <w:pPr>
        <w:pStyle w:val="BodyText"/>
        <w:spacing w:line="312" w:lineRule="exact"/>
        <w:ind w:left="812" w:right="108"/>
        <w:jc w:val="both"/>
      </w:pPr>
      <w:r>
        <w:rPr>
          <w:spacing w:val="2"/>
        </w:rPr>
        <w:t>不满足上述条件的开发阶段的支出，于发生时计入当期损益。以前期间已计入损益的</w:t>
      </w:r>
      <w:r>
        <w:rPr>
          <w:spacing w:val="-85"/>
        </w:rPr>
        <w:t> </w:t>
      </w:r>
      <w:r>
        <w:rPr>
          <w:spacing w:val="-85"/>
        </w:rPr>
      </w:r>
      <w:r>
        <w:rPr>
          <w:spacing w:val="2"/>
        </w:rPr>
        <w:t>开发支出不在以后期间重新确认为资产。已资本化的开发阶段的支出在资产负债表上</w:t>
      </w:r>
      <w:r>
        <w:rPr>
          <w:spacing w:val="-85"/>
        </w:rPr>
        <w:t> </w:t>
      </w:r>
      <w:r>
        <w:rPr>
          <w:spacing w:val="-85"/>
        </w:rPr>
      </w:r>
      <w:r>
        <w:rPr/>
        <w:t>列示为开发支出，自该项目达到预定可使用状态之日起转为无形资产。</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0"/>
        <w:jc w:val="left"/>
      </w:pPr>
      <w:r>
        <w:rPr>
          <w:rFonts w:ascii="Arial" w:hAnsi="Arial" w:cs="Arial" w:eastAsia="Arial" w:hint="default"/>
          <w:w w:val="95"/>
          <w:position w:val="2"/>
        </w:rPr>
        <w:t>(13)</w:t>
        <w:tab/>
      </w:r>
      <w:r>
        <w:rPr/>
        <w:t>长期待摊费用</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长期待摊费用包括经营租入固定资产改良、水电设施使用费及其他已经发生但应由本</w:t>
      </w:r>
      <w:r>
        <w:rPr>
          <w:spacing w:val="-85"/>
        </w:rPr>
        <w:t> </w:t>
      </w:r>
      <w:r>
        <w:rPr>
          <w:spacing w:val="-85"/>
        </w:rPr>
      </w:r>
      <w:r>
        <w:rPr>
          <w:spacing w:val="2"/>
        </w:rPr>
        <w:t>期和以后各期负担的、分摊期限在一年以上的各项费用，按预计受益期间分期平均摊</w:t>
      </w:r>
      <w:r>
        <w:rPr>
          <w:spacing w:val="-85"/>
        </w:rPr>
        <w:t> </w:t>
      </w:r>
      <w:r>
        <w:rPr>
          <w:spacing w:val="-85"/>
        </w:rPr>
      </w:r>
      <w:r>
        <w:rPr/>
        <w:t>销，并以实际支出减去累计摊销后的净额列示。</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0"/>
        <w:jc w:val="left"/>
      </w:pPr>
      <w:r>
        <w:rPr>
          <w:rFonts w:ascii="Arial" w:hAnsi="Arial" w:cs="Arial" w:eastAsia="Arial" w:hint="default"/>
          <w:w w:val="95"/>
          <w:position w:val="2"/>
        </w:rPr>
        <w:t>(14)</w:t>
        <w:tab/>
      </w:r>
      <w:r>
        <w:rPr/>
        <w:t>长期资产减值</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固定资产、在建工程、使用寿命有限的无形资产及对子公司、合营企业的长期股权投</w:t>
      </w:r>
      <w:r>
        <w:rPr>
          <w:spacing w:val="-85"/>
        </w:rPr>
        <w:t> </w:t>
      </w:r>
      <w:r>
        <w:rPr>
          <w:spacing w:val="-85"/>
        </w:rPr>
      </w:r>
      <w:r>
        <w:rPr>
          <w:spacing w:val="2"/>
        </w:rPr>
        <w:t>资等，于资产负债表日存在减值迹象的，进行减值测试。减值测试结果表明资产的可</w:t>
      </w:r>
      <w:r>
        <w:rPr>
          <w:spacing w:val="-85"/>
        </w:rPr>
        <w:t> </w:t>
      </w:r>
      <w:r>
        <w:rPr>
          <w:spacing w:val="-85"/>
        </w:rPr>
      </w:r>
      <w:r>
        <w:rPr>
          <w:spacing w:val="2"/>
        </w:rPr>
        <w:t>收回金额低于其账面价值的，按其差额计提减值准备并计入减值损失。可收回金额为</w:t>
      </w:r>
      <w:r>
        <w:rPr>
          <w:spacing w:val="-85"/>
        </w:rPr>
        <w:t> </w:t>
      </w:r>
      <w:r>
        <w:rPr>
          <w:spacing w:val="-85"/>
        </w:rPr>
      </w:r>
      <w:r>
        <w:rPr>
          <w:spacing w:val="2"/>
        </w:rPr>
        <w:t>资产的公允价值减去处置费用后的净额与资产预计未来现金流量的现值两者之间的较</w:t>
      </w:r>
      <w:r>
        <w:rPr>
          <w:spacing w:val="-85"/>
        </w:rPr>
        <w:t> </w:t>
      </w:r>
      <w:r>
        <w:rPr>
          <w:spacing w:val="-85"/>
        </w:rPr>
      </w:r>
      <w:r>
        <w:rPr>
          <w:spacing w:val="2"/>
        </w:rPr>
        <w:t>高者。资产减值准备按单项资产为基础计算并确认，如果难以对单项资产的可收回金</w:t>
      </w:r>
      <w:r>
        <w:rPr>
          <w:spacing w:val="-85"/>
        </w:rPr>
        <w:t> </w:t>
      </w:r>
      <w:r>
        <w:rPr>
          <w:spacing w:val="-85"/>
        </w:rPr>
      </w:r>
      <w:r>
        <w:rPr>
          <w:spacing w:val="2"/>
        </w:rPr>
        <w:t>额进行估计的，以该资产所属的资产组确定资产组的可收回金额。资产组是能够独立</w:t>
      </w:r>
      <w:r>
        <w:rPr>
          <w:spacing w:val="-85"/>
        </w:rPr>
        <w:t> </w:t>
      </w:r>
      <w:r>
        <w:rPr>
          <w:spacing w:val="-85"/>
        </w:rPr>
      </w:r>
      <w:r>
        <w:rPr/>
        <w:t>产生现金流入的最小资产组合。</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上述资产减值损失一经确认，以后期间不予转回价值得以恢复的部分。</w:t>
      </w:r>
    </w:p>
    <w:p>
      <w:pPr>
        <w:spacing w:after="0" w:line="240" w:lineRule="auto"/>
        <w:jc w:val="both"/>
        <w:sectPr>
          <w:footerReference w:type="default" r:id="rId17"/>
          <w:pgSz w:w="11910" w:h="16840"/>
          <w:pgMar w:footer="894" w:header="826" w:top="1100" w:bottom="1080" w:left="940" w:right="1040"/>
          <w:pgNumType w:start="101"/>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0"/>
        <w:jc w:val="left"/>
      </w:pPr>
      <w:r>
        <w:rPr>
          <w:rFonts w:ascii="Arial" w:hAnsi="Arial" w:cs="Arial" w:eastAsia="Arial" w:hint="default"/>
          <w:w w:val="95"/>
          <w:position w:val="2"/>
        </w:rPr>
        <w:t>(15)</w:t>
        <w:tab/>
      </w:r>
      <w:r>
        <w:rPr/>
        <w:t>借款费用</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发生的可直接归属于需要经过相当长时间的购建活动才能达到预定可使用状态之固定</w:t>
      </w:r>
      <w:r>
        <w:rPr>
          <w:spacing w:val="-85"/>
        </w:rPr>
        <w:t> </w:t>
      </w:r>
      <w:r>
        <w:rPr>
          <w:spacing w:val="-85"/>
        </w:rPr>
      </w:r>
      <w:r>
        <w:rPr>
          <w:spacing w:val="2"/>
        </w:rPr>
        <w:t>资产的购建的借款费用，在资产支出及借款费用已经发生、为使资产达到预定可使用</w:t>
      </w:r>
      <w:r>
        <w:rPr>
          <w:spacing w:val="-85"/>
        </w:rPr>
        <w:t> </w:t>
      </w:r>
      <w:r>
        <w:rPr>
          <w:spacing w:val="-85"/>
        </w:rPr>
      </w:r>
      <w:r>
        <w:rPr>
          <w:spacing w:val="2"/>
        </w:rPr>
        <w:t>状态所必要的购建活动已经开始时，开始资本化并计入该资产的成本。当购建的资产</w:t>
      </w:r>
      <w:r>
        <w:rPr>
          <w:spacing w:val="-85"/>
        </w:rPr>
        <w:t> </w:t>
      </w:r>
      <w:r>
        <w:rPr>
          <w:spacing w:val="-85"/>
        </w:rPr>
      </w:r>
      <w:r>
        <w:rPr>
          <w:spacing w:val="2"/>
        </w:rPr>
        <w:t>达到预定可使用状态时停止资本化，其后发生的借款费用计入当期损益。如果资产的</w:t>
      </w:r>
      <w:r>
        <w:rPr>
          <w:spacing w:val="-85"/>
        </w:rPr>
        <w:t> </w:t>
      </w:r>
      <w:r>
        <w:rPr>
          <w:spacing w:val="-85"/>
        </w:rPr>
      </w:r>
      <w:r>
        <w:rPr>
          <w:spacing w:val="-1"/>
        </w:rPr>
        <w:t>购建活动发生非正常中断，并且中断时间连续超过</w:t>
      </w:r>
      <w:r>
        <w:rPr>
          <w:rFonts w:ascii="Arial" w:hAnsi="Arial" w:cs="Arial" w:eastAsia="Arial" w:hint="default"/>
          <w:spacing w:val="-1"/>
        </w:rPr>
        <w:t>3</w:t>
      </w:r>
      <w:r>
        <w:rPr>
          <w:spacing w:val="-1"/>
        </w:rPr>
        <w:t>个月，暂停借款费用的资本化，直</w:t>
      </w:r>
      <w:r>
        <w:rPr>
          <w:spacing w:val="-99"/>
        </w:rPr>
        <w:t> </w:t>
      </w:r>
      <w:r>
        <w:rPr>
          <w:spacing w:val="-99"/>
        </w:rPr>
      </w:r>
      <w:r>
        <w:rPr/>
        <w:t>至资产的购建活动重新开始。</w:t>
      </w:r>
    </w:p>
    <w:p>
      <w:pPr>
        <w:spacing w:line="240" w:lineRule="auto" w:before="4"/>
        <w:rPr>
          <w:rFonts w:ascii="宋体" w:hAnsi="宋体" w:cs="宋体" w:eastAsia="宋体" w:hint="default"/>
          <w:sz w:val="19"/>
          <w:szCs w:val="19"/>
        </w:rPr>
      </w:pPr>
    </w:p>
    <w:p>
      <w:pPr>
        <w:tabs>
          <w:tab w:pos="811" w:val="left" w:leader="none"/>
        </w:tabs>
        <w:spacing w:before="0"/>
        <w:ind w:left="102" w:right="0" w:firstLine="0"/>
        <w:jc w:val="left"/>
        <w:rPr>
          <w:rFonts w:ascii="宋体" w:hAnsi="宋体" w:cs="宋体" w:eastAsia="宋体" w:hint="default"/>
          <w:sz w:val="21"/>
          <w:szCs w:val="21"/>
        </w:rPr>
      </w:pPr>
      <w:r>
        <w:rPr>
          <w:rFonts w:ascii="Arial" w:hAnsi="Arial" w:cs="Arial" w:eastAsia="Arial" w:hint="default"/>
          <w:w w:val="95"/>
          <w:sz w:val="24"/>
          <w:szCs w:val="24"/>
        </w:rPr>
        <w:t>(16)</w:t>
        <w:tab/>
      </w:r>
      <w:r>
        <w:rPr>
          <w:rFonts w:ascii="宋体" w:hAnsi="宋体" w:cs="宋体" w:eastAsia="宋体" w:hint="default"/>
          <w:position w:val="1"/>
          <w:sz w:val="21"/>
          <w:szCs w:val="21"/>
        </w:rPr>
        <w:t>借款</w:t>
      </w:r>
      <w:r>
        <w:rPr>
          <w:rFonts w:ascii="宋体" w:hAnsi="宋体" w:cs="宋体" w:eastAsia="宋体" w:hint="default"/>
          <w:sz w:val="21"/>
          <w:szCs w:val="21"/>
        </w:rPr>
      </w:r>
    </w:p>
    <w:p>
      <w:pPr>
        <w:spacing w:line="240" w:lineRule="auto" w:before="0"/>
        <w:rPr>
          <w:rFonts w:ascii="宋体" w:hAnsi="宋体" w:cs="宋体" w:eastAsia="宋体" w:hint="default"/>
          <w:sz w:val="24"/>
          <w:szCs w:val="24"/>
        </w:rPr>
      </w:pPr>
    </w:p>
    <w:p>
      <w:pPr>
        <w:pStyle w:val="BodyText"/>
        <w:spacing w:line="312" w:lineRule="exact" w:before="158"/>
        <w:ind w:left="811" w:right="108"/>
        <w:jc w:val="both"/>
      </w:pPr>
      <w:r>
        <w:rPr>
          <w:spacing w:val="2"/>
        </w:rPr>
        <w:t>借款按其公允价值扣除交易成本后的金额进行初始计量，并采用实际利率法按摊余成</w:t>
      </w:r>
      <w:r>
        <w:rPr>
          <w:spacing w:val="-85"/>
        </w:rPr>
        <w:t> </w:t>
      </w:r>
      <w:r>
        <w:rPr>
          <w:spacing w:val="-85"/>
        </w:rPr>
      </w:r>
      <w:r>
        <w:rPr>
          <w:spacing w:val="-2"/>
        </w:rPr>
        <w:t>本进行后续计量。借款期限在一年以下</w:t>
      </w:r>
      <w:r>
        <w:rPr>
          <w:rFonts w:ascii="Arial" w:hAnsi="Arial" w:cs="Arial" w:eastAsia="Arial" w:hint="default"/>
          <w:spacing w:val="-2"/>
        </w:rPr>
        <w:t>(</w:t>
      </w:r>
      <w:r>
        <w:rPr>
          <w:spacing w:val="-2"/>
        </w:rPr>
        <w:t>含一年</w:t>
      </w:r>
      <w:r>
        <w:rPr>
          <w:rFonts w:ascii="Arial" w:hAnsi="Arial" w:cs="Arial" w:eastAsia="Arial" w:hint="default"/>
          <w:spacing w:val="-2"/>
        </w:rPr>
        <w:t>)</w:t>
      </w:r>
      <w:r>
        <w:rPr>
          <w:spacing w:val="-2"/>
        </w:rPr>
        <w:t>的借款为短期借款，其余借款为长期借</w:t>
      </w:r>
      <w:r>
        <w:rPr>
          <w:spacing w:val="-84"/>
        </w:rPr>
        <w:t> </w:t>
      </w:r>
      <w:r>
        <w:rPr>
          <w:spacing w:val="-84"/>
        </w:rPr>
      </w:r>
      <w:r>
        <w:rPr/>
        <w:t>款。</w:t>
      </w:r>
    </w:p>
    <w:p>
      <w:pPr>
        <w:spacing w:line="240" w:lineRule="auto" w:before="10"/>
        <w:rPr>
          <w:rFonts w:ascii="宋体" w:hAnsi="宋体" w:cs="宋体" w:eastAsia="宋体" w:hint="default"/>
          <w:sz w:val="25"/>
          <w:szCs w:val="25"/>
        </w:rPr>
      </w:pPr>
    </w:p>
    <w:p>
      <w:pPr>
        <w:tabs>
          <w:tab w:pos="811" w:val="left" w:leader="none"/>
        </w:tabs>
        <w:spacing w:before="0"/>
        <w:ind w:left="102" w:right="0" w:firstLine="0"/>
        <w:jc w:val="left"/>
        <w:rPr>
          <w:rFonts w:ascii="宋体" w:hAnsi="宋体" w:cs="宋体" w:eastAsia="宋体" w:hint="default"/>
          <w:sz w:val="21"/>
          <w:szCs w:val="21"/>
        </w:rPr>
      </w:pPr>
      <w:r>
        <w:rPr>
          <w:rFonts w:ascii="Arial" w:hAnsi="Arial" w:cs="Arial" w:eastAsia="Arial" w:hint="default"/>
          <w:w w:val="95"/>
          <w:sz w:val="24"/>
          <w:szCs w:val="24"/>
        </w:rPr>
        <w:t>(17)</w:t>
        <w:tab/>
      </w:r>
      <w:r>
        <w:rPr>
          <w:rFonts w:ascii="宋体" w:hAnsi="宋体" w:cs="宋体" w:eastAsia="宋体" w:hint="default"/>
          <w:position w:val="1"/>
          <w:sz w:val="21"/>
          <w:szCs w:val="21"/>
        </w:rPr>
        <w:t>职工薪酬</w:t>
      </w:r>
      <w:r>
        <w:rPr>
          <w:rFonts w:ascii="宋体" w:hAnsi="宋体" w:cs="宋体" w:eastAsia="宋体" w:hint="default"/>
          <w:sz w:val="21"/>
          <w:szCs w:val="21"/>
        </w:rPr>
      </w:r>
    </w:p>
    <w:p>
      <w:pPr>
        <w:spacing w:line="240" w:lineRule="auto" w:before="2"/>
        <w:rPr>
          <w:rFonts w:ascii="宋体" w:hAnsi="宋体" w:cs="宋体" w:eastAsia="宋体" w:hint="default"/>
          <w:sz w:val="34"/>
          <w:szCs w:val="34"/>
        </w:rPr>
      </w:pPr>
    </w:p>
    <w:p>
      <w:pPr>
        <w:spacing w:before="0"/>
        <w:ind w:left="811" w:right="110" w:firstLine="0"/>
        <w:jc w:val="both"/>
        <w:rPr>
          <w:rFonts w:ascii="宋体" w:hAnsi="宋体" w:cs="宋体" w:eastAsia="宋体" w:hint="default"/>
          <w:sz w:val="21"/>
          <w:szCs w:val="21"/>
        </w:rPr>
      </w:pPr>
      <w:r>
        <w:rPr>
          <w:rFonts w:ascii="宋体" w:hAnsi="宋体" w:cs="宋体" w:eastAsia="宋体" w:hint="default"/>
          <w:spacing w:val="-1"/>
          <w:sz w:val="21"/>
          <w:szCs w:val="21"/>
        </w:rPr>
        <w:t>职工薪酬主要包括工资、奖金、津贴和补贴、职工福利费、社会保险费及住房公积金、工会经费和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职工教育经费等其他与获得职工提供的服务相关的支出。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811" w:right="111" w:firstLine="0"/>
        <w:jc w:val="both"/>
        <w:rPr>
          <w:rFonts w:ascii="宋体" w:hAnsi="宋体" w:cs="宋体" w:eastAsia="宋体" w:hint="default"/>
          <w:sz w:val="21"/>
          <w:szCs w:val="21"/>
        </w:rPr>
      </w:pPr>
      <w:r>
        <w:rPr>
          <w:rFonts w:ascii="宋体" w:hAnsi="宋体" w:cs="宋体" w:eastAsia="宋体" w:hint="default"/>
          <w:spacing w:val="-1"/>
          <w:sz w:val="21"/>
          <w:szCs w:val="21"/>
        </w:rPr>
        <w:t>于职工提供服务的期间确认应付的职工薪酬，并根据职工提供服务的受益对象计入相关资产成本和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费用。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811" w:val="left" w:leader="none"/>
        </w:tabs>
        <w:spacing w:line="240" w:lineRule="auto"/>
        <w:ind w:left="102" w:right="0"/>
        <w:jc w:val="left"/>
      </w:pPr>
      <w:r>
        <w:rPr>
          <w:rFonts w:ascii="Arial" w:hAnsi="Arial" w:cs="Arial" w:eastAsia="Arial" w:hint="default"/>
          <w:w w:val="95"/>
          <w:position w:val="2"/>
        </w:rPr>
        <w:t>(18)</w:t>
        <w:tab/>
      </w:r>
      <w:r>
        <w:rPr/>
        <w:t>积分计划</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本集团实施积分计划，顾客前次消费额产生的积分，可以在下次消费时抵用。授予顾</w:t>
      </w:r>
      <w:r>
        <w:rPr>
          <w:spacing w:val="-85"/>
        </w:rPr>
        <w:t> </w:t>
      </w:r>
      <w:r>
        <w:rPr>
          <w:spacing w:val="-85"/>
        </w:rPr>
      </w:r>
      <w:r>
        <w:rPr>
          <w:spacing w:val="2"/>
        </w:rPr>
        <w:t>客的积分奖励作为销售交易的一部分。销售取得的货款或应收货款在商品销售或劳务</w:t>
      </w:r>
      <w:r>
        <w:rPr>
          <w:spacing w:val="-85"/>
        </w:rPr>
        <w:t> </w:t>
      </w:r>
      <w:r>
        <w:rPr>
          <w:spacing w:val="-85"/>
        </w:rPr>
      </w:r>
      <w:r>
        <w:rPr>
          <w:spacing w:val="2"/>
        </w:rPr>
        <w:t>提供产生的收入与奖励积分的公允价值之间进行分配，取得的货款或应收货款扣除奖</w:t>
      </w:r>
      <w:r>
        <w:rPr>
          <w:spacing w:val="-85"/>
        </w:rPr>
        <w:t> </w:t>
      </w:r>
      <w:r>
        <w:rPr>
          <w:spacing w:val="-85"/>
        </w:rPr>
      </w:r>
      <w:r>
        <w:rPr>
          <w:spacing w:val="2"/>
        </w:rPr>
        <w:t>励积分公允价值的部分后确认为收入，奖励积分的公允价值确认为递延收益。奖励积</w:t>
      </w:r>
      <w:r>
        <w:rPr>
          <w:spacing w:val="-85"/>
        </w:rPr>
        <w:t> </w:t>
      </w:r>
      <w:r>
        <w:rPr>
          <w:spacing w:val="-85"/>
        </w:rPr>
      </w:r>
      <w:r>
        <w:rPr>
          <w:spacing w:val="2"/>
        </w:rPr>
        <w:t>分确认的递延收益以授予顾客的积分为基准，并根据本集团已公布的积分使用方法和</w:t>
      </w:r>
      <w:r>
        <w:rPr>
          <w:spacing w:val="-85"/>
        </w:rPr>
        <w:t> </w:t>
      </w:r>
      <w:r>
        <w:rPr>
          <w:spacing w:val="-85"/>
        </w:rPr>
      </w:r>
      <w:r>
        <w:rPr/>
        <w:t>积分的预期兑付率后，按公允价值确认。</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在顾客兑换奖励积分时，将原计入递延收益的与所兑换积分相关的部分确认为收入。</w:t>
      </w:r>
    </w:p>
    <w:p>
      <w:pPr>
        <w:spacing w:after="0" w:line="240" w:lineRule="auto"/>
        <w:jc w:val="both"/>
        <w:sectPr>
          <w:pgSz w:w="11910" w:h="16840"/>
          <w:pgMar w:header="826" w:footer="894" w:top="1100" w:bottom="1080" w:left="940" w:right="104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0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30"/>
          <w:szCs w:val="30"/>
        </w:rPr>
      </w:pPr>
    </w:p>
    <w:p>
      <w:pPr>
        <w:tabs>
          <w:tab w:pos="811" w:val="left" w:leader="none"/>
        </w:tabs>
        <w:spacing w:before="0"/>
        <w:ind w:left="102" w:right="100" w:firstLine="0"/>
        <w:jc w:val="left"/>
        <w:rPr>
          <w:rFonts w:ascii="宋体" w:hAnsi="宋体" w:cs="宋体" w:eastAsia="宋体" w:hint="default"/>
          <w:sz w:val="21"/>
          <w:szCs w:val="21"/>
        </w:rPr>
      </w:pPr>
      <w:r>
        <w:rPr>
          <w:rFonts w:ascii="Arial" w:hAnsi="Arial" w:cs="Arial" w:eastAsia="Arial" w:hint="default"/>
          <w:w w:val="95"/>
          <w:sz w:val="24"/>
          <w:szCs w:val="24"/>
        </w:rPr>
        <w:t>(19)</w:t>
        <w:tab/>
      </w:r>
      <w:r>
        <w:rPr>
          <w:rFonts w:ascii="宋体" w:hAnsi="宋体" w:cs="宋体" w:eastAsia="宋体" w:hint="default"/>
          <w:position w:val="1"/>
          <w:sz w:val="21"/>
          <w:szCs w:val="21"/>
        </w:rPr>
        <w:t>递延所得税资产和递延所得税负债</w:t>
      </w:r>
      <w:r>
        <w:rPr>
          <w:rFonts w:ascii="宋体" w:hAnsi="宋体" w:cs="宋体" w:eastAsia="宋体" w:hint="default"/>
          <w:sz w:val="21"/>
          <w:szCs w:val="21"/>
        </w:rPr>
      </w:r>
    </w:p>
    <w:p>
      <w:pPr>
        <w:spacing w:line="240" w:lineRule="auto" w:before="6"/>
        <w:rPr>
          <w:rFonts w:ascii="宋体" w:hAnsi="宋体" w:cs="宋体" w:eastAsia="宋体" w:hint="default"/>
          <w:sz w:val="29"/>
          <w:szCs w:val="29"/>
        </w:rPr>
      </w:pPr>
    </w:p>
    <w:p>
      <w:pPr>
        <w:pStyle w:val="BodyText"/>
        <w:spacing w:line="312" w:lineRule="exact"/>
        <w:ind w:left="812" w:right="208"/>
        <w:jc w:val="both"/>
      </w:pPr>
      <w:r>
        <w:rPr/>
        <w:t>递延所得税资产和递延所得税负债根据资产和负债的计税基础与其账面价值的差额</w:t>
      </w:r>
      <w:r>
        <w:rPr>
          <w:rFonts w:ascii="Arial" w:hAnsi="Arial" w:cs="Arial" w:eastAsia="Arial" w:hint="default"/>
        </w:rPr>
        <w:t>(</w:t>
      </w:r>
      <w:r>
        <w:rPr/>
        <w:t>暂</w:t>
      </w:r>
      <w:r>
        <w:rPr>
          <w:spacing w:val="-99"/>
        </w:rPr>
        <w:t> </w:t>
      </w:r>
      <w:r>
        <w:rPr/>
        <w:t>时性差异</w:t>
      </w:r>
      <w:r>
        <w:rPr>
          <w:rFonts w:ascii="Arial" w:hAnsi="Arial" w:cs="Arial" w:eastAsia="Arial" w:hint="default"/>
        </w:rPr>
        <w:t>)</w:t>
      </w:r>
      <w:r>
        <w:rPr/>
        <w:t>计算确认。对于按照税法规定能够于以后年度抵减应纳税所得额的可抵扣亏</w:t>
      </w:r>
      <w:r>
        <w:rPr>
          <w:spacing w:val="-86"/>
        </w:rPr>
        <w:t> </w:t>
      </w:r>
      <w:r>
        <w:rPr>
          <w:spacing w:val="-86"/>
        </w:rPr>
      </w:r>
      <w:r>
        <w:rPr/>
        <w:t>损，确认相应的递延所得税资产。对于既不影响会计利润也不影响应纳税所得额</w:t>
      </w:r>
      <w:r>
        <w:rPr>
          <w:rFonts w:ascii="Arial" w:hAnsi="Arial" w:cs="Arial" w:eastAsia="Arial" w:hint="default"/>
        </w:rPr>
        <w:t>(</w:t>
      </w:r>
      <w:r>
        <w:rPr/>
        <w:t>或可</w:t>
      </w:r>
      <w:r>
        <w:rPr>
          <w:spacing w:val="-84"/>
        </w:rPr>
        <w:t> </w:t>
      </w:r>
      <w:r>
        <w:rPr/>
        <w:t>抵扣亏损</w:t>
      </w:r>
      <w:r>
        <w:rPr>
          <w:rFonts w:ascii="Arial" w:hAnsi="Arial" w:cs="Arial" w:eastAsia="Arial" w:hint="default"/>
        </w:rPr>
        <w:t>)</w:t>
      </w:r>
      <w:r>
        <w:rPr/>
        <w:t>的非企业合并的交易中产生的资产或负债的初始确认形成的暂时性差异，不</w:t>
      </w:r>
      <w:r>
        <w:rPr>
          <w:spacing w:val="-86"/>
        </w:rPr>
        <w:t> </w:t>
      </w:r>
      <w:r>
        <w:rPr>
          <w:spacing w:val="-86"/>
        </w:rPr>
      </w:r>
      <w:r>
        <w:rPr>
          <w:spacing w:val="2"/>
        </w:rPr>
        <w:t>确认相应的递延所得税资产和递延所得税负债。于资产负债表日，递延所得税资产和</w:t>
      </w:r>
      <w:r>
        <w:rPr>
          <w:spacing w:val="-85"/>
        </w:rPr>
        <w:t> </w:t>
      </w:r>
      <w:r>
        <w:rPr>
          <w:spacing w:val="-85"/>
        </w:rPr>
      </w:r>
      <w:r>
        <w:rPr/>
        <w:t>递延所得税负债，按照预期收回该资产或清偿该负债期间的适用税率计量。</w:t>
      </w:r>
    </w:p>
    <w:p>
      <w:pPr>
        <w:spacing w:line="240" w:lineRule="auto" w:before="1"/>
        <w:rPr>
          <w:rFonts w:ascii="宋体" w:hAnsi="宋体" w:cs="宋体" w:eastAsia="宋体" w:hint="default"/>
          <w:sz w:val="21"/>
          <w:szCs w:val="21"/>
        </w:rPr>
      </w:pPr>
    </w:p>
    <w:p>
      <w:pPr>
        <w:pStyle w:val="BodyText"/>
        <w:spacing w:line="312" w:lineRule="exact"/>
        <w:ind w:left="812" w:right="208"/>
        <w:jc w:val="both"/>
      </w:pPr>
      <w:r>
        <w:rPr/>
        <w:t>递延所得税资产和递延所得税负债根据资产和负债的计税基础与其账面价值的差额</w:t>
      </w:r>
      <w:r>
        <w:rPr>
          <w:rFonts w:ascii="Arial" w:hAnsi="Arial" w:cs="Arial" w:eastAsia="Arial" w:hint="default"/>
        </w:rPr>
        <w:t>(</w:t>
      </w:r>
      <w:r>
        <w:rPr/>
        <w:t>暂</w:t>
      </w:r>
      <w:r>
        <w:rPr>
          <w:spacing w:val="-99"/>
        </w:rPr>
        <w:t> </w:t>
      </w:r>
      <w:r>
        <w:rPr/>
        <w:t>时性差异</w:t>
      </w:r>
      <w:r>
        <w:rPr>
          <w:rFonts w:ascii="Arial" w:hAnsi="Arial" w:cs="Arial" w:eastAsia="Arial" w:hint="default"/>
        </w:rPr>
        <w:t>)</w:t>
      </w:r>
      <w:r>
        <w:rPr/>
        <w:t>计算确认。对于按照税法规定能够于以后年度抵减应纳税所得额的可抵扣亏</w:t>
      </w:r>
      <w:r>
        <w:rPr>
          <w:spacing w:val="-86"/>
        </w:rPr>
        <w:t> </w:t>
      </w:r>
      <w:r>
        <w:rPr>
          <w:spacing w:val="-86"/>
        </w:rPr>
      </w:r>
      <w:r>
        <w:rPr>
          <w:spacing w:val="2"/>
        </w:rPr>
        <w:t>损，确认相应的递延所得税资产。对于商誉的初始确认产生的暂时性差异，不确认相</w:t>
      </w:r>
      <w:r>
        <w:rPr>
          <w:spacing w:val="-85"/>
        </w:rPr>
        <w:t> </w:t>
      </w:r>
      <w:r>
        <w:rPr>
          <w:spacing w:val="-85"/>
        </w:rPr>
      </w:r>
      <w:r>
        <w:rPr>
          <w:spacing w:val="4"/>
        </w:rPr>
        <w:t>应的递延所得税负债。对于既不影响会计利润也不影响应纳税所得额</w:t>
      </w:r>
      <w:r>
        <w:rPr>
          <w:rFonts w:ascii="Arial" w:hAnsi="Arial" w:cs="Arial" w:eastAsia="Arial" w:hint="default"/>
          <w:spacing w:val="4"/>
        </w:rPr>
        <w:t>(</w:t>
      </w:r>
      <w:r>
        <w:rPr>
          <w:spacing w:val="4"/>
        </w:rPr>
        <w:t>或可抵扣亏损</w:t>
      </w:r>
      <w:r>
        <w:rPr>
          <w:rFonts w:ascii="Arial" w:hAnsi="Arial" w:cs="Arial" w:eastAsia="Arial" w:hint="default"/>
          <w:spacing w:val="4"/>
        </w:rPr>
        <w:t>)</w:t>
      </w:r>
      <w:r>
        <w:rPr>
          <w:rFonts w:ascii="Arial" w:hAnsi="Arial" w:cs="Arial" w:eastAsia="Arial" w:hint="default"/>
          <w:spacing w:val="-31"/>
        </w:rPr>
        <w:t> </w:t>
      </w:r>
      <w:r>
        <w:rPr>
          <w:spacing w:val="2"/>
        </w:rPr>
        <w:t>的非企业合并的交易中产生的资产或负债的初始确认形成的暂时性差异，不确认相应</w:t>
      </w:r>
      <w:r>
        <w:rPr>
          <w:spacing w:val="-85"/>
        </w:rPr>
        <w:t> </w:t>
      </w:r>
      <w:r>
        <w:rPr>
          <w:spacing w:val="-85"/>
        </w:rPr>
      </w:r>
      <w:r>
        <w:rPr>
          <w:spacing w:val="2"/>
        </w:rPr>
        <w:t>的递延所得税资产和递延所得税负债。于资产负债表日，递延所得税资产和递延所得</w:t>
      </w:r>
      <w:r>
        <w:rPr>
          <w:spacing w:val="-85"/>
        </w:rPr>
        <w:t> </w:t>
      </w:r>
      <w:r>
        <w:rPr>
          <w:spacing w:val="-85"/>
        </w:rPr>
      </w:r>
      <w:r>
        <w:rPr/>
        <w:t>税负债，按照预期收回该资产或清偿该负债期间的适用税率计量。</w:t>
      </w:r>
    </w:p>
    <w:p>
      <w:pPr>
        <w:spacing w:line="240" w:lineRule="auto" w:before="1"/>
        <w:rPr>
          <w:rFonts w:ascii="宋体" w:hAnsi="宋体" w:cs="宋体" w:eastAsia="宋体" w:hint="default"/>
          <w:sz w:val="21"/>
          <w:szCs w:val="21"/>
        </w:rPr>
      </w:pPr>
    </w:p>
    <w:p>
      <w:pPr>
        <w:pStyle w:val="BodyText"/>
        <w:spacing w:line="312" w:lineRule="exact"/>
        <w:ind w:left="812" w:right="208"/>
        <w:jc w:val="both"/>
      </w:pPr>
      <w:r>
        <w:rPr>
          <w:spacing w:val="2"/>
        </w:rPr>
        <w:t>递延所得税资产的确认以很可能取得用来抵扣可抵扣暂时性差异、可抵扣亏损和税款</w:t>
      </w:r>
      <w:r>
        <w:rPr>
          <w:spacing w:val="-85"/>
        </w:rPr>
        <w:t> </w:t>
      </w:r>
      <w:r>
        <w:rPr>
          <w:spacing w:val="-85"/>
        </w:rPr>
      </w:r>
      <w:r>
        <w:rPr/>
        <w:t>抵减的应纳税所得额为限。</w:t>
      </w:r>
    </w:p>
    <w:p>
      <w:pPr>
        <w:spacing w:line="240" w:lineRule="auto" w:before="1"/>
        <w:rPr>
          <w:rFonts w:ascii="宋体" w:hAnsi="宋体" w:cs="宋体" w:eastAsia="宋体" w:hint="default"/>
          <w:sz w:val="21"/>
          <w:szCs w:val="21"/>
        </w:rPr>
      </w:pPr>
    </w:p>
    <w:p>
      <w:pPr>
        <w:pStyle w:val="BodyText"/>
        <w:spacing w:line="312" w:lineRule="exact"/>
        <w:ind w:left="812" w:right="208"/>
        <w:jc w:val="both"/>
      </w:pPr>
      <w:r>
        <w:rPr>
          <w:spacing w:val="2"/>
        </w:rPr>
        <w:t>对子公司及合营企业投资相关的暂时性差异产生的递延所得税负债，除本集团能够控</w:t>
      </w:r>
      <w:r>
        <w:rPr>
          <w:spacing w:val="-85"/>
        </w:rPr>
        <w:t> </w:t>
      </w:r>
      <w:r>
        <w:rPr>
          <w:spacing w:val="-85"/>
        </w:rPr>
      </w:r>
      <w:r>
        <w:rPr>
          <w:spacing w:val="2"/>
        </w:rPr>
        <w:t>制暂时性差异转回的时间且该暂时性差异在可预见的未来很可能不会转回的情况外，</w:t>
      </w:r>
      <w:r>
        <w:rPr>
          <w:spacing w:val="-85"/>
        </w:rPr>
        <w:t> </w:t>
      </w:r>
      <w:r>
        <w:rPr>
          <w:spacing w:val="-85"/>
        </w:rPr>
      </w:r>
      <w:r>
        <w:rPr>
          <w:spacing w:val="2"/>
        </w:rPr>
        <w:t>确认为负债。对子公司及合营企业投资相关的暂时性差异产生的递延所得税资产，当</w:t>
      </w:r>
      <w:r>
        <w:rPr>
          <w:spacing w:val="-85"/>
        </w:rPr>
        <w:t> </w:t>
      </w:r>
      <w:r>
        <w:rPr>
          <w:spacing w:val="-85"/>
        </w:rPr>
      </w:r>
      <w:r>
        <w:rPr>
          <w:spacing w:val="2"/>
        </w:rPr>
        <w:t>暂时性差异在可预见的未来很可能转回且未来很可能获得用来抵扣可抵扣暂时性差异</w:t>
      </w:r>
      <w:r>
        <w:rPr>
          <w:spacing w:val="-85"/>
        </w:rPr>
        <w:t> </w:t>
      </w:r>
      <w:r>
        <w:rPr>
          <w:spacing w:val="-85"/>
        </w:rPr>
      </w:r>
      <w:r>
        <w:rPr/>
        <w:t>的应纳税所得额时，确认为资产。</w:t>
      </w:r>
    </w:p>
    <w:p>
      <w:pPr>
        <w:spacing w:line="240" w:lineRule="auto" w:before="10"/>
        <w:rPr>
          <w:rFonts w:ascii="宋体" w:hAnsi="宋体" w:cs="宋体" w:eastAsia="宋体" w:hint="default"/>
          <w:sz w:val="18"/>
          <w:szCs w:val="18"/>
        </w:rPr>
      </w:pPr>
    </w:p>
    <w:p>
      <w:pPr>
        <w:pStyle w:val="BodyText"/>
        <w:spacing w:line="313" w:lineRule="exact"/>
        <w:ind w:left="812" w:right="0"/>
        <w:jc w:val="both"/>
      </w:pPr>
      <w:r>
        <w:rPr/>
        <w:t>同时满足下列条件的递延所得税资产和递延所得税负债以抵销后的净额列示：</w:t>
      </w:r>
    </w:p>
    <w:p>
      <w:pPr>
        <w:pStyle w:val="BodyText"/>
        <w:tabs>
          <w:tab w:pos="1171" w:val="left" w:leader="none"/>
        </w:tabs>
        <w:spacing w:line="312" w:lineRule="exact" w:before="29"/>
        <w:ind w:left="1172" w:right="100" w:hanging="360"/>
        <w:jc w:val="left"/>
        <w:rPr>
          <w:rFonts w:ascii="Arial" w:hAnsi="Arial" w:cs="Arial" w:eastAsia="Arial" w:hint="default"/>
        </w:rPr>
      </w:pPr>
      <w:r>
        <w:rPr>
          <w:rFonts w:ascii="Arial" w:hAnsi="Arial" w:cs="Arial" w:eastAsia="Arial" w:hint="default"/>
          <w:w w:val="95"/>
        </w:rPr>
        <w:t>•</w:t>
        <w:tab/>
      </w:r>
      <w:r>
        <w:rPr>
          <w:spacing w:val="2"/>
        </w:rPr>
        <w:t>递延所得税资产和递延所得税负债与同一税收征管部门对本集团内同一纳税主体征</w:t>
      </w:r>
      <w:r>
        <w:rPr>
          <w:spacing w:val="-88"/>
        </w:rPr>
        <w:t> </w:t>
      </w:r>
      <w:r>
        <w:rPr>
          <w:spacing w:val="-88"/>
        </w:rPr>
      </w:r>
      <w:r>
        <w:rPr/>
        <w:t>收的所得税相关</w:t>
      </w:r>
      <w:r>
        <w:rPr>
          <w:rFonts w:ascii="Arial" w:hAnsi="Arial" w:cs="Arial" w:eastAsia="Arial" w:hint="default"/>
        </w:rPr>
        <w:t>;</w:t>
      </w:r>
    </w:p>
    <w:p>
      <w:pPr>
        <w:pStyle w:val="BodyText"/>
        <w:tabs>
          <w:tab w:pos="1171" w:val="left" w:leader="none"/>
        </w:tabs>
        <w:spacing w:line="312" w:lineRule="exact"/>
        <w:ind w:left="1172" w:right="100" w:hanging="360"/>
        <w:jc w:val="left"/>
      </w:pPr>
      <w:r>
        <w:rPr>
          <w:rFonts w:ascii="Arial" w:hAnsi="Arial" w:cs="Arial" w:eastAsia="Arial" w:hint="default"/>
          <w:w w:val="95"/>
          <w:sz w:val="22"/>
          <w:szCs w:val="22"/>
        </w:rPr>
        <w:t>•</w:t>
        <w:tab/>
      </w:r>
      <w:r>
        <w:rPr>
          <w:spacing w:val="9"/>
        </w:rPr>
        <w:t>本集团内该纳税主体拥有以净额结算当期所得税资产及当期所得税负债的法定权</w:t>
      </w:r>
      <w:r>
        <w:rPr>
          <w:spacing w:val="-91"/>
        </w:rPr>
        <w:t> </w:t>
      </w:r>
      <w:r>
        <w:rPr>
          <w:spacing w:val="-91"/>
        </w:rPr>
      </w:r>
      <w:r>
        <w:rPr/>
        <w:t>利。</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00"/>
        <w:jc w:val="left"/>
      </w:pPr>
      <w:r>
        <w:rPr>
          <w:rFonts w:ascii="Arial" w:hAnsi="Arial" w:cs="Arial" w:eastAsia="Arial" w:hint="default"/>
          <w:w w:val="95"/>
          <w:position w:val="2"/>
        </w:rPr>
        <w:t>(20)</w:t>
        <w:tab/>
      </w:r>
      <w:r>
        <w:rPr/>
        <w:t>收入确认</w:t>
      </w:r>
    </w:p>
    <w:p>
      <w:pPr>
        <w:spacing w:line="240" w:lineRule="auto" w:before="4"/>
        <w:rPr>
          <w:rFonts w:ascii="宋体" w:hAnsi="宋体" w:cs="宋体" w:eastAsia="宋体" w:hint="default"/>
          <w:sz w:val="23"/>
          <w:szCs w:val="23"/>
        </w:rPr>
      </w:pPr>
    </w:p>
    <w:p>
      <w:pPr>
        <w:pStyle w:val="BodyText"/>
        <w:spacing w:line="312" w:lineRule="exact"/>
        <w:ind w:left="812" w:right="208"/>
        <w:jc w:val="both"/>
      </w:pPr>
      <w:r>
        <w:rPr>
          <w:spacing w:val="2"/>
        </w:rPr>
        <w:t>收入的金额按照本集团在日常经营活动中销售商品和提供劳务时，已收或应收合同或</w:t>
      </w:r>
      <w:r>
        <w:rPr>
          <w:spacing w:val="-85"/>
        </w:rPr>
        <w:t> </w:t>
      </w:r>
      <w:r>
        <w:rPr>
          <w:spacing w:val="-85"/>
        </w:rPr>
      </w:r>
      <w:r>
        <w:rPr>
          <w:spacing w:val="2"/>
        </w:rPr>
        <w:t>协议价款的公允价值确定。收入按扣除增值税、商业折扣、销售折让及销售退回的净</w:t>
      </w:r>
      <w:r>
        <w:rPr>
          <w:spacing w:val="-85"/>
        </w:rPr>
        <w:t> </w:t>
      </w:r>
      <w:r>
        <w:rPr>
          <w:spacing w:val="-85"/>
        </w:rPr>
      </w:r>
      <w:r>
        <w:rPr/>
        <w:t>额列示。</w:t>
      </w:r>
    </w:p>
    <w:p>
      <w:pPr>
        <w:spacing w:after="0" w:line="312" w:lineRule="exact"/>
        <w:jc w:val="both"/>
        <w:sectPr>
          <w:pgSz w:w="11910" w:h="16840"/>
          <w:pgMar w:header="826" w:footer="894" w:top="1100" w:bottom="1080" w:left="940" w:right="94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92"/>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92"/>
        <w:jc w:val="left"/>
        <w:rPr>
          <w:rFonts w:ascii="Arial" w:hAnsi="Arial" w:cs="Arial" w:eastAsia="Arial" w:hint="default"/>
        </w:rPr>
      </w:pPr>
      <w:r>
        <w:rPr>
          <w:rFonts w:ascii="Arial" w:hAnsi="Arial" w:cs="Arial" w:eastAsia="Arial" w:hint="default"/>
          <w:w w:val="95"/>
          <w:position w:val="2"/>
        </w:rPr>
        <w:t>(20)</w:t>
        <w:tab/>
      </w:r>
      <w:r>
        <w:rPr/>
        <w:t>收入确认</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2" w:right="228"/>
        <w:jc w:val="both"/>
      </w:pPr>
      <w:r>
        <w:rPr>
          <w:spacing w:val="2"/>
        </w:rPr>
        <w:t>与交易相关的经济利益能够流入本集团，相关的收入能够可靠计量且满足下列各项经</w:t>
      </w:r>
      <w:r>
        <w:rPr>
          <w:spacing w:val="-85"/>
        </w:rPr>
        <w:t> </w:t>
      </w:r>
      <w:r>
        <w:rPr>
          <w:spacing w:val="-85"/>
        </w:rPr>
      </w:r>
      <w:r>
        <w:rPr/>
        <w:t>营活动的特定收入确认标准时，确认相关的收入：</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(a)</w:t>
        <w:tab/>
      </w:r>
      <w:r>
        <w:rPr/>
        <w:t>销售商品</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本集团从事商品零售业务，当本集团向消费者转移商品所有权凭证后，商品所有权上</w:t>
      </w:r>
      <w:r>
        <w:rPr>
          <w:spacing w:val="-85"/>
        </w:rPr>
        <w:t> </w:t>
      </w:r>
      <w:r>
        <w:rPr>
          <w:spacing w:val="-85"/>
        </w:rPr>
      </w:r>
      <w:r>
        <w:rPr>
          <w:spacing w:val="2"/>
        </w:rPr>
        <w:t>的主要风险和报酬随之转移，相关的收入已经收到，并且与销售该商品有关的成本能</w:t>
      </w:r>
      <w:r>
        <w:rPr>
          <w:spacing w:val="-85"/>
        </w:rPr>
        <w:t> </w:t>
      </w:r>
      <w:r>
        <w:rPr>
          <w:spacing w:val="-85"/>
        </w:rPr>
      </w:r>
      <w:r>
        <w:rPr/>
        <w:t>够可靠地计量，本集团在此时确认商品的销售收入。</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(b)</w:t>
        <w:tab/>
      </w:r>
      <w:r>
        <w:rPr/>
        <w:t>提供劳务</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本集团对外提供业务培训劳务、安装维修劳务、代理劳务、连锁店服务劳务等，在劳</w:t>
      </w:r>
      <w:r>
        <w:rPr>
          <w:spacing w:val="-85"/>
        </w:rPr>
        <w:t> </w:t>
      </w:r>
      <w:r>
        <w:rPr>
          <w:spacing w:val="-85"/>
        </w:rPr>
      </w:r>
      <w:r>
        <w:rPr>
          <w:spacing w:val="2"/>
        </w:rPr>
        <w:t>务总收入和总成本能够可靠地计量，与交易相关的经济利益能够流入企业，劳务的完</w:t>
      </w:r>
      <w:r>
        <w:rPr>
          <w:spacing w:val="-85"/>
        </w:rPr>
        <w:t> </w:t>
      </w:r>
      <w:r>
        <w:rPr>
          <w:spacing w:val="-85"/>
        </w:rPr>
      </w:r>
      <w:r>
        <w:rPr/>
        <w:t>成程度能够可靠地确定时，确认劳务收入的实现。</w:t>
      </w:r>
    </w:p>
    <w:p>
      <w:pPr>
        <w:spacing w:line="240" w:lineRule="auto" w:before="10"/>
        <w:rPr>
          <w:rFonts w:ascii="宋体" w:hAnsi="宋体" w:cs="宋体" w:eastAsia="宋体" w:hint="default"/>
          <w:sz w:val="18"/>
          <w:szCs w:val="18"/>
        </w:rPr>
      </w:pPr>
    </w:p>
    <w:p>
      <w:pPr>
        <w:pStyle w:val="BodyText"/>
        <w:tabs>
          <w:tab w:pos="811" w:val="left" w:leader="none"/>
        </w:tabs>
        <w:spacing w:line="448" w:lineRule="auto"/>
        <w:ind w:left="812" w:right="3470" w:hanging="710"/>
        <w:jc w:val="left"/>
      </w:pPr>
      <w:r>
        <w:rPr>
          <w:rFonts w:ascii="Arial" w:hAnsi="Arial" w:cs="Arial" w:eastAsia="Arial" w:hint="default"/>
          <w:position w:val="2"/>
        </w:rPr>
        <w:t>(c)</w:t>
        <w:tab/>
      </w:r>
      <w:r>
        <w:rPr/>
        <w:t>让渡资产使用权</w:t>
      </w:r>
      <w:r>
        <w:rPr>
          <w:w w:val="99"/>
        </w:rPr>
        <w:t> </w:t>
      </w:r>
      <w:r>
        <w:rPr/>
        <w:t>利息收入以时间比例为基础，采用实际利率计算确定。</w:t>
      </w:r>
      <w:r>
        <w:rPr>
          <w:w w:val="99"/>
        </w:rPr>
        <w:t> </w:t>
      </w:r>
      <w:r>
        <w:rPr/>
        <w:t>经营租赁收入按照直线法在租赁期内确认。</w:t>
      </w:r>
      <w:r>
        <w:rPr>
          <w:w w:val="99"/>
        </w:rPr>
        <w:t> </w:t>
      </w:r>
      <w:r>
        <w:rPr/>
        <w:t>广告位使用费收入按照直线法在使用期间内确认。</w:t>
      </w:r>
    </w:p>
    <w:p>
      <w:pPr>
        <w:pStyle w:val="BodyText"/>
        <w:tabs>
          <w:tab w:pos="811" w:val="left" w:leader="none"/>
        </w:tabs>
        <w:spacing w:line="240" w:lineRule="auto" w:before="65"/>
        <w:ind w:left="102" w:right="92"/>
        <w:jc w:val="left"/>
      </w:pPr>
      <w:r>
        <w:rPr>
          <w:rFonts w:ascii="Arial" w:hAnsi="Arial" w:cs="Arial" w:eastAsia="Arial" w:hint="default"/>
          <w:w w:val="95"/>
          <w:position w:val="2"/>
        </w:rPr>
        <w:t>(21)</w:t>
        <w:tab/>
      </w:r>
      <w:r>
        <w:rPr/>
        <w:t>政府补助</w:t>
      </w:r>
    </w:p>
    <w:p>
      <w:pPr>
        <w:spacing w:line="240" w:lineRule="auto" w:before="12"/>
        <w:rPr>
          <w:rFonts w:ascii="宋体" w:hAnsi="宋体" w:cs="宋体" w:eastAsia="宋体" w:hint="default"/>
          <w:sz w:val="20"/>
          <w:szCs w:val="20"/>
        </w:rPr>
      </w:pPr>
    </w:p>
    <w:p>
      <w:pPr>
        <w:pStyle w:val="BodyText"/>
        <w:spacing w:line="240" w:lineRule="auto"/>
        <w:ind w:left="812" w:right="0"/>
        <w:jc w:val="both"/>
      </w:pPr>
      <w:r>
        <w:rPr/>
        <w:t>本集团能够收到政府补助且能够满足政府补助所附条件时，政府补助予以确认。</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货币性资产形式的政府补助，除按照固定的定额标准取得的以外，按照实际收到的金</w:t>
      </w:r>
      <w:r>
        <w:rPr>
          <w:spacing w:val="-85"/>
        </w:rPr>
        <w:t> </w:t>
      </w:r>
      <w:r>
        <w:rPr>
          <w:spacing w:val="-85"/>
        </w:rPr>
      </w:r>
      <w:r>
        <w:rPr>
          <w:spacing w:val="2"/>
        </w:rPr>
        <w:t>额计量。非货币性资产形式的政府补助，按照公允价值计量；公允价值不能可靠取得</w:t>
      </w:r>
      <w:r>
        <w:rPr>
          <w:spacing w:val="-85"/>
        </w:rPr>
        <w:t> </w:t>
      </w:r>
      <w:r>
        <w:rPr>
          <w:spacing w:val="-85"/>
        </w:rPr>
      </w:r>
      <w:r>
        <w:rPr/>
        <w:t>的，按照名义金额计量。</w:t>
      </w:r>
    </w:p>
    <w:p>
      <w:pPr>
        <w:spacing w:line="240" w:lineRule="auto" w:before="1"/>
        <w:rPr>
          <w:rFonts w:ascii="宋体" w:hAnsi="宋体" w:cs="宋体" w:eastAsia="宋体" w:hint="default"/>
          <w:sz w:val="21"/>
          <w:szCs w:val="21"/>
        </w:rPr>
      </w:pPr>
    </w:p>
    <w:p>
      <w:pPr>
        <w:pStyle w:val="BodyText"/>
        <w:spacing w:line="312" w:lineRule="exact"/>
        <w:ind w:left="812" w:right="92"/>
        <w:jc w:val="left"/>
      </w:pPr>
      <w:r>
        <w:rPr>
          <w:spacing w:val="2"/>
        </w:rPr>
        <w:t>与资产相关的政府补助确认为递延收益，并在相关资产使用寿命内平均分配，计入当</w:t>
      </w:r>
      <w:r>
        <w:rPr>
          <w:spacing w:val="-85"/>
        </w:rPr>
        <w:t> </w:t>
      </w:r>
      <w:r>
        <w:rPr>
          <w:spacing w:val="-85"/>
        </w:rPr>
      </w:r>
      <w:r>
        <w:rPr/>
        <w:t>期损益。按照名义金额计量的政府补助，直接计入当期损益。与收益相关的政府补助，</w:t>
      </w:r>
      <w:r>
        <w:rPr/>
        <w:t> </w:t>
      </w:r>
      <w:r>
        <w:rPr>
          <w:spacing w:val="2"/>
        </w:rPr>
        <w:t>用于补偿企业以后期间的相关费用或损失的，确认为递延收益，并在确认相关费用的</w:t>
      </w:r>
      <w:r>
        <w:rPr>
          <w:spacing w:val="-85"/>
        </w:rPr>
        <w:t> </w:t>
      </w:r>
      <w:r>
        <w:rPr>
          <w:spacing w:val="-85"/>
        </w:rPr>
      </w:r>
      <w:r>
        <w:rPr/>
        <w:t>期间，计入当期损益。用于补偿企业已发生的相关费用或损失的，直接计入当期损益。</w:t>
      </w:r>
    </w:p>
    <w:p>
      <w:pPr>
        <w:spacing w:after="0" w:line="312" w:lineRule="exact"/>
        <w:jc w:val="left"/>
        <w:sectPr>
          <w:pgSz w:w="11910" w:h="16840"/>
          <w:pgMar w:header="826" w:footer="894" w:top="1100" w:bottom="1080" w:left="940" w:right="9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0"/>
        <w:jc w:val="left"/>
      </w:pPr>
      <w:r>
        <w:rPr>
          <w:rFonts w:ascii="Arial" w:hAnsi="Arial" w:cs="Arial" w:eastAsia="Arial" w:hint="default"/>
          <w:w w:val="95"/>
          <w:position w:val="2"/>
        </w:rPr>
        <w:t>(22)</w:t>
        <w:tab/>
      </w:r>
      <w:r>
        <w:rPr/>
        <w:t>租赁</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实质上转移了与资产所有权有关的全部风险和报酬的租赁为融资租赁。其他的租赁为</w:t>
      </w:r>
      <w:r>
        <w:rPr>
          <w:spacing w:val="-85"/>
        </w:rPr>
        <w:t> </w:t>
      </w:r>
      <w:r>
        <w:rPr>
          <w:spacing w:val="-85"/>
        </w:rPr>
      </w:r>
      <w:r>
        <w:rPr/>
        <w:t>经营租赁。</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经营租赁的租金支出在租赁期内按照直线法计入相关资产成本或当期损益。</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0"/>
        <w:jc w:val="left"/>
      </w:pPr>
      <w:r>
        <w:rPr>
          <w:rFonts w:ascii="Arial" w:hAnsi="Arial" w:cs="Arial" w:eastAsia="Arial" w:hint="default"/>
          <w:w w:val="95"/>
          <w:position w:val="2"/>
        </w:rPr>
        <w:t>(23)</w:t>
        <w:tab/>
      </w:r>
      <w:r>
        <w:rPr/>
        <w:t>股利分配</w:t>
      </w:r>
    </w:p>
    <w:p>
      <w:pPr>
        <w:spacing w:line="240" w:lineRule="auto" w:before="12"/>
        <w:rPr>
          <w:rFonts w:ascii="宋体" w:hAnsi="宋体" w:cs="宋体" w:eastAsia="宋体" w:hint="default"/>
          <w:sz w:val="20"/>
          <w:szCs w:val="20"/>
        </w:rPr>
      </w:pPr>
    </w:p>
    <w:p>
      <w:pPr>
        <w:pStyle w:val="BodyText"/>
        <w:spacing w:line="240" w:lineRule="auto"/>
        <w:ind w:left="812" w:right="0"/>
        <w:jc w:val="both"/>
      </w:pPr>
      <w:r>
        <w:rPr/>
        <w:t>现金股利和股票股利于股东大会批准的当期，确认为负债或转为股本。</w:t>
      </w:r>
    </w:p>
    <w:p>
      <w:pPr>
        <w:spacing w:line="240" w:lineRule="auto" w:before="4"/>
        <w:rPr>
          <w:rFonts w:ascii="宋体" w:hAnsi="宋体" w:cs="宋体" w:eastAsia="宋体" w:hint="default"/>
          <w:sz w:val="18"/>
          <w:szCs w:val="18"/>
        </w:rPr>
      </w:pPr>
    </w:p>
    <w:p>
      <w:pPr>
        <w:pStyle w:val="BodyText"/>
        <w:tabs>
          <w:tab w:pos="811" w:val="left" w:leader="none"/>
        </w:tabs>
        <w:spacing w:line="240" w:lineRule="auto"/>
        <w:ind w:left="102" w:right="0"/>
        <w:jc w:val="left"/>
      </w:pPr>
      <w:r>
        <w:rPr>
          <w:rFonts w:ascii="Arial" w:hAnsi="Arial" w:cs="Arial" w:eastAsia="Arial" w:hint="default"/>
          <w:w w:val="95"/>
          <w:position w:val="2"/>
        </w:rPr>
        <w:t>(24)</w:t>
        <w:tab/>
      </w:r>
      <w:r>
        <w:rPr/>
        <w:t>企业合并</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0"/>
        <w:jc w:val="left"/>
      </w:pPr>
      <w:r>
        <w:rPr>
          <w:rFonts w:ascii="Arial" w:hAnsi="Arial" w:cs="Arial" w:eastAsia="Arial" w:hint="default"/>
          <w:w w:val="95"/>
          <w:position w:val="2"/>
        </w:rPr>
        <w:t>(a)</w:t>
        <w:tab/>
      </w:r>
      <w:r>
        <w:rPr/>
        <w:t>同一控制下的企业合并</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合并方支付的合并对价及取得的净资产均按账面价值计量。合并方取得的净资产账面</w:t>
      </w:r>
      <w:r>
        <w:rPr>
          <w:spacing w:val="-85"/>
        </w:rPr>
        <w:t> </w:t>
      </w:r>
      <w:r>
        <w:rPr>
          <w:spacing w:val="-85"/>
        </w:rPr>
      </w:r>
      <w:r>
        <w:rPr>
          <w:spacing w:val="2"/>
        </w:rPr>
        <w:t>价值与支付的合并对价账面价值的差额，调整资本公积；资本公积不足以冲减的，调</w:t>
      </w:r>
      <w:r>
        <w:rPr>
          <w:spacing w:val="-85"/>
        </w:rPr>
        <w:t> </w:t>
      </w:r>
      <w:r>
        <w:rPr>
          <w:spacing w:val="-85"/>
        </w:rPr>
      </w:r>
      <w:r>
        <w:rPr/>
        <w:t>整留存收益。</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为进行企业合并发生的直接相关费用于发生时计入当期损益。</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0"/>
        <w:jc w:val="left"/>
      </w:pPr>
      <w:r>
        <w:rPr>
          <w:rFonts w:ascii="Arial" w:hAnsi="Arial" w:cs="Arial" w:eastAsia="Arial" w:hint="default"/>
          <w:w w:val="95"/>
          <w:position w:val="2"/>
        </w:rPr>
        <w:t>(b)</w:t>
        <w:tab/>
      </w:r>
      <w:r>
        <w:rPr/>
        <w:t>非同一控制下的企业合并</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购买方发生的合并成本及在合并中取得的可辨认净资产按购买日的公允价值计量。合</w:t>
      </w:r>
      <w:r>
        <w:rPr>
          <w:spacing w:val="-85"/>
        </w:rPr>
        <w:t> </w:t>
      </w:r>
      <w:r>
        <w:rPr>
          <w:spacing w:val="-85"/>
        </w:rPr>
      </w:r>
      <w:r>
        <w:rPr>
          <w:spacing w:val="2"/>
        </w:rPr>
        <w:t>并成本大于合并中取得的被购买方于购买日可辨认净资产公允价值份额的差额，确认</w:t>
      </w:r>
      <w:r>
        <w:rPr>
          <w:spacing w:val="-85"/>
        </w:rPr>
        <w:t> </w:t>
      </w:r>
      <w:r>
        <w:rPr>
          <w:spacing w:val="-85"/>
        </w:rPr>
      </w:r>
      <w:r>
        <w:rPr>
          <w:spacing w:val="2"/>
        </w:rPr>
        <w:t>为商誉；合并成本小于合并中取得的被购买方可辨认净资产公允价值份额的差额，计</w:t>
      </w:r>
      <w:r>
        <w:rPr>
          <w:spacing w:val="-85"/>
        </w:rPr>
        <w:t> </w:t>
      </w:r>
      <w:r>
        <w:rPr>
          <w:spacing w:val="-85"/>
        </w:rPr>
      </w:r>
      <w:r>
        <w:rPr/>
        <w:t>入当期损益。</w:t>
      </w:r>
    </w:p>
    <w:p>
      <w:pPr>
        <w:spacing w:line="240" w:lineRule="auto" w:before="10"/>
        <w:rPr>
          <w:rFonts w:ascii="宋体" w:hAnsi="宋体" w:cs="宋体" w:eastAsia="宋体" w:hint="default"/>
          <w:sz w:val="18"/>
          <w:szCs w:val="18"/>
        </w:rPr>
      </w:pPr>
    </w:p>
    <w:p>
      <w:pPr>
        <w:pStyle w:val="BodyText"/>
        <w:spacing w:line="240" w:lineRule="auto"/>
        <w:ind w:left="812" w:right="0"/>
        <w:jc w:val="both"/>
      </w:pPr>
      <w:r>
        <w:rPr/>
        <w:t>为进行企业合并发生的直接相关费用计入企业合并成本。</w:t>
      </w:r>
    </w:p>
    <w:p>
      <w:pPr>
        <w:spacing w:after="0" w:line="240" w:lineRule="auto"/>
        <w:jc w:val="both"/>
        <w:sectPr>
          <w:pgSz w:w="11910" w:h="16840"/>
          <w:pgMar w:header="826" w:footer="894" w:top="1100" w:bottom="1080" w:left="940" w:right="1040"/>
        </w:sectPr>
      </w:pPr>
    </w:p>
    <w:p>
      <w:pPr>
        <w:spacing w:line="240" w:lineRule="auto" w:before="3"/>
        <w:rPr>
          <w:rFonts w:ascii="宋体" w:hAnsi="宋体" w:cs="宋体" w:eastAsia="宋体" w:hint="default"/>
          <w:sz w:val="27"/>
          <w:szCs w:val="27"/>
        </w:rPr>
      </w:pPr>
    </w:p>
    <w:p>
      <w:pPr>
        <w:pStyle w:val="Heading2"/>
        <w:tabs>
          <w:tab w:pos="811" w:val="left" w:leader="none"/>
        </w:tabs>
        <w:spacing w:line="240" w:lineRule="auto"/>
        <w:ind w:right="0"/>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448" w:lineRule="auto"/>
        <w:ind w:left="812" w:right="2870" w:hanging="710"/>
        <w:jc w:val="left"/>
      </w:pPr>
      <w:r>
        <w:rPr>
          <w:rFonts w:ascii="Arial" w:hAnsi="Arial" w:cs="Arial" w:eastAsia="Arial" w:hint="default"/>
          <w:w w:val="95"/>
          <w:position w:val="2"/>
        </w:rPr>
        <w:t>(25)</w:t>
        <w:tab/>
      </w:r>
      <w:r>
        <w:rPr/>
        <w:t>合并财务报表的编制方法 编制合并财务报表时，合并范围包括本公司及全部子公司。</w:t>
      </w:r>
    </w:p>
    <w:p>
      <w:pPr>
        <w:pStyle w:val="BodyText"/>
        <w:spacing w:line="312" w:lineRule="exact" w:before="96"/>
        <w:ind w:left="812" w:right="108"/>
        <w:jc w:val="both"/>
      </w:pPr>
      <w:r>
        <w:rPr>
          <w:spacing w:val="2"/>
        </w:rPr>
        <w:t>从取得子公司的实际控制权之日起，本集团开始将其纳入合并范围；从丧失实际控制</w:t>
      </w:r>
      <w:r>
        <w:rPr>
          <w:spacing w:val="-85"/>
        </w:rPr>
        <w:t> </w:t>
      </w:r>
      <w:r>
        <w:rPr>
          <w:spacing w:val="-85"/>
        </w:rPr>
      </w:r>
      <w:r>
        <w:rPr>
          <w:spacing w:val="2"/>
        </w:rPr>
        <w:t>权之日起停止纳入合并范围。对于同一控制下企业合并取得的子公司，自其与本公司</w:t>
      </w:r>
      <w:r>
        <w:rPr>
          <w:spacing w:val="-85"/>
        </w:rPr>
        <w:t> </w:t>
      </w:r>
      <w:r>
        <w:rPr>
          <w:spacing w:val="-85"/>
        </w:rPr>
      </w:r>
      <w:r>
        <w:rPr>
          <w:spacing w:val="2"/>
        </w:rPr>
        <w:t>同受最终控制方控制之日起纳入本公司合并范围，并将其在合并日前实现的净利润在</w:t>
      </w:r>
      <w:r>
        <w:rPr>
          <w:spacing w:val="-85"/>
        </w:rPr>
        <w:t> </w:t>
      </w:r>
      <w:r>
        <w:rPr>
          <w:spacing w:val="-85"/>
        </w:rPr>
      </w:r>
      <w:r>
        <w:rPr/>
        <w:t>合并利润表中单列项目反映。</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在编制合并财务报表时，子公司与本公司采用的会计政策或会计期间不一致的，按照</w:t>
      </w:r>
      <w:r>
        <w:rPr>
          <w:spacing w:val="-85"/>
        </w:rPr>
        <w:t> </w:t>
      </w:r>
      <w:r>
        <w:rPr>
          <w:spacing w:val="-85"/>
        </w:rPr>
      </w:r>
      <w:r>
        <w:rPr>
          <w:spacing w:val="2"/>
        </w:rPr>
        <w:t>本公司的会计政策或会计期间对子公司财务报表进行必要的调整。对于非同一控制下</w:t>
      </w:r>
      <w:r>
        <w:rPr>
          <w:spacing w:val="-85"/>
        </w:rPr>
        <w:t> </w:t>
      </w:r>
      <w:r>
        <w:rPr>
          <w:spacing w:val="-85"/>
        </w:rPr>
      </w:r>
      <w:r>
        <w:rPr>
          <w:spacing w:val="2"/>
        </w:rPr>
        <w:t>企业合并取得的子公司，以购买日可辨认净资产公允价值为基础对其财务报表进行调</w:t>
      </w:r>
      <w:r>
        <w:rPr>
          <w:spacing w:val="-85"/>
        </w:rPr>
        <w:t> </w:t>
      </w:r>
      <w:r>
        <w:rPr>
          <w:spacing w:val="-85"/>
        </w:rPr>
      </w:r>
      <w:r>
        <w:rPr/>
        <w:t>整。</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spacing w:val="2"/>
        </w:rPr>
        <w:t>集团内所有重大往来余额、交易及未实现利润在合并财务报表编制时予以抵销。子公</w:t>
      </w:r>
      <w:r>
        <w:rPr>
          <w:spacing w:val="-85"/>
        </w:rPr>
        <w:t> </w:t>
      </w:r>
      <w:r>
        <w:rPr>
          <w:spacing w:val="-85"/>
        </w:rPr>
      </w:r>
      <w:r>
        <w:rPr>
          <w:spacing w:val="2"/>
        </w:rPr>
        <w:t>司的股东权益及当期净损益中不属于本公司所拥有的部分分别作为少数股东权益及少</w:t>
      </w:r>
      <w:r>
        <w:rPr>
          <w:spacing w:val="-85"/>
        </w:rPr>
        <w:t> </w:t>
      </w:r>
      <w:r>
        <w:rPr>
          <w:spacing w:val="-85"/>
        </w:rPr>
      </w:r>
      <w:r>
        <w:rPr/>
        <w:t>数股东损益在合并财务报表中股东权益及净利润项下单独列示。</w:t>
      </w:r>
    </w:p>
    <w:p>
      <w:pPr>
        <w:pStyle w:val="BodyText"/>
        <w:tabs>
          <w:tab w:pos="811" w:val="left" w:leader="none"/>
        </w:tabs>
        <w:spacing w:line="240" w:lineRule="auto" w:before="210"/>
        <w:ind w:left="102" w:right="0"/>
        <w:jc w:val="left"/>
      </w:pPr>
      <w:r>
        <w:rPr>
          <w:rFonts w:ascii="Arial" w:hAnsi="Arial" w:cs="Arial" w:eastAsia="Arial" w:hint="default"/>
          <w:w w:val="95"/>
          <w:position w:val="2"/>
        </w:rPr>
        <w:t>(26)</w:t>
        <w:tab/>
      </w:r>
      <w:r>
        <w:rPr/>
        <w:t>分部报告</w:t>
      </w:r>
    </w:p>
    <w:p>
      <w:pPr>
        <w:spacing w:line="240" w:lineRule="auto" w:before="4"/>
        <w:rPr>
          <w:rFonts w:ascii="宋体" w:hAnsi="宋体" w:cs="宋体" w:eastAsia="宋体" w:hint="default"/>
          <w:sz w:val="23"/>
          <w:szCs w:val="23"/>
        </w:rPr>
      </w:pPr>
    </w:p>
    <w:p>
      <w:pPr>
        <w:pStyle w:val="BodyText"/>
        <w:spacing w:line="312" w:lineRule="exact"/>
        <w:ind w:left="812" w:right="108"/>
        <w:jc w:val="both"/>
      </w:pPr>
      <w:r>
        <w:rPr>
          <w:spacing w:val="2"/>
        </w:rPr>
        <w:t>业务分部是指本集团内可区分的、能够提供单项或一组相关产品或劳务的组成部分，</w:t>
      </w:r>
      <w:r>
        <w:rPr>
          <w:spacing w:val="-85"/>
        </w:rPr>
        <w:t> </w:t>
      </w:r>
      <w:r>
        <w:rPr>
          <w:spacing w:val="-85"/>
        </w:rPr>
      </w:r>
      <w:r>
        <w:rPr>
          <w:spacing w:val="2"/>
        </w:rPr>
        <w:t>该组成部分承担了不同于其他组成部分的风险和报酬。地区分部是指本集团内可区分</w:t>
      </w:r>
      <w:r>
        <w:rPr>
          <w:spacing w:val="-85"/>
        </w:rPr>
        <w:t> </w:t>
      </w:r>
      <w:r>
        <w:rPr>
          <w:spacing w:val="-85"/>
        </w:rPr>
      </w:r>
      <w:r>
        <w:rPr>
          <w:spacing w:val="2"/>
        </w:rPr>
        <w:t>的、能够在一个特定的经济环境内提供产品或劳务的组成部分。该组成部分承担了不</w:t>
      </w:r>
      <w:r>
        <w:rPr>
          <w:spacing w:val="-85"/>
        </w:rPr>
        <w:t> </w:t>
      </w:r>
      <w:r>
        <w:rPr>
          <w:spacing w:val="-85"/>
        </w:rPr>
      </w:r>
      <w:r>
        <w:rPr/>
        <w:t>同于在其他经济环境内提供产品或劳务的组成部分的风险和报酬。</w:t>
      </w:r>
    </w:p>
    <w:p>
      <w:pPr>
        <w:spacing w:line="240" w:lineRule="auto" w:before="1"/>
        <w:rPr>
          <w:rFonts w:ascii="宋体" w:hAnsi="宋体" w:cs="宋体" w:eastAsia="宋体" w:hint="default"/>
          <w:sz w:val="21"/>
          <w:szCs w:val="21"/>
        </w:rPr>
      </w:pPr>
    </w:p>
    <w:p>
      <w:pPr>
        <w:pStyle w:val="BodyText"/>
        <w:spacing w:line="312" w:lineRule="exact"/>
        <w:ind w:left="812" w:right="108"/>
        <w:jc w:val="both"/>
      </w:pPr>
      <w:r>
        <w:rPr/>
        <w:t>由于本集团收入及业绩超过</w:t>
      </w:r>
      <w:r>
        <w:rPr>
          <w:spacing w:val="-4"/>
        </w:rPr>
        <w:t> </w:t>
      </w:r>
      <w:r>
        <w:rPr>
          <w:rFonts w:ascii="Arial" w:hAnsi="Arial" w:cs="Arial" w:eastAsia="Arial" w:hint="default"/>
        </w:rPr>
        <w:t>90%</w:t>
      </w:r>
      <w:r>
        <w:rPr/>
        <w:t>源自电器及消费电子产品的零售业务，因此并未呈列 </w:t>
      </w:r>
      <w:r>
        <w:rPr>
          <w:spacing w:val="2"/>
        </w:rPr>
        <w:t>业务分部分析。由于本集团的收入全部源自中国的客户且本集团资产全部位于中国，</w:t>
      </w:r>
      <w:r>
        <w:rPr>
          <w:spacing w:val="-85"/>
        </w:rPr>
        <w:t> </w:t>
      </w:r>
      <w:r>
        <w:rPr>
          <w:spacing w:val="-85"/>
        </w:rPr>
      </w:r>
      <w:r>
        <w:rPr/>
        <w:t>故未呈列地区分部分析。</w:t>
      </w:r>
    </w:p>
    <w:p>
      <w:pPr>
        <w:spacing w:after="0" w:line="312" w:lineRule="exact"/>
        <w:jc w:val="both"/>
        <w:sectPr>
          <w:pgSz w:w="11910" w:h="16840"/>
          <w:pgMar w:header="826" w:footer="894" w:top="1100" w:bottom="1080" w:left="940" w:right="104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92"/>
        <w:jc w:val="left"/>
        <w:rPr>
          <w:rFonts w:ascii="Arial" w:hAnsi="Arial" w:cs="Arial" w:eastAsia="Arial" w:hint="default"/>
          <w:b w:val="0"/>
          <w:bCs w:val="0"/>
        </w:rPr>
      </w:pPr>
      <w:r>
        <w:rPr>
          <w:w w:val="95"/>
        </w:rPr>
        <w:t>四</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92"/>
        <w:jc w:val="left"/>
      </w:pPr>
      <w:r>
        <w:rPr>
          <w:rFonts w:ascii="Arial" w:hAnsi="Arial" w:cs="Arial" w:eastAsia="Arial" w:hint="default"/>
          <w:w w:val="95"/>
          <w:position w:val="2"/>
        </w:rPr>
        <w:t>(27)</w:t>
        <w:tab/>
      </w:r>
      <w:r>
        <w:rPr/>
        <w:t>重要会计估计和判断</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本集团根据历史经验和其它因素，包括对未来事项的合理预期，对所采用的重要会计</w:t>
      </w:r>
      <w:r>
        <w:rPr>
          <w:spacing w:val="-85"/>
        </w:rPr>
        <w:t> </w:t>
      </w:r>
      <w:r>
        <w:rPr>
          <w:spacing w:val="-85"/>
        </w:rPr>
      </w:r>
      <w:r>
        <w:rPr/>
        <w:t>估计和关键假设进行持续的评价。</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(a)</w:t>
        <w:tab/>
      </w:r>
      <w:r>
        <w:rPr/>
        <w:t>存货跌价准备</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本集团将大量的流动资金投入存货，对于存货跌价准备的风险，本集团已经执行了严</w:t>
      </w:r>
      <w:r>
        <w:rPr>
          <w:spacing w:val="-85"/>
        </w:rPr>
        <w:t> </w:t>
      </w:r>
      <w:r>
        <w:rPr>
          <w:spacing w:val="-85"/>
        </w:rPr>
      </w:r>
      <w:r>
        <w:rPr>
          <w:spacing w:val="2"/>
        </w:rPr>
        <w:t>格的措施加以监控。对于低于采购价的商品销售，除非有供应商的商业折扣确认函，</w:t>
      </w:r>
      <w:r>
        <w:rPr>
          <w:spacing w:val="-85"/>
        </w:rPr>
        <w:t> </w:t>
      </w:r>
      <w:r>
        <w:rPr>
          <w:spacing w:val="-85"/>
        </w:rPr>
      </w:r>
      <w:r>
        <w:rPr/>
        <w:t>否则</w:t>
      </w:r>
      <w:r>
        <w:rPr>
          <w:spacing w:val="-57"/>
        </w:rPr>
        <w:t> </w:t>
      </w:r>
      <w:r>
        <w:rPr>
          <w:rFonts w:ascii="Arial" w:hAnsi="Arial" w:cs="Arial" w:eastAsia="Arial" w:hint="default"/>
        </w:rPr>
        <w:t>SAP/ERP</w:t>
      </w:r>
      <w:r>
        <w:rPr>
          <w:rFonts w:ascii="Arial" w:hAnsi="Arial" w:cs="Arial" w:eastAsia="Arial" w:hint="default"/>
          <w:spacing w:val="-5"/>
        </w:rPr>
        <w:t> </w:t>
      </w:r>
      <w:r>
        <w:rPr>
          <w:spacing w:val="-3"/>
        </w:rPr>
        <w:t>系统不能产生提货单实现销售。对于存货账龄清单上滞销的存货，大部</w:t>
      </w:r>
      <w:r>
        <w:rPr/>
        <w:t> </w:t>
      </w:r>
      <w:r>
        <w:rPr>
          <w:spacing w:val="2"/>
        </w:rPr>
        <w:t>分可以根据供应商的退货保证退回供应商；对于供应商没有退货保证的，或者已经不</w:t>
      </w:r>
      <w:r>
        <w:rPr>
          <w:spacing w:val="-85"/>
        </w:rPr>
        <w:t> </w:t>
      </w:r>
      <w:r>
        <w:rPr>
          <w:spacing w:val="-85"/>
        </w:rPr>
      </w:r>
      <w:r>
        <w:rPr>
          <w:spacing w:val="2"/>
        </w:rPr>
        <w:t>再交易的供应商，本集团根据滞销存货的账面价值和各自的可变现净值计提存货跌价</w:t>
      </w:r>
      <w:r>
        <w:rPr>
          <w:spacing w:val="-85"/>
        </w:rPr>
        <w:t> </w:t>
      </w:r>
      <w:r>
        <w:rPr>
          <w:spacing w:val="-85"/>
        </w:rPr>
      </w:r>
      <w:r>
        <w:rPr/>
        <w:t>准备。</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92"/>
        <w:jc w:val="left"/>
      </w:pPr>
      <w:r>
        <w:rPr>
          <w:rFonts w:ascii="Arial" w:hAnsi="Arial" w:cs="Arial" w:eastAsia="Arial" w:hint="default"/>
          <w:w w:val="95"/>
          <w:position w:val="2"/>
        </w:rPr>
        <w:t>(b)</w:t>
        <w:tab/>
      </w:r>
      <w:r>
        <w:rPr/>
        <w:t>所得税</w:t>
      </w:r>
    </w:p>
    <w:p>
      <w:pPr>
        <w:spacing w:line="240" w:lineRule="auto" w:before="4"/>
        <w:rPr>
          <w:rFonts w:ascii="宋体" w:hAnsi="宋体" w:cs="宋体" w:eastAsia="宋体" w:hint="default"/>
          <w:sz w:val="23"/>
          <w:szCs w:val="23"/>
        </w:rPr>
      </w:pPr>
    </w:p>
    <w:p>
      <w:pPr>
        <w:pStyle w:val="BodyText"/>
        <w:spacing w:line="312" w:lineRule="exact"/>
        <w:ind w:left="812" w:right="92"/>
        <w:jc w:val="left"/>
      </w:pPr>
      <w:r>
        <w:rPr>
          <w:spacing w:val="2"/>
        </w:rPr>
        <w:t>本集团在多个地区缴纳企业所得税。在正常的经营活动中，很多交易和事项的最终税</w:t>
      </w:r>
      <w:r>
        <w:rPr>
          <w:spacing w:val="-85"/>
        </w:rPr>
        <w:t> </w:t>
      </w:r>
      <w:r>
        <w:rPr>
          <w:spacing w:val="-85"/>
        </w:rPr>
      </w:r>
      <w:r>
        <w:rPr/>
        <w:t>务处理都存在不确定性。在计提各个地区的所得税费用时，本集团需要作出重大判断。</w:t>
      </w:r>
      <w:r>
        <w:rPr/>
        <w:t> </w:t>
      </w:r>
      <w:r>
        <w:rPr>
          <w:spacing w:val="2"/>
        </w:rPr>
        <w:t>如果这些税务事项的最终认定结果与最初入账的金额存在差异，该差异将对作出上述</w:t>
      </w:r>
      <w:r>
        <w:rPr>
          <w:spacing w:val="-85"/>
        </w:rPr>
        <w:t> </w:t>
      </w:r>
      <w:r>
        <w:rPr>
          <w:spacing w:val="-85"/>
        </w:rPr>
      </w:r>
      <w:r>
        <w:rPr/>
        <w:t>最终认定期间的所得税费用和递延所得税的金额产生影响。</w:t>
      </w:r>
    </w:p>
    <w:p>
      <w:pPr>
        <w:pStyle w:val="BodyText"/>
        <w:tabs>
          <w:tab w:pos="811" w:val="left" w:leader="none"/>
        </w:tabs>
        <w:spacing w:line="240" w:lineRule="auto" w:before="210"/>
        <w:ind w:left="102" w:right="92"/>
        <w:jc w:val="left"/>
      </w:pPr>
      <w:r>
        <w:rPr>
          <w:rFonts w:ascii="Arial" w:hAnsi="Arial" w:cs="Arial" w:eastAsia="Arial" w:hint="default"/>
          <w:position w:val="2"/>
        </w:rPr>
        <w:t>(c)</w:t>
        <w:tab/>
      </w:r>
      <w:r>
        <w:rPr/>
        <w:t>积分计划</w:t>
      </w:r>
    </w:p>
    <w:p>
      <w:pPr>
        <w:spacing w:line="240" w:lineRule="auto" w:before="4"/>
        <w:rPr>
          <w:rFonts w:ascii="宋体" w:hAnsi="宋体" w:cs="宋体" w:eastAsia="宋体" w:hint="default"/>
          <w:sz w:val="23"/>
          <w:szCs w:val="23"/>
        </w:rPr>
      </w:pPr>
    </w:p>
    <w:p>
      <w:pPr>
        <w:pStyle w:val="BodyText"/>
        <w:spacing w:line="312" w:lineRule="exact"/>
        <w:ind w:left="812" w:right="228"/>
        <w:jc w:val="both"/>
      </w:pPr>
      <w:r>
        <w:rPr>
          <w:spacing w:val="2"/>
        </w:rPr>
        <w:t>本集团实施积分计划，顾客前次消费额生产的积分，可以在下次消费时抵用。授予顾</w:t>
      </w:r>
      <w:r>
        <w:rPr>
          <w:spacing w:val="-85"/>
        </w:rPr>
        <w:t> </w:t>
      </w:r>
      <w:r>
        <w:rPr>
          <w:spacing w:val="-85"/>
        </w:rPr>
      </w:r>
      <w:r>
        <w:rPr>
          <w:spacing w:val="2"/>
        </w:rPr>
        <w:t>客的积分奖励作为销售交易的一部分。销售取得的货款应在商品销售产生的收入与奖</w:t>
      </w:r>
      <w:r>
        <w:rPr>
          <w:spacing w:val="-85"/>
        </w:rPr>
        <w:t> </w:t>
      </w:r>
      <w:r>
        <w:rPr>
          <w:spacing w:val="-85"/>
        </w:rPr>
      </w:r>
      <w:r>
        <w:rPr>
          <w:spacing w:val="2"/>
        </w:rPr>
        <w:t>励积分之间进行分配，与奖励积分相关的部分应首先作为递延收益，待顾客兑换奖励</w:t>
      </w:r>
      <w:r>
        <w:rPr>
          <w:spacing w:val="-85"/>
        </w:rPr>
        <w:t> </w:t>
      </w:r>
      <w:r>
        <w:rPr>
          <w:spacing w:val="-85"/>
        </w:rPr>
      </w:r>
      <w:r>
        <w:rPr>
          <w:spacing w:val="2"/>
        </w:rPr>
        <w:t>积分或失效时，结转计入当期损益。予以递延确认的收益以授予顾客的积分为基准，</w:t>
      </w:r>
      <w:r>
        <w:rPr>
          <w:spacing w:val="-85"/>
        </w:rPr>
        <w:t> </w:t>
      </w:r>
      <w:r>
        <w:rPr>
          <w:spacing w:val="-85"/>
        </w:rPr>
      </w:r>
      <w:r>
        <w:rPr>
          <w:spacing w:val="2"/>
        </w:rPr>
        <w:t>并根据本集团已公布的积分使用方法和积分的预期兑付率，按公允价值确认。预期兑</w:t>
      </w:r>
      <w:r>
        <w:rPr>
          <w:spacing w:val="-85"/>
        </w:rPr>
        <w:t> </w:t>
      </w:r>
      <w:r>
        <w:rPr>
          <w:spacing w:val="-85"/>
        </w:rPr>
      </w:r>
      <w:r>
        <w:rPr>
          <w:spacing w:val="2"/>
        </w:rPr>
        <w:t>付率的可靠估计有赖于数理统计。由于积分计划推出不久，本集团无足够长的历史记</w:t>
      </w:r>
      <w:r>
        <w:rPr>
          <w:spacing w:val="-85"/>
        </w:rPr>
        <w:t> </w:t>
      </w:r>
      <w:r>
        <w:rPr>
          <w:spacing w:val="-85"/>
        </w:rPr>
      </w:r>
      <w:r>
        <w:rPr>
          <w:spacing w:val="2"/>
        </w:rPr>
        <w:t>录，因此本集团对预期兑付率做出重大估计。于每个资产负债表日，本集团将根据积</w:t>
      </w:r>
      <w:r>
        <w:rPr>
          <w:spacing w:val="-85"/>
        </w:rPr>
        <w:t> </w:t>
      </w:r>
      <w:r>
        <w:rPr>
          <w:spacing w:val="-85"/>
        </w:rPr>
      </w:r>
      <w:r>
        <w:rPr/>
        <w:t>分的实际兑付情况，对预期兑付率进行重新估算，并调整递延收益余额。</w:t>
      </w:r>
    </w:p>
    <w:p>
      <w:pPr>
        <w:spacing w:after="0" w:line="312" w:lineRule="exact"/>
        <w:jc w:val="both"/>
        <w:sectPr>
          <w:pgSz w:w="11910" w:h="16840"/>
          <w:pgMar w:header="826" w:footer="894" w:top="1100" w:bottom="1080" w:left="940" w:right="920"/>
        </w:sectPr>
      </w:pPr>
    </w:p>
    <w:p>
      <w:pPr>
        <w:spacing w:line="240" w:lineRule="auto" w:before="7"/>
        <w:rPr>
          <w:rFonts w:ascii="宋体" w:hAnsi="宋体" w:cs="宋体" w:eastAsia="宋体" w:hint="default"/>
          <w:sz w:val="24"/>
          <w:szCs w:val="24"/>
        </w:rPr>
      </w:pPr>
    </w:p>
    <w:p>
      <w:pPr>
        <w:pStyle w:val="BodyText"/>
        <w:tabs>
          <w:tab w:pos="811" w:val="left" w:leader="none"/>
        </w:tabs>
        <w:spacing w:line="448" w:lineRule="auto" w:before="26"/>
        <w:ind w:left="811" w:right="3850" w:hanging="710"/>
        <w:jc w:val="left"/>
      </w:pPr>
      <w:r>
        <w:rPr>
          <w:rFonts w:ascii="宋体" w:hAnsi="宋体" w:cs="宋体" w:eastAsia="宋体" w:hint="default"/>
          <w:b/>
          <w:bCs/>
          <w:w w:val="95"/>
        </w:rPr>
        <w:t>五</w:t>
        <w:tab/>
      </w:r>
      <w:r>
        <w:rPr>
          <w:rFonts w:ascii="宋体" w:hAnsi="宋体" w:cs="宋体" w:eastAsia="宋体" w:hint="default"/>
          <w:b/>
          <w:bCs/>
        </w:rPr>
        <w:t>税项</w:t>
      </w:r>
      <w:r>
        <w:rPr>
          <w:rFonts w:ascii="宋体" w:hAnsi="宋体" w:cs="宋体" w:eastAsia="宋体" w:hint="default"/>
          <w:b/>
          <w:bCs/>
          <w:w w:val="99"/>
        </w:rPr>
        <w:t> </w:t>
      </w:r>
      <w:r>
        <w:rPr/>
        <w:t>本集团本年度适用的主要税种及其税率列示如下：</w:t>
      </w:r>
    </w:p>
    <w:p>
      <w:pPr>
        <w:pStyle w:val="BodyText"/>
        <w:tabs>
          <w:tab w:pos="2796" w:val="left" w:leader="none"/>
          <w:tab w:pos="7615" w:val="left" w:leader="none"/>
        </w:tabs>
        <w:spacing w:line="240" w:lineRule="auto" w:before="65"/>
        <w:ind w:left="812" w:right="1690"/>
        <w:jc w:val="left"/>
      </w:pPr>
      <w:r>
        <w:rPr/>
      </w:r>
      <w:r>
        <w:rPr>
          <w:u w:val="single" w:color="000000"/>
        </w:rPr>
        <w:t>税种</w:t>
      </w:r>
      <w:r>
        <w:rPr/>
        <w:tab/>
      </w:r>
      <w:r>
        <w:rPr>
          <w:u w:val="single" w:color="000000"/>
        </w:rPr>
        <w:t>税率</w:t>
      </w:r>
      <w:r>
        <w:rPr/>
        <w:tab/>
      </w:r>
      <w:r>
        <w:rPr>
          <w:u w:val="single" w:color="000000"/>
        </w:rPr>
        <w:t>税基</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26" w:footer="894" w:top="1100" w:bottom="1080" w:left="940" w:right="1020"/>
        </w:sectPr>
      </w:pPr>
    </w:p>
    <w:p>
      <w:pPr>
        <w:pStyle w:val="BodyText"/>
        <w:tabs>
          <w:tab w:pos="2796" w:val="left" w:leader="none"/>
        </w:tabs>
        <w:spacing w:line="322" w:lineRule="exact" w:before="26"/>
        <w:ind w:left="812" w:right="-17"/>
        <w:jc w:val="left"/>
      </w:pPr>
      <w:r>
        <w:rPr/>
        <w:t>企业所得税</w:t>
        <w:tab/>
        <w:t>企业所得税税率为</w:t>
      </w:r>
      <w:r>
        <w:rPr>
          <w:spacing w:val="-57"/>
        </w:rPr>
        <w:t> </w:t>
      </w:r>
      <w:r>
        <w:rPr>
          <w:rFonts w:ascii="Arial" w:hAnsi="Arial" w:cs="Arial" w:eastAsia="Arial" w:hint="default"/>
          <w:spacing w:val="-6"/>
        </w:rPr>
        <w:t>25%</w:t>
      </w:r>
      <w:r>
        <w:rPr>
          <w:spacing w:val="-6"/>
        </w:rPr>
        <w:t>，其中部分子公司</w:t>
      </w:r>
    </w:p>
    <w:p>
      <w:pPr>
        <w:pStyle w:val="BodyText"/>
        <w:spacing w:line="304" w:lineRule="exact"/>
        <w:ind w:left="2796" w:right="0"/>
        <w:jc w:val="both"/>
      </w:pPr>
      <w:r>
        <w:rPr/>
        <w:t>可以享受企业所得税优惠税率；</w:t>
      </w:r>
    </w:p>
    <w:p>
      <w:pPr>
        <w:spacing w:line="240" w:lineRule="auto" w:before="12"/>
        <w:rPr>
          <w:rFonts w:ascii="宋体" w:hAnsi="宋体" w:cs="宋体" w:eastAsia="宋体" w:hint="default"/>
          <w:sz w:val="20"/>
          <w:szCs w:val="20"/>
        </w:rPr>
      </w:pPr>
    </w:p>
    <w:p>
      <w:pPr>
        <w:pStyle w:val="BodyText"/>
        <w:spacing w:line="322" w:lineRule="exact"/>
        <w:ind w:left="2796" w:right="0"/>
        <w:jc w:val="both"/>
      </w:pPr>
      <w:r>
        <w:rPr/>
        <w:t>年度应纳税所得额不超过 </w:t>
      </w:r>
      <w:r>
        <w:rPr>
          <w:rFonts w:ascii="Arial" w:hAnsi="Arial" w:cs="Arial" w:eastAsia="Arial" w:hint="default"/>
        </w:rPr>
        <w:t>30</w:t>
      </w:r>
      <w:r>
        <w:rPr>
          <w:rFonts w:ascii="Arial" w:hAnsi="Arial" w:cs="Arial" w:eastAsia="Arial" w:hint="default"/>
          <w:spacing w:val="24"/>
        </w:rPr>
        <w:t> </w:t>
      </w:r>
      <w:r>
        <w:rPr/>
        <w:t>万元，从业</w:t>
      </w:r>
    </w:p>
    <w:p>
      <w:pPr>
        <w:pStyle w:val="BodyText"/>
        <w:spacing w:line="312" w:lineRule="exact" w:before="21"/>
        <w:ind w:left="2796" w:right="0"/>
        <w:jc w:val="both"/>
      </w:pPr>
      <w:r>
        <w:rPr/>
        <w:t>人数不超过</w:t>
      </w:r>
      <w:r>
        <w:rPr>
          <w:spacing w:val="-61"/>
        </w:rPr>
        <w:t> </w:t>
      </w:r>
      <w:r>
        <w:rPr>
          <w:rFonts w:ascii="Arial" w:hAnsi="Arial" w:cs="Arial" w:eastAsia="Arial" w:hint="default"/>
        </w:rPr>
        <w:t>80</w:t>
      </w:r>
      <w:r>
        <w:rPr>
          <w:rFonts w:ascii="Arial" w:hAnsi="Arial" w:cs="Arial" w:eastAsia="Arial" w:hint="default"/>
          <w:spacing w:val="-8"/>
        </w:rPr>
        <w:t> </w:t>
      </w:r>
      <w:r>
        <w:rPr>
          <w:spacing w:val="-10"/>
        </w:rPr>
        <w:t>人，资产总额不超过</w:t>
      </w:r>
      <w:r>
        <w:rPr>
          <w:spacing w:val="-61"/>
        </w:rPr>
        <w:t> </w:t>
      </w:r>
      <w:r>
        <w:rPr>
          <w:rFonts w:ascii="Arial" w:hAnsi="Arial" w:cs="Arial" w:eastAsia="Arial" w:hint="default"/>
        </w:rPr>
        <w:t>1,000</w:t>
      </w:r>
      <w:r>
        <w:rPr>
          <w:rFonts w:ascii="Arial" w:hAnsi="Arial" w:cs="Arial" w:eastAsia="Arial" w:hint="default"/>
          <w:spacing w:val="-1"/>
          <w:w w:val="99"/>
        </w:rPr>
        <w:t> </w:t>
      </w:r>
      <w:r>
        <w:rPr>
          <w:spacing w:val="-5"/>
        </w:rPr>
        <w:t>万元的小型微利企业，按照</w:t>
      </w:r>
      <w:r>
        <w:rPr>
          <w:spacing w:val="-62"/>
        </w:rPr>
        <w:t> </w:t>
      </w:r>
      <w:r>
        <w:rPr>
          <w:rFonts w:ascii="Arial" w:hAnsi="Arial" w:cs="Arial" w:eastAsia="Arial" w:hint="default"/>
        </w:rPr>
        <w:t>20%</w:t>
      </w:r>
      <w:r>
        <w:rPr/>
        <w:t>征收企业 所得税。</w:t>
      </w:r>
    </w:p>
    <w:p>
      <w:pPr>
        <w:pStyle w:val="BodyText"/>
        <w:spacing w:line="240" w:lineRule="auto" w:before="26"/>
        <w:ind w:left="459" w:right="0"/>
        <w:jc w:val="left"/>
      </w:pPr>
      <w:r>
        <w:rPr/>
        <w:br w:type="column"/>
      </w:r>
      <w:r>
        <w:rPr/>
        <w:t>应纳税所得额</w:t>
      </w:r>
    </w:p>
    <w:p>
      <w:pPr>
        <w:spacing w:after="0" w:line="240" w:lineRule="auto"/>
        <w:jc w:val="left"/>
        <w:sectPr>
          <w:type w:val="continuous"/>
          <w:pgSz w:w="11910" w:h="16840"/>
          <w:pgMar w:top="1600" w:bottom="280" w:left="940" w:right="1020"/>
          <w:cols w:num="2" w:equalWidth="0">
            <w:col w:w="7117" w:space="40"/>
            <w:col w:w="2793"/>
          </w:cols>
        </w:sect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40" w:right="1020"/>
        </w:sectPr>
      </w:pPr>
    </w:p>
    <w:p>
      <w:pPr>
        <w:pStyle w:val="BodyText"/>
        <w:tabs>
          <w:tab w:pos="2796" w:val="left" w:leader="none"/>
        </w:tabs>
        <w:spacing w:line="312" w:lineRule="exact" w:before="56"/>
        <w:ind w:left="2796" w:right="0" w:hanging="1985"/>
        <w:jc w:val="left"/>
      </w:pPr>
      <w:r>
        <w:rPr/>
        <w:t>增值税</w:t>
        <w:tab/>
        <w:t>家用电器销售：小规模纳税人增值税税率 为</w:t>
      </w:r>
      <w:r>
        <w:rPr>
          <w:spacing w:val="-62"/>
        </w:rPr>
        <w:t> </w:t>
      </w:r>
      <w:r>
        <w:rPr>
          <w:rFonts w:ascii="Arial" w:hAnsi="Arial" w:cs="Arial" w:eastAsia="Arial" w:hint="default"/>
        </w:rPr>
        <w:t>4%</w:t>
      </w:r>
      <w:r>
        <w:rPr/>
        <w:t>，一般纳税人增值税税率为</w:t>
      </w:r>
      <w:r>
        <w:rPr>
          <w:spacing w:val="-62"/>
        </w:rPr>
        <w:t> </w:t>
      </w:r>
      <w:r>
        <w:rPr>
          <w:rFonts w:ascii="Arial" w:hAnsi="Arial" w:cs="Arial" w:eastAsia="Arial" w:hint="default"/>
        </w:rPr>
        <w:t>17%</w:t>
      </w:r>
      <w:r>
        <w:rPr/>
        <w:t>；</w:t>
      </w:r>
    </w:p>
    <w:p>
      <w:pPr>
        <w:spacing w:line="240" w:lineRule="auto" w:before="1"/>
        <w:rPr>
          <w:rFonts w:ascii="宋体" w:hAnsi="宋体" w:cs="宋体" w:eastAsia="宋体" w:hint="default"/>
          <w:sz w:val="21"/>
          <w:szCs w:val="21"/>
        </w:rPr>
      </w:pPr>
    </w:p>
    <w:p>
      <w:pPr>
        <w:pStyle w:val="BodyText"/>
        <w:spacing w:line="312" w:lineRule="exact"/>
        <w:ind w:left="2796" w:right="-20"/>
        <w:jc w:val="left"/>
      </w:pPr>
      <w:r>
        <w:rPr/>
        <w:t>家用电器维修：小规模纳税人增值税税率 为</w:t>
      </w:r>
      <w:r>
        <w:rPr>
          <w:spacing w:val="-62"/>
        </w:rPr>
        <w:t> </w:t>
      </w:r>
      <w:r>
        <w:rPr>
          <w:rFonts w:ascii="Arial" w:hAnsi="Arial" w:cs="Arial" w:eastAsia="Arial" w:hint="default"/>
        </w:rPr>
        <w:t>6%</w:t>
      </w:r>
      <w:r>
        <w:rPr/>
        <w:t>，一般纳税人增值税税率为</w:t>
      </w:r>
      <w:r>
        <w:rPr>
          <w:spacing w:val="-62"/>
        </w:rPr>
        <w:t> </w:t>
      </w:r>
      <w:r>
        <w:rPr>
          <w:rFonts w:ascii="Arial" w:hAnsi="Arial" w:cs="Arial" w:eastAsia="Arial" w:hint="default"/>
        </w:rPr>
        <w:t>17%</w:t>
      </w:r>
      <w:r>
        <w:rPr/>
        <w:t>。</w:t>
      </w:r>
    </w:p>
    <w:p>
      <w:pPr>
        <w:pStyle w:val="BodyText"/>
        <w:spacing w:line="312" w:lineRule="exact" w:before="56"/>
        <w:ind w:left="459" w:right="102"/>
        <w:jc w:val="both"/>
        <w:rPr>
          <w:rFonts w:ascii="Arial" w:hAnsi="Arial" w:cs="Arial" w:eastAsia="Arial" w:hint="default"/>
        </w:rPr>
      </w:pPr>
      <w:r>
        <w:rPr>
          <w:spacing w:val="20"/>
        </w:rPr>
        <w:br w:type="column"/>
      </w:r>
      <w:r>
        <w:rPr>
          <w:spacing w:val="20"/>
        </w:rPr>
        <w:t>应纳税增值额</w:t>
      </w:r>
      <w:r>
        <w:rPr>
          <w:rFonts w:ascii="Arial" w:hAnsi="Arial" w:cs="Arial" w:eastAsia="Arial" w:hint="default"/>
          <w:spacing w:val="20"/>
        </w:rPr>
        <w:t>(</w:t>
      </w:r>
      <w:r>
        <w:rPr>
          <w:rFonts w:ascii="Arial" w:hAnsi="Arial" w:cs="Arial" w:eastAsia="Arial" w:hint="default"/>
          <w:spacing w:val="-39"/>
        </w:rPr>
        <w:t> </w:t>
      </w:r>
      <w:r>
        <w:rPr>
          <w:spacing w:val="12"/>
        </w:rPr>
        <w:t>应纳</w:t>
      </w:r>
      <w:r>
        <w:rPr>
          <w:spacing w:val="-118"/>
        </w:rPr>
        <w:t> </w:t>
      </w:r>
      <w:r>
        <w:rPr>
          <w:spacing w:val="4"/>
        </w:rPr>
        <w:t>税额按应纳税销售额</w:t>
      </w:r>
      <w:r>
        <w:rPr>
          <w:spacing w:val="4"/>
        </w:rPr>
        <w:t> 乘以适用税率扣除当 期允计抵扣的进项税 </w:t>
      </w:r>
      <w:r>
        <w:rPr/>
        <w:t>后的余额计算</w:t>
      </w:r>
      <w:r>
        <w:rPr>
          <w:rFonts w:ascii="Arial" w:hAnsi="Arial" w:cs="Arial" w:eastAsia="Arial" w:hint="default"/>
        </w:rPr>
        <w:t>)</w:t>
      </w:r>
    </w:p>
    <w:p>
      <w:pPr>
        <w:spacing w:after="0" w:line="312" w:lineRule="exact"/>
        <w:jc w:val="both"/>
        <w:rPr>
          <w:rFonts w:ascii="Arial" w:hAnsi="Arial" w:cs="Arial" w:eastAsia="Arial" w:hint="default"/>
        </w:rPr>
        <w:sectPr>
          <w:type w:val="continuous"/>
          <w:pgSz w:w="11910" w:h="16840"/>
          <w:pgMar w:top="1600" w:bottom="280" w:left="940" w:right="1020"/>
          <w:cols w:num="2" w:equalWidth="0">
            <w:col w:w="7117" w:space="40"/>
            <w:col w:w="2793"/>
          </w:cols>
        </w:sectPr>
      </w:pPr>
    </w:p>
    <w:p>
      <w:pPr>
        <w:spacing w:line="240" w:lineRule="auto" w:before="1"/>
        <w:rPr>
          <w:rFonts w:ascii="Arial" w:hAnsi="Arial" w:cs="Arial" w:eastAsia="Arial" w:hint="default"/>
          <w:sz w:val="19"/>
          <w:szCs w:val="19"/>
        </w:rPr>
      </w:pPr>
    </w:p>
    <w:p>
      <w:pPr>
        <w:spacing w:after="0" w:line="240" w:lineRule="auto"/>
        <w:rPr>
          <w:rFonts w:ascii="Arial" w:hAnsi="Arial" w:cs="Arial" w:eastAsia="Arial" w:hint="default"/>
          <w:sz w:val="19"/>
          <w:szCs w:val="19"/>
        </w:rPr>
        <w:sectPr>
          <w:type w:val="continuous"/>
          <w:pgSz w:w="11910" w:h="16840"/>
          <w:pgMar w:top="1600" w:bottom="280" w:left="940" w:right="1020"/>
        </w:sectPr>
      </w:pPr>
    </w:p>
    <w:p>
      <w:pPr>
        <w:pStyle w:val="BodyText"/>
        <w:tabs>
          <w:tab w:pos="2796" w:val="left" w:leader="none"/>
        </w:tabs>
        <w:spacing w:line="312" w:lineRule="exact" w:before="56"/>
        <w:ind w:left="2796" w:right="0" w:hanging="1985"/>
        <w:jc w:val="left"/>
      </w:pPr>
      <w:r>
        <w:rPr/>
        <w:t>营业税</w:t>
        <w:tab/>
        <w:t>培训业务收入、安装业务收入营业税税率 为</w:t>
      </w:r>
      <w:r>
        <w:rPr>
          <w:spacing w:val="-62"/>
        </w:rPr>
        <w:t> </w:t>
      </w:r>
      <w:r>
        <w:rPr>
          <w:rFonts w:ascii="Arial" w:hAnsi="Arial" w:cs="Arial" w:eastAsia="Arial" w:hint="default"/>
        </w:rPr>
        <w:t>3%</w:t>
      </w:r>
      <w:r>
        <w:rPr/>
        <w:t>；</w:t>
      </w:r>
    </w:p>
    <w:p>
      <w:pPr>
        <w:spacing w:line="240" w:lineRule="auto" w:before="1"/>
        <w:rPr>
          <w:rFonts w:ascii="宋体" w:hAnsi="宋体" w:cs="宋体" w:eastAsia="宋体" w:hint="default"/>
          <w:sz w:val="21"/>
          <w:szCs w:val="21"/>
        </w:rPr>
      </w:pPr>
    </w:p>
    <w:p>
      <w:pPr>
        <w:pStyle w:val="BodyText"/>
        <w:spacing w:line="312" w:lineRule="exact"/>
        <w:ind w:left="2796" w:right="-20"/>
        <w:jc w:val="left"/>
      </w:pPr>
      <w:r>
        <w:rPr/>
        <w:t>代理收入、租赁收入、连锁店服务收入及 广告位使用费收入等营业税税率为</w:t>
      </w:r>
      <w:r>
        <w:rPr>
          <w:spacing w:val="-62"/>
        </w:rPr>
        <w:t> </w:t>
      </w:r>
      <w:r>
        <w:rPr>
          <w:rFonts w:ascii="Arial" w:hAnsi="Arial" w:cs="Arial" w:eastAsia="Arial" w:hint="default"/>
        </w:rPr>
        <w:t>5%</w:t>
      </w:r>
      <w:r>
        <w:rPr/>
        <w:t>；</w:t>
      </w:r>
    </w:p>
    <w:p>
      <w:pPr>
        <w:spacing w:line="240" w:lineRule="auto" w:before="10"/>
        <w:rPr>
          <w:rFonts w:ascii="宋体" w:hAnsi="宋体" w:cs="宋体" w:eastAsia="宋体" w:hint="default"/>
          <w:sz w:val="18"/>
          <w:szCs w:val="18"/>
        </w:rPr>
      </w:pPr>
    </w:p>
    <w:p>
      <w:pPr>
        <w:pStyle w:val="BodyText"/>
        <w:spacing w:line="240" w:lineRule="auto"/>
        <w:ind w:left="2796" w:right="-17"/>
        <w:jc w:val="left"/>
      </w:pPr>
      <w:r>
        <w:rPr/>
        <w:t>其他服务收入的营业税税率为</w:t>
      </w:r>
      <w:r>
        <w:rPr>
          <w:spacing w:val="-62"/>
        </w:rPr>
        <w:t> </w:t>
      </w:r>
      <w:r>
        <w:rPr>
          <w:rFonts w:ascii="Arial" w:hAnsi="Arial" w:cs="Arial" w:eastAsia="Arial" w:hint="default"/>
        </w:rPr>
        <w:t>5%</w:t>
      </w:r>
      <w:r>
        <w:rPr/>
        <w:t>。</w:t>
      </w:r>
    </w:p>
    <w:p>
      <w:pPr>
        <w:pStyle w:val="BodyText"/>
        <w:spacing w:line="240" w:lineRule="auto" w:before="26"/>
        <w:ind w:left="459" w:right="0"/>
        <w:jc w:val="left"/>
      </w:pPr>
      <w:r>
        <w:rPr/>
        <w:br w:type="column"/>
      </w:r>
      <w:r>
        <w:rPr/>
        <w:t>应纳税营业额</w:t>
      </w:r>
    </w:p>
    <w:p>
      <w:pPr>
        <w:spacing w:after="0" w:line="240" w:lineRule="auto"/>
        <w:jc w:val="left"/>
        <w:sectPr>
          <w:type w:val="continuous"/>
          <w:pgSz w:w="11910" w:h="16840"/>
          <w:pgMar w:top="1600" w:bottom="280" w:left="940" w:right="1020"/>
          <w:cols w:num="2" w:equalWidth="0">
            <w:col w:w="7117" w:space="40"/>
            <w:col w:w="2793"/>
          </w:cols>
        </w:sectPr>
      </w:pPr>
    </w:p>
    <w:p>
      <w:pPr>
        <w:spacing w:line="240" w:lineRule="auto" w:before="2"/>
        <w:rPr>
          <w:rFonts w:ascii="宋体" w:hAnsi="宋体" w:cs="宋体" w:eastAsia="宋体" w:hint="default"/>
          <w:sz w:val="17"/>
          <w:szCs w:val="17"/>
        </w:rPr>
      </w:pPr>
    </w:p>
    <w:p>
      <w:pPr>
        <w:pStyle w:val="BodyText"/>
        <w:tabs>
          <w:tab w:pos="2796" w:val="left" w:leader="none"/>
          <w:tab w:pos="7615" w:val="left" w:leader="none"/>
        </w:tabs>
        <w:spacing w:line="312" w:lineRule="exact" w:before="63"/>
        <w:ind w:left="7616" w:right="102" w:hanging="6804"/>
        <w:jc w:val="left"/>
      </w:pPr>
      <w:r>
        <w:rPr/>
        <w:t>城市维护建设税</w:t>
        <w:tab/>
      </w:r>
      <w:r>
        <w:rPr>
          <w:rFonts w:ascii="Arial" w:hAnsi="Arial" w:cs="Arial" w:eastAsia="Arial" w:hint="default"/>
          <w:w w:val="95"/>
          <w:position w:val="2"/>
        </w:rPr>
        <w:t>1%-7%</w:t>
        <w:tab/>
      </w:r>
      <w:r>
        <w:rPr>
          <w:spacing w:val="19"/>
        </w:rPr>
        <w:t>营业税</w:t>
      </w:r>
      <w:r>
        <w:rPr>
          <w:rFonts w:ascii="Arial" w:hAnsi="Arial" w:cs="Arial" w:eastAsia="Arial" w:hint="default"/>
          <w:spacing w:val="19"/>
        </w:rPr>
        <w:t>/</w:t>
      </w:r>
      <w:r>
        <w:rPr>
          <w:rFonts w:ascii="Arial" w:hAnsi="Arial" w:cs="Arial" w:eastAsia="Arial" w:hint="default"/>
          <w:spacing w:val="-34"/>
        </w:rPr>
        <w:t> </w:t>
      </w:r>
      <w:r>
        <w:rPr>
          <w:spacing w:val="20"/>
        </w:rPr>
        <w:t>增值税的应</w:t>
      </w:r>
      <w:r>
        <w:rPr>
          <w:spacing w:val="-94"/>
        </w:rPr>
        <w:t> </w:t>
      </w:r>
      <w:r>
        <w:rPr/>
        <w:t>纳税额</w:t>
      </w:r>
    </w:p>
    <w:p>
      <w:pPr>
        <w:spacing w:line="240" w:lineRule="auto" w:before="1"/>
        <w:rPr>
          <w:rFonts w:ascii="宋体" w:hAnsi="宋体" w:cs="宋体" w:eastAsia="宋体" w:hint="default"/>
          <w:sz w:val="21"/>
          <w:szCs w:val="21"/>
        </w:rPr>
      </w:pPr>
    </w:p>
    <w:p>
      <w:pPr>
        <w:pStyle w:val="BodyText"/>
        <w:tabs>
          <w:tab w:pos="2796" w:val="left" w:leader="none"/>
          <w:tab w:pos="7615" w:val="left" w:leader="none"/>
        </w:tabs>
        <w:spacing w:line="312" w:lineRule="exact"/>
        <w:ind w:left="7616" w:right="102" w:hanging="6804"/>
        <w:jc w:val="left"/>
      </w:pPr>
      <w:r>
        <w:rPr/>
        <w:t>教育费附加</w:t>
        <w:tab/>
      </w:r>
      <w:r>
        <w:rPr>
          <w:rFonts w:ascii="Arial" w:hAnsi="Arial" w:cs="Arial" w:eastAsia="Arial" w:hint="default"/>
          <w:w w:val="95"/>
          <w:position w:val="2"/>
        </w:rPr>
        <w:t>3%-4%</w:t>
        <w:tab/>
      </w:r>
      <w:r>
        <w:rPr>
          <w:spacing w:val="19"/>
        </w:rPr>
        <w:t>营业税</w:t>
      </w:r>
      <w:r>
        <w:rPr>
          <w:rFonts w:ascii="Arial" w:hAnsi="Arial" w:cs="Arial" w:eastAsia="Arial" w:hint="default"/>
          <w:spacing w:val="19"/>
        </w:rPr>
        <w:t>/</w:t>
      </w:r>
      <w:r>
        <w:rPr>
          <w:rFonts w:ascii="Arial" w:hAnsi="Arial" w:cs="Arial" w:eastAsia="Arial" w:hint="default"/>
          <w:spacing w:val="-34"/>
        </w:rPr>
        <w:t> </w:t>
      </w:r>
      <w:r>
        <w:rPr>
          <w:spacing w:val="20"/>
        </w:rPr>
        <w:t>增值税的应</w:t>
      </w:r>
      <w:r>
        <w:rPr>
          <w:spacing w:val="-94"/>
        </w:rPr>
        <w:t> </w:t>
      </w:r>
      <w:r>
        <w:rPr/>
        <w:t>纳税额</w:t>
      </w:r>
    </w:p>
    <w:p>
      <w:pPr>
        <w:spacing w:after="0" w:line="312" w:lineRule="exact"/>
        <w:jc w:val="left"/>
        <w:sectPr>
          <w:type w:val="continuous"/>
          <w:pgSz w:w="11910" w:h="16840"/>
          <w:pgMar w:top="1600" w:bottom="28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1690"/>
        <w:jc w:val="left"/>
        <w:rPr>
          <w:rFonts w:ascii="Arial" w:hAnsi="Arial" w:cs="Arial" w:eastAsia="Arial" w:hint="default"/>
          <w:b w:val="0"/>
          <w:bCs w:val="0"/>
        </w:rPr>
      </w:pPr>
      <w:r>
        <w:rPr>
          <w:w w:val="95"/>
        </w:rPr>
        <w:t>五</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spacing w:line="322" w:lineRule="exact"/>
        <w:ind w:left="811" w:right="0"/>
        <w:jc w:val="both"/>
      </w:pPr>
      <w:r>
        <w:rPr/>
        <w:t>全国人民代表大会于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16</w:t>
      </w:r>
      <w:r>
        <w:rPr>
          <w:rFonts w:ascii="Arial" w:hAnsi="Arial" w:cs="Arial" w:eastAsia="Arial" w:hint="default"/>
          <w:spacing w:val="-7"/>
        </w:rPr>
        <w:t> </w:t>
      </w:r>
      <w:r>
        <w:rPr>
          <w:spacing w:val="-5"/>
        </w:rPr>
        <w:t>日通过了《中华人民共和国企业所得税法》</w:t>
      </w:r>
      <w:r>
        <w:rPr>
          <w:rFonts w:ascii="Arial" w:hAnsi="Arial" w:cs="Arial" w:eastAsia="Arial" w:hint="default"/>
          <w:spacing w:val="-5"/>
        </w:rPr>
        <w:t>(“</w:t>
      </w:r>
      <w:r>
        <w:rPr>
          <w:spacing w:val="-5"/>
        </w:rPr>
        <w:t>新所</w:t>
      </w:r>
    </w:p>
    <w:p>
      <w:pPr>
        <w:pStyle w:val="BodyText"/>
        <w:spacing w:line="312" w:lineRule="exact"/>
        <w:ind w:left="811" w:right="0"/>
        <w:jc w:val="both"/>
      </w:pPr>
      <w:r>
        <w:rPr/>
        <w:t>得税法</w:t>
      </w:r>
      <w:r>
        <w:rPr>
          <w:rFonts w:ascii="Arial" w:hAnsi="Arial" w:cs="Arial" w:eastAsia="Arial" w:hint="default"/>
        </w:rPr>
        <w:t>”)</w:t>
      </w:r>
      <w:r>
        <w:rPr/>
        <w:t>，新所得税法已于</w:t>
      </w:r>
      <w:r>
        <w:rPr>
          <w:spacing w:val="-63"/>
        </w:rPr>
        <w:t> </w:t>
      </w:r>
      <w:r>
        <w:rPr>
          <w:rFonts w:ascii="Arial" w:hAnsi="Arial" w:cs="Arial" w:eastAsia="Arial" w:hint="default"/>
        </w:rPr>
        <w:t>2008</w:t>
      </w:r>
      <w:r>
        <w:rPr>
          <w:rFonts w:ascii="Arial" w:hAnsi="Arial" w:cs="Arial" w:eastAsia="Arial" w:hint="default"/>
          <w:spacing w:val="-9"/>
        </w:rPr>
        <w:t> </w:t>
      </w:r>
      <w:r>
        <w:rPr/>
        <w:t>年</w:t>
      </w:r>
      <w:r>
        <w:rPr>
          <w:spacing w:val="-63"/>
        </w:rPr>
        <w:t> </w:t>
      </w:r>
      <w:r>
        <w:rPr>
          <w:rFonts w:ascii="Arial" w:hAnsi="Arial" w:cs="Arial" w:eastAsia="Arial" w:hint="default"/>
        </w:rPr>
        <w:t>1</w:t>
      </w:r>
      <w:r>
        <w:rPr>
          <w:rFonts w:ascii="Arial" w:hAnsi="Arial" w:cs="Arial" w:eastAsia="Arial" w:hint="default"/>
          <w:spacing w:val="-10"/>
        </w:rPr>
        <w:t> </w:t>
      </w:r>
      <w:r>
        <w:rPr/>
        <w:t>月</w:t>
      </w:r>
      <w:r>
        <w:rPr>
          <w:spacing w:val="-63"/>
        </w:rPr>
        <w:t> </w:t>
      </w:r>
      <w:r>
        <w:rPr>
          <w:rFonts w:ascii="Arial" w:hAnsi="Arial" w:cs="Arial" w:eastAsia="Arial" w:hint="default"/>
        </w:rPr>
        <w:t>1</w:t>
      </w:r>
      <w:r>
        <w:rPr>
          <w:rFonts w:ascii="Arial" w:hAnsi="Arial" w:cs="Arial" w:eastAsia="Arial" w:hint="default"/>
          <w:spacing w:val="-10"/>
        </w:rPr>
        <w:t> </w:t>
      </w:r>
      <w:r>
        <w:rPr>
          <w:spacing w:val="-3"/>
        </w:rPr>
        <w:t>日起施行。于</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spacing w:val="-3"/>
        </w:rPr>
        <w:t>月，国务院颁布了</w:t>
      </w:r>
    </w:p>
    <w:p>
      <w:pPr>
        <w:pStyle w:val="BodyText"/>
        <w:spacing w:line="312" w:lineRule="exact" w:before="21"/>
        <w:ind w:left="811" w:right="105"/>
        <w:jc w:val="both"/>
      </w:pPr>
      <w:r>
        <w:rPr>
          <w:spacing w:val="-1"/>
        </w:rPr>
        <w:t>《关于实施企业所得税过渡优惠政策的通知》</w:t>
      </w:r>
      <w:r>
        <w:rPr>
          <w:rFonts w:ascii="Arial" w:hAnsi="Arial" w:cs="Arial" w:eastAsia="Arial" w:hint="default"/>
          <w:spacing w:val="-1"/>
        </w:rPr>
        <w:t>(</w:t>
      </w:r>
      <w:r>
        <w:rPr>
          <w:spacing w:val="-1"/>
        </w:rPr>
        <w:t>国发</w:t>
      </w:r>
      <w:r>
        <w:rPr>
          <w:rFonts w:ascii="Arial" w:hAnsi="Arial" w:cs="Arial" w:eastAsia="Arial" w:hint="default"/>
          <w:spacing w:val="-1"/>
        </w:rPr>
        <w:t>[2007]39</w:t>
      </w:r>
      <w:r>
        <w:rPr>
          <w:rFonts w:ascii="Arial" w:hAnsi="Arial" w:cs="Arial" w:eastAsia="Arial" w:hint="default"/>
          <w:spacing w:val="-8"/>
        </w:rPr>
        <w:t> </w:t>
      </w:r>
      <w:r>
        <w:rPr>
          <w:spacing w:val="-2"/>
        </w:rPr>
        <w:t>号文</w:t>
      </w:r>
      <w:r>
        <w:rPr>
          <w:rFonts w:ascii="Arial" w:hAnsi="Arial" w:cs="Arial" w:eastAsia="Arial" w:hint="default"/>
          <w:spacing w:val="-2"/>
        </w:rPr>
        <w:t>)</w:t>
      </w:r>
      <w:r>
        <w:rPr>
          <w:spacing w:val="-2"/>
        </w:rPr>
        <w:t>。该通知规定部分符</w:t>
      </w:r>
      <w:r>
        <w:rPr/>
        <w:t> </w:t>
      </w:r>
      <w:r>
        <w:rPr>
          <w:spacing w:val="-3"/>
        </w:rPr>
        <w:t>合规定条件的企业，其按照原税收法律、行政法规和具有行政法规效力文件规定享受的</w:t>
      </w:r>
      <w:r>
        <w:rPr>
          <w:spacing w:val="-100"/>
        </w:rPr>
        <w:t> </w:t>
      </w:r>
      <w:r>
        <w:rPr>
          <w:spacing w:val="-100"/>
        </w:rPr>
      </w:r>
      <w:r>
        <w:rPr/>
        <w:t>企业所得税优惠政策，可以有一定过渡期。</w:t>
      </w:r>
    </w:p>
    <w:p>
      <w:pPr>
        <w:spacing w:line="240" w:lineRule="auto" w:before="10"/>
        <w:rPr>
          <w:rFonts w:ascii="宋体" w:hAnsi="宋体" w:cs="宋体" w:eastAsia="宋体" w:hint="default"/>
          <w:sz w:val="18"/>
          <w:szCs w:val="18"/>
        </w:rPr>
      </w:pPr>
    </w:p>
    <w:p>
      <w:pPr>
        <w:pStyle w:val="BodyText"/>
        <w:spacing w:line="240" w:lineRule="auto"/>
        <w:ind w:left="811" w:right="0"/>
        <w:jc w:val="both"/>
      </w:pPr>
      <w:r>
        <w:rPr/>
        <w:t>本集团的部分子公司享受企业所得税过渡优惠政策，主要优惠政策如下所示：</w:t>
      </w:r>
    </w:p>
    <w:p>
      <w:pPr>
        <w:spacing w:line="240" w:lineRule="auto" w:before="12"/>
        <w:rPr>
          <w:rFonts w:ascii="宋体" w:hAnsi="宋体" w:cs="宋体" w:eastAsia="宋体" w:hint="default"/>
          <w:sz w:val="20"/>
          <w:szCs w:val="20"/>
        </w:rPr>
      </w:pPr>
    </w:p>
    <w:p>
      <w:pPr>
        <w:pStyle w:val="BodyText"/>
        <w:tabs>
          <w:tab w:pos="811" w:val="left" w:leader="none"/>
        </w:tabs>
        <w:spacing w:line="240" w:lineRule="auto"/>
        <w:ind w:left="102" w:right="1690"/>
        <w:jc w:val="left"/>
      </w:pPr>
      <w:r>
        <w:rPr>
          <w:rFonts w:ascii="Arial" w:hAnsi="Arial" w:cs="Arial" w:eastAsia="Arial" w:hint="default"/>
          <w:w w:val="95"/>
          <w:position w:val="2"/>
        </w:rPr>
        <w:t>(1)</w:t>
        <w:tab/>
      </w:r>
      <w:r>
        <w:rPr/>
        <w:t>经济特区优惠政策</w:t>
      </w:r>
    </w:p>
    <w:p>
      <w:pPr>
        <w:spacing w:line="240" w:lineRule="auto" w:before="4"/>
        <w:rPr>
          <w:rFonts w:ascii="宋体" w:hAnsi="宋体" w:cs="宋体" w:eastAsia="宋体" w:hint="default"/>
          <w:sz w:val="23"/>
          <w:szCs w:val="23"/>
        </w:rPr>
      </w:pPr>
    </w:p>
    <w:p>
      <w:pPr>
        <w:pStyle w:val="BodyText"/>
        <w:spacing w:line="312" w:lineRule="exact"/>
        <w:ind w:left="811" w:right="130"/>
        <w:jc w:val="both"/>
      </w:pPr>
      <w:r>
        <w:rPr>
          <w:spacing w:val="-1"/>
          <w:w w:val="99"/>
        </w:rPr>
        <w:t>根据国发</w:t>
      </w:r>
      <w:r>
        <w:rPr>
          <w:rFonts w:ascii="Arial" w:hAnsi="Arial" w:cs="Arial" w:eastAsia="Arial" w:hint="default"/>
          <w:spacing w:val="-1"/>
          <w:w w:val="99"/>
        </w:rPr>
        <w:t>[2007]39</w:t>
      </w:r>
      <w:r>
        <w:rPr>
          <w:spacing w:val="-1"/>
          <w:w w:val="99"/>
        </w:rPr>
        <w:t>号文，《广东省经济特区条例》，国函字</w:t>
      </w:r>
      <w:r>
        <w:rPr>
          <w:rFonts w:ascii="Arial" w:hAnsi="Arial" w:cs="Arial" w:eastAsia="Arial" w:hint="default"/>
          <w:spacing w:val="-1"/>
          <w:w w:val="99"/>
        </w:rPr>
        <w:t>[80]88</w:t>
      </w:r>
      <w:r>
        <w:rPr>
          <w:spacing w:val="-1"/>
          <w:w w:val="99"/>
        </w:rPr>
        <w:t>号及国发</w:t>
      </w:r>
      <w:r>
        <w:rPr>
          <w:rFonts w:ascii="Arial" w:hAnsi="Arial" w:cs="Arial" w:eastAsia="Arial" w:hint="default"/>
          <w:spacing w:val="-1"/>
          <w:w w:val="99"/>
        </w:rPr>
        <w:t>[1988]26</w:t>
      </w:r>
      <w:r>
        <w:rPr>
          <w:spacing w:val="-1"/>
          <w:w w:val="99"/>
        </w:rPr>
        <w:t>号</w:t>
      </w:r>
      <w:r>
        <w:rPr>
          <w:spacing w:val="-114"/>
          <w:w w:val="99"/>
        </w:rPr>
        <w:t> </w:t>
      </w:r>
      <w:r>
        <w:rPr>
          <w:spacing w:val="-4"/>
        </w:rPr>
        <w:t>文，设立于广东省深圳、珠海、汕头和厦门经济特区，以及海南岛的原享受低税率优惠</w:t>
      </w:r>
      <w:r>
        <w:rPr>
          <w:spacing w:val="-88"/>
        </w:rPr>
        <w:t> </w:t>
      </w:r>
      <w:r>
        <w:rPr>
          <w:spacing w:val="-88"/>
        </w:rPr>
      </w:r>
      <w:r>
        <w:rPr>
          <w:spacing w:val="-4"/>
        </w:rPr>
        <w:t>政策的企业，自</w:t>
      </w:r>
      <w:r>
        <w:rPr>
          <w:rFonts w:ascii="Arial" w:hAnsi="Arial" w:cs="Arial" w:eastAsia="Arial" w:hint="default"/>
          <w:spacing w:val="-4"/>
        </w:rPr>
        <w:t>2008</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1</w:t>
      </w:r>
      <w:r>
        <w:rPr>
          <w:spacing w:val="-4"/>
        </w:rPr>
        <w:t>日起，在新税法施行后</w:t>
      </w:r>
      <w:r>
        <w:rPr>
          <w:rFonts w:ascii="Arial" w:hAnsi="Arial" w:cs="Arial" w:eastAsia="Arial" w:hint="default"/>
          <w:spacing w:val="-4"/>
        </w:rPr>
        <w:t>5</w:t>
      </w:r>
      <w:r>
        <w:rPr>
          <w:spacing w:val="-4"/>
        </w:rPr>
        <w:t>年内逐步过渡到法定税率。即</w:t>
      </w:r>
      <w:r>
        <w:rPr>
          <w:rFonts w:ascii="Arial" w:hAnsi="Arial" w:cs="Arial" w:eastAsia="Arial" w:hint="default"/>
          <w:spacing w:val="-4"/>
        </w:rPr>
        <w:t>2008</w:t>
      </w:r>
      <w:r>
        <w:rPr>
          <w:rFonts w:ascii="Arial" w:hAnsi="Arial" w:cs="Arial" w:eastAsia="Arial" w:hint="default"/>
          <w:spacing w:val="-54"/>
        </w:rPr>
        <w:t> </w:t>
      </w:r>
      <w:r>
        <w:rPr>
          <w:spacing w:val="-2"/>
        </w:rPr>
        <w:t>年按</w:t>
      </w:r>
      <w:r>
        <w:rPr>
          <w:rFonts w:ascii="Arial" w:hAnsi="Arial" w:cs="Arial" w:eastAsia="Arial" w:hint="default"/>
          <w:spacing w:val="-2"/>
        </w:rPr>
        <w:t>18%</w:t>
      </w:r>
      <w:r>
        <w:rPr>
          <w:spacing w:val="-2"/>
        </w:rPr>
        <w:t>税率执行，</w:t>
      </w:r>
      <w:r>
        <w:rPr>
          <w:rFonts w:ascii="Arial" w:hAnsi="Arial" w:cs="Arial" w:eastAsia="Arial" w:hint="default"/>
          <w:spacing w:val="-2"/>
        </w:rPr>
        <w:t>2009</w:t>
      </w:r>
      <w:r>
        <w:rPr>
          <w:spacing w:val="-2"/>
        </w:rPr>
        <w:t>年按</w:t>
      </w:r>
      <w:r>
        <w:rPr>
          <w:rFonts w:ascii="Arial" w:hAnsi="Arial" w:cs="Arial" w:eastAsia="Arial" w:hint="default"/>
          <w:spacing w:val="-2"/>
        </w:rPr>
        <w:t>20%</w:t>
      </w:r>
      <w:r>
        <w:rPr>
          <w:spacing w:val="-2"/>
        </w:rPr>
        <w:t>税率执行，</w:t>
      </w:r>
      <w:r>
        <w:rPr>
          <w:rFonts w:ascii="Arial" w:hAnsi="Arial" w:cs="Arial" w:eastAsia="Arial" w:hint="default"/>
          <w:spacing w:val="-2"/>
        </w:rPr>
        <w:t>2010</w:t>
      </w:r>
      <w:r>
        <w:rPr>
          <w:spacing w:val="-2"/>
        </w:rPr>
        <w:t>年按</w:t>
      </w:r>
      <w:r>
        <w:rPr>
          <w:rFonts w:ascii="Arial" w:hAnsi="Arial" w:cs="Arial" w:eastAsia="Arial" w:hint="default"/>
          <w:spacing w:val="-2"/>
        </w:rPr>
        <w:t>22%</w:t>
      </w:r>
      <w:r>
        <w:rPr>
          <w:spacing w:val="-2"/>
        </w:rPr>
        <w:t>税率执行，</w:t>
      </w:r>
      <w:r>
        <w:rPr>
          <w:rFonts w:ascii="Arial" w:hAnsi="Arial" w:cs="Arial" w:eastAsia="Arial" w:hint="default"/>
          <w:spacing w:val="-2"/>
        </w:rPr>
        <w:t>2011</w:t>
      </w:r>
      <w:r>
        <w:rPr>
          <w:spacing w:val="-2"/>
        </w:rPr>
        <w:t>年按</w:t>
      </w:r>
      <w:r>
        <w:rPr>
          <w:rFonts w:ascii="Arial" w:hAnsi="Arial" w:cs="Arial" w:eastAsia="Arial" w:hint="default"/>
          <w:spacing w:val="-2"/>
        </w:rPr>
        <w:t>24%</w:t>
      </w:r>
      <w:r>
        <w:rPr>
          <w:rFonts w:ascii="Arial" w:hAnsi="Arial" w:cs="Arial" w:eastAsia="Arial" w:hint="default"/>
          <w:spacing w:val="-32"/>
        </w:rPr>
        <w:t> </w:t>
      </w:r>
      <w:r>
        <w:rPr/>
        <w:t>税率执行，</w:t>
      </w:r>
      <w:r>
        <w:rPr>
          <w:rFonts w:ascii="Arial" w:hAnsi="Arial" w:cs="Arial" w:eastAsia="Arial" w:hint="default"/>
        </w:rPr>
        <w:t>2012</w:t>
      </w:r>
      <w:r>
        <w:rPr/>
        <w:t>年按</w:t>
      </w:r>
      <w:r>
        <w:rPr>
          <w:rFonts w:ascii="Arial" w:hAnsi="Arial" w:cs="Arial" w:eastAsia="Arial" w:hint="default"/>
        </w:rPr>
        <w:t>25%</w:t>
      </w:r>
      <w:r>
        <w:rPr/>
        <w:t>税率执行。</w:t>
      </w:r>
    </w:p>
    <w:p>
      <w:pPr>
        <w:spacing w:line="240" w:lineRule="auto" w:before="1"/>
        <w:rPr>
          <w:rFonts w:ascii="宋体" w:hAnsi="宋体" w:cs="宋体" w:eastAsia="宋体" w:hint="default"/>
          <w:sz w:val="21"/>
          <w:szCs w:val="21"/>
        </w:rPr>
      </w:pPr>
    </w:p>
    <w:p>
      <w:pPr>
        <w:pStyle w:val="BodyText"/>
        <w:spacing w:line="312" w:lineRule="exact"/>
        <w:ind w:left="811" w:right="125"/>
        <w:jc w:val="both"/>
      </w:pPr>
      <w:r>
        <w:rPr/>
        <w:t>本公司的子公司</w:t>
      </w:r>
      <w:r>
        <w:rPr>
          <w:spacing w:val="18"/>
        </w:rPr>
        <w:t> </w:t>
      </w:r>
      <w:r>
        <w:rPr>
          <w:rFonts w:ascii="Arial" w:hAnsi="Arial" w:cs="Arial" w:eastAsia="Arial" w:hint="default"/>
        </w:rPr>
        <w:t>-</w:t>
      </w:r>
      <w:r>
        <w:rPr>
          <w:rFonts w:ascii="Arial" w:hAnsi="Arial" w:cs="Arial" w:eastAsia="Arial" w:hint="default"/>
          <w:spacing w:val="4"/>
        </w:rPr>
        <w:t> </w:t>
      </w:r>
      <w:r>
        <w:rPr/>
        <w:t>深圳市苏宁电器有限公司、深圳市苏宁电器售后服务有限公司、珠</w:t>
      </w:r>
      <w:r>
        <w:rPr>
          <w:spacing w:val="-118"/>
        </w:rPr>
        <w:t> </w:t>
      </w:r>
      <w:r>
        <w:rPr>
          <w:spacing w:val="-4"/>
        </w:rPr>
        <w:t>海苏宁电器有限公司、汕头苏宁电器有限公司、厦门福厦苏宁电器有限公司、厦门福厦</w:t>
      </w:r>
      <w:r>
        <w:rPr>
          <w:spacing w:val="-88"/>
        </w:rPr>
        <w:t> </w:t>
      </w:r>
      <w:r>
        <w:rPr>
          <w:spacing w:val="-88"/>
        </w:rPr>
      </w:r>
      <w:r>
        <w:rPr/>
        <w:t>苏宁电器售后服务有限公司为设立于上述地区的企业，因此</w:t>
      </w:r>
      <w:r>
        <w:rPr>
          <w:rFonts w:ascii="Arial" w:hAnsi="Arial" w:cs="Arial" w:eastAsia="Arial" w:hint="default"/>
        </w:rPr>
        <w:t>2008</w:t>
      </w:r>
      <w:r>
        <w:rPr/>
        <w:t>年适用的企业所得税</w:t>
      </w:r>
      <w:r>
        <w:rPr>
          <w:spacing w:val="-64"/>
        </w:rPr>
        <w:t> </w:t>
      </w:r>
      <w:r>
        <w:rPr/>
        <w:t>税率为</w:t>
      </w:r>
      <w:r>
        <w:rPr>
          <w:rFonts w:ascii="Arial" w:hAnsi="Arial" w:cs="Arial" w:eastAsia="Arial" w:hint="default"/>
        </w:rPr>
        <w:t>18%</w:t>
      </w:r>
      <w:r>
        <w:rPr/>
        <w:t>。</w:t>
      </w:r>
    </w:p>
    <w:p>
      <w:pPr>
        <w:spacing w:line="240" w:lineRule="auto" w:before="10"/>
        <w:rPr>
          <w:rFonts w:ascii="宋体" w:hAnsi="宋体" w:cs="宋体" w:eastAsia="宋体" w:hint="default"/>
          <w:sz w:val="18"/>
          <w:szCs w:val="18"/>
        </w:rPr>
      </w:pPr>
    </w:p>
    <w:p>
      <w:pPr>
        <w:pStyle w:val="BodyText"/>
        <w:tabs>
          <w:tab w:pos="811" w:val="left" w:leader="none"/>
        </w:tabs>
        <w:spacing w:line="240" w:lineRule="auto"/>
        <w:ind w:left="102" w:right="1690"/>
        <w:jc w:val="left"/>
      </w:pPr>
      <w:r>
        <w:rPr>
          <w:rFonts w:ascii="Arial" w:hAnsi="Arial" w:cs="Arial" w:eastAsia="Arial" w:hint="default"/>
          <w:w w:val="95"/>
          <w:position w:val="2"/>
        </w:rPr>
        <w:t>(2)</w:t>
        <w:tab/>
      </w:r>
      <w:r>
        <w:rPr/>
        <w:t>西部大开发税收优惠政策</w:t>
      </w:r>
    </w:p>
    <w:p>
      <w:pPr>
        <w:spacing w:line="240" w:lineRule="auto" w:before="4"/>
        <w:rPr>
          <w:rFonts w:ascii="宋体" w:hAnsi="宋体" w:cs="宋体" w:eastAsia="宋体" w:hint="default"/>
          <w:sz w:val="23"/>
          <w:szCs w:val="23"/>
        </w:rPr>
      </w:pPr>
    </w:p>
    <w:p>
      <w:pPr>
        <w:pStyle w:val="BodyText"/>
        <w:spacing w:line="312" w:lineRule="exact"/>
        <w:ind w:left="812" w:right="127"/>
        <w:jc w:val="both"/>
      </w:pPr>
      <w:r>
        <w:rPr/>
        <w:t>根据国发</w:t>
      </w:r>
      <w:r>
        <w:rPr>
          <w:rFonts w:ascii="Arial" w:hAnsi="Arial" w:cs="Arial" w:eastAsia="Arial" w:hint="default"/>
        </w:rPr>
        <w:t>[2007]39 </w:t>
      </w:r>
      <w:r>
        <w:rPr>
          <w:spacing w:val="-3"/>
        </w:rPr>
        <w:t>号文，下列优惠政策继续执行：财税</w:t>
      </w:r>
      <w:r>
        <w:rPr>
          <w:rFonts w:ascii="Arial" w:hAnsi="Arial" w:cs="Arial" w:eastAsia="Arial" w:hint="default"/>
          <w:spacing w:val="-3"/>
        </w:rPr>
        <w:t>[2001]202</w:t>
      </w:r>
      <w:r>
        <w:rPr>
          <w:rFonts w:ascii="Arial" w:hAnsi="Arial" w:cs="Arial" w:eastAsia="Arial" w:hint="default"/>
          <w:spacing w:val="-8"/>
        </w:rPr>
        <w:t> </w:t>
      </w:r>
      <w:r>
        <w:rPr>
          <w:spacing w:val="-4"/>
        </w:rPr>
        <w:t>号文第二条，对设在</w:t>
      </w:r>
      <w:r>
        <w:rPr>
          <w:spacing w:val="-1"/>
        </w:rPr>
        <w:t> </w:t>
      </w:r>
      <w:r>
        <w:rPr/>
        <w:t>西部地区国家鼓励类产业的内资企业，其主营业务收入占企业总收入</w:t>
      </w:r>
      <w:r>
        <w:rPr>
          <w:spacing w:val="-2"/>
        </w:rPr>
        <w:t> </w:t>
      </w:r>
      <w:r>
        <w:rPr>
          <w:rFonts w:ascii="Arial" w:hAnsi="Arial" w:cs="Arial" w:eastAsia="Arial" w:hint="default"/>
        </w:rPr>
        <w:t>70%</w:t>
      </w:r>
      <w:r>
        <w:rPr/>
        <w:t>以上的，在 </w:t>
      </w:r>
      <w:r>
        <w:rPr>
          <w:rFonts w:ascii="Arial" w:hAnsi="Arial" w:cs="Arial" w:eastAsia="Arial" w:hint="default"/>
        </w:rPr>
        <w:t>2001</w:t>
      </w:r>
      <w:r>
        <w:rPr>
          <w:rFonts w:ascii="Arial" w:hAnsi="Arial" w:cs="Arial" w:eastAsia="Arial" w:hint="default"/>
          <w:spacing w:val="-6"/>
        </w:rPr>
        <w:t> </w:t>
      </w:r>
      <w:r>
        <w:rPr/>
        <w:t>年至</w:t>
      </w:r>
      <w:r>
        <w:rPr>
          <w:spacing w:val="-59"/>
        </w:rPr>
        <w:t> </w:t>
      </w:r>
      <w:r>
        <w:rPr>
          <w:rFonts w:ascii="Arial" w:hAnsi="Arial" w:cs="Arial" w:eastAsia="Arial" w:hint="default"/>
        </w:rPr>
        <w:t>2010</w:t>
      </w:r>
      <w:r>
        <w:rPr>
          <w:rFonts w:ascii="Arial" w:hAnsi="Arial" w:cs="Arial" w:eastAsia="Arial" w:hint="default"/>
          <w:spacing w:val="-6"/>
        </w:rPr>
        <w:t> </w:t>
      </w:r>
      <w:r>
        <w:rPr/>
        <w:t>年期间，减按</w:t>
      </w:r>
      <w:r>
        <w:rPr>
          <w:spacing w:val="-59"/>
        </w:rPr>
        <w:t> </w:t>
      </w:r>
      <w:r>
        <w:rPr>
          <w:rFonts w:ascii="Arial" w:hAnsi="Arial" w:cs="Arial" w:eastAsia="Arial" w:hint="default"/>
        </w:rPr>
        <w:t>15%</w:t>
      </w:r>
      <w:r>
        <w:rPr/>
        <w:t>的税率征收企业所得税。另外，经省级人民政府批 </w:t>
      </w:r>
      <w:r>
        <w:rPr>
          <w:spacing w:val="-4"/>
        </w:rPr>
        <w:t>准，民族自治地方的内资企业可以定期减征或免征企业所得税。本集团享受该项优惠政</w:t>
      </w:r>
      <w:r>
        <w:rPr>
          <w:spacing w:val="-88"/>
        </w:rPr>
        <w:t> </w:t>
      </w:r>
      <w:r>
        <w:rPr>
          <w:spacing w:val="-88"/>
        </w:rPr>
      </w:r>
      <w:r>
        <w:rPr/>
        <w:t>策的子公司情况如下：</w:t>
      </w:r>
    </w:p>
    <w:p>
      <w:pPr>
        <w:spacing w:line="240" w:lineRule="auto" w:before="10"/>
        <w:rPr>
          <w:rFonts w:ascii="宋体" w:hAnsi="宋体" w:cs="宋体" w:eastAsia="宋体" w:hint="default"/>
          <w:sz w:val="18"/>
          <w:szCs w:val="18"/>
        </w:rPr>
      </w:pPr>
    </w:p>
    <w:p>
      <w:pPr>
        <w:pStyle w:val="BodyText"/>
        <w:spacing w:line="322" w:lineRule="exact"/>
        <w:ind w:left="812" w:right="0"/>
        <w:jc w:val="both"/>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3 </w:t>
      </w:r>
      <w:r>
        <w:rPr/>
        <w:t>月</w:t>
      </w:r>
      <w:r>
        <w:rPr>
          <w:spacing w:val="-54"/>
        </w:rPr>
        <w:t> </w:t>
      </w:r>
      <w:r>
        <w:rPr>
          <w:rFonts w:ascii="Arial" w:hAnsi="Arial" w:cs="Arial" w:eastAsia="Arial" w:hint="default"/>
        </w:rPr>
        <w:t>6</w:t>
      </w:r>
      <w:r>
        <w:rPr>
          <w:rFonts w:ascii="Arial" w:hAnsi="Arial" w:cs="Arial" w:eastAsia="Arial" w:hint="default"/>
          <w:spacing w:val="-1"/>
        </w:rPr>
        <w:t> </w:t>
      </w:r>
      <w:r>
        <w:rPr/>
        <w:t>日，经陕西省国家税务局陕国税函</w:t>
      </w:r>
      <w:r>
        <w:rPr>
          <w:rFonts w:ascii="Arial" w:hAnsi="Arial" w:cs="Arial" w:eastAsia="Arial" w:hint="default"/>
        </w:rPr>
        <w:t>[2006]100</w:t>
      </w:r>
      <w:r>
        <w:rPr>
          <w:rFonts w:ascii="Arial" w:hAnsi="Arial" w:cs="Arial" w:eastAsia="Arial" w:hint="default"/>
          <w:spacing w:val="-1"/>
        </w:rPr>
        <w:t> </w:t>
      </w:r>
      <w:r>
        <w:rPr/>
        <w:t>号文批准：同意陕西苏宁</w:t>
      </w:r>
    </w:p>
    <w:p>
      <w:pPr>
        <w:pStyle w:val="BodyText"/>
        <w:spacing w:line="312" w:lineRule="exact"/>
        <w:ind w:left="812" w:right="0"/>
        <w:jc w:val="both"/>
        <w:rPr>
          <w:rFonts w:ascii="Arial" w:hAnsi="Arial" w:cs="Arial" w:eastAsia="Arial" w:hint="default"/>
        </w:rPr>
      </w:pPr>
      <w:r>
        <w:rPr/>
        <w:t>电器有限公司渭南分公司 </w:t>
      </w:r>
      <w:r>
        <w:rPr>
          <w:rFonts w:ascii="Arial" w:hAnsi="Arial" w:cs="Arial" w:eastAsia="Arial" w:hint="default"/>
        </w:rPr>
        <w:t>2006 </w:t>
      </w:r>
      <w:r>
        <w:rPr/>
        <w:t>年至 </w:t>
      </w:r>
      <w:r>
        <w:rPr>
          <w:rFonts w:ascii="Arial" w:hAnsi="Arial" w:cs="Arial" w:eastAsia="Arial" w:hint="default"/>
        </w:rPr>
        <w:t>2010 </w:t>
      </w:r>
      <w:r>
        <w:rPr/>
        <w:t>年期间享受</w:t>
      </w:r>
      <w:r>
        <w:rPr>
          <w:spacing w:val="-71"/>
        </w:rPr>
        <w:t> </w:t>
      </w:r>
      <w:r>
        <w:rPr>
          <w:rFonts w:ascii="Arial" w:hAnsi="Arial" w:cs="Arial" w:eastAsia="Arial" w:hint="default"/>
        </w:rPr>
        <w:t>15%</w:t>
      </w:r>
      <w:r>
        <w:rPr/>
        <w:t>的企业所得税税率，</w:t>
      </w:r>
      <w:r>
        <w:rPr>
          <w:rFonts w:ascii="Arial" w:hAnsi="Arial" w:cs="Arial" w:eastAsia="Arial" w:hint="default"/>
        </w:rPr>
        <w:t>2008</w:t>
      </w:r>
    </w:p>
    <w:p>
      <w:pPr>
        <w:pStyle w:val="BodyText"/>
        <w:spacing w:line="304" w:lineRule="exact"/>
        <w:ind w:left="812" w:right="0"/>
        <w:jc w:val="both"/>
      </w:pPr>
      <w:r>
        <w:rPr/>
        <w:t>年的审核将在年度纳税汇算清缴后批复。</w:t>
      </w:r>
    </w:p>
    <w:p>
      <w:pPr>
        <w:spacing w:line="240" w:lineRule="auto" w:before="12"/>
        <w:rPr>
          <w:rFonts w:ascii="宋体" w:hAnsi="宋体" w:cs="宋体" w:eastAsia="宋体" w:hint="default"/>
          <w:sz w:val="20"/>
          <w:szCs w:val="20"/>
        </w:rPr>
      </w:pPr>
    </w:p>
    <w:p>
      <w:pPr>
        <w:pStyle w:val="BodyText"/>
        <w:spacing w:line="322" w:lineRule="exact"/>
        <w:ind w:left="812" w:right="0"/>
        <w:jc w:val="both"/>
        <w:rPr>
          <w:rFonts w:ascii="Arial" w:hAnsi="Arial" w:cs="Arial" w:eastAsia="Arial" w:hint="default"/>
        </w:rPr>
      </w:pPr>
      <w:r>
        <w:rPr>
          <w:rFonts w:ascii="Arial" w:hAnsi="Arial" w:cs="Arial" w:eastAsia="Arial" w:hint="default"/>
        </w:rPr>
        <w:t>2004</w:t>
      </w:r>
      <w:r>
        <w:rPr>
          <w:rFonts w:ascii="Arial" w:hAnsi="Arial" w:cs="Arial" w:eastAsia="Arial" w:hint="default"/>
          <w:spacing w:val="-14"/>
        </w:rPr>
        <w:t> </w:t>
      </w:r>
      <w:r>
        <w:rPr/>
        <w:t>年</w:t>
      </w:r>
      <w:r>
        <w:rPr>
          <w:spacing w:val="-67"/>
        </w:rPr>
        <w:t> </w:t>
      </w:r>
      <w:r>
        <w:rPr>
          <w:rFonts w:ascii="Arial" w:hAnsi="Arial" w:cs="Arial" w:eastAsia="Arial" w:hint="default"/>
        </w:rPr>
        <w:t>8</w:t>
      </w:r>
      <w:r>
        <w:rPr>
          <w:rFonts w:ascii="Arial" w:hAnsi="Arial" w:cs="Arial" w:eastAsia="Arial" w:hint="default"/>
          <w:spacing w:val="-13"/>
        </w:rPr>
        <w:t> </w:t>
      </w:r>
      <w:r>
        <w:rPr/>
        <w:t>月</w:t>
      </w:r>
      <w:r>
        <w:rPr>
          <w:spacing w:val="-67"/>
        </w:rPr>
        <w:t> </w:t>
      </w:r>
      <w:r>
        <w:rPr>
          <w:rFonts w:ascii="Arial" w:hAnsi="Arial" w:cs="Arial" w:eastAsia="Arial" w:hint="default"/>
        </w:rPr>
        <w:t>24</w:t>
      </w:r>
      <w:r>
        <w:rPr>
          <w:rFonts w:ascii="Arial" w:hAnsi="Arial" w:cs="Arial" w:eastAsia="Arial" w:hint="default"/>
          <w:spacing w:val="-14"/>
        </w:rPr>
        <w:t> </w:t>
      </w:r>
      <w:r>
        <w:rPr/>
        <w:t>日，经陕西省发展和改革委员会陕发改产业函</w:t>
      </w:r>
      <w:r>
        <w:rPr>
          <w:rFonts w:ascii="Arial" w:hAnsi="Arial" w:cs="Arial" w:eastAsia="Arial" w:hint="default"/>
        </w:rPr>
        <w:t>[2004]63</w:t>
      </w:r>
      <w:r>
        <w:rPr>
          <w:rFonts w:ascii="Arial" w:hAnsi="Arial" w:cs="Arial" w:eastAsia="Arial" w:hint="default"/>
          <w:spacing w:val="-14"/>
        </w:rPr>
        <w:t> </w:t>
      </w:r>
      <w:r>
        <w:rPr>
          <w:spacing w:val="-8"/>
        </w:rPr>
        <w:t>号文，及</w:t>
      </w:r>
      <w:r>
        <w:rPr>
          <w:spacing w:val="-67"/>
        </w:rPr>
        <w:t> </w:t>
      </w:r>
      <w:r>
        <w:rPr>
          <w:rFonts w:ascii="Arial" w:hAnsi="Arial" w:cs="Arial" w:eastAsia="Arial" w:hint="default"/>
        </w:rPr>
        <w:t>2005</w:t>
      </w:r>
    </w:p>
    <w:p>
      <w:pPr>
        <w:pStyle w:val="BodyText"/>
        <w:spacing w:line="312" w:lineRule="exact" w:before="21"/>
        <w:ind w:left="812" w:right="127"/>
        <w:jc w:val="both"/>
      </w:pPr>
      <w:r>
        <w:rPr/>
        <w:t>年</w:t>
      </w:r>
      <w:r>
        <w:rPr>
          <w:spacing w:val="-50"/>
        </w:rPr>
        <w:t> </w:t>
      </w:r>
      <w:r>
        <w:rPr>
          <w:rFonts w:ascii="Arial" w:hAnsi="Arial" w:cs="Arial" w:eastAsia="Arial" w:hint="default"/>
        </w:rPr>
        <w:t>3</w:t>
      </w:r>
      <w:r>
        <w:rPr>
          <w:rFonts w:ascii="Arial" w:hAnsi="Arial" w:cs="Arial" w:eastAsia="Arial" w:hint="default"/>
          <w:spacing w:val="3"/>
        </w:rPr>
        <w:t> </w:t>
      </w:r>
      <w:r>
        <w:rPr/>
        <w:t>月</w:t>
      </w:r>
      <w:r>
        <w:rPr>
          <w:spacing w:val="-50"/>
        </w:rPr>
        <w:t> </w:t>
      </w:r>
      <w:r>
        <w:rPr>
          <w:rFonts w:ascii="Arial" w:hAnsi="Arial" w:cs="Arial" w:eastAsia="Arial" w:hint="default"/>
        </w:rPr>
        <w:t>20</w:t>
      </w:r>
      <w:r>
        <w:rPr>
          <w:rFonts w:ascii="Arial" w:hAnsi="Arial" w:cs="Arial" w:eastAsia="Arial" w:hint="default"/>
          <w:spacing w:val="4"/>
        </w:rPr>
        <w:t> </w:t>
      </w:r>
      <w:r>
        <w:rPr/>
        <w:t>日，经陕西省地方税务局陕地税所税率确</w:t>
      </w:r>
      <w:r>
        <w:rPr>
          <w:rFonts w:ascii="Arial" w:hAnsi="Arial" w:cs="Arial" w:eastAsia="Arial" w:hint="default"/>
        </w:rPr>
        <w:t>[05]004</w:t>
      </w:r>
      <w:r>
        <w:rPr>
          <w:rFonts w:ascii="Arial" w:hAnsi="Arial" w:cs="Arial" w:eastAsia="Arial" w:hint="default"/>
          <w:spacing w:val="3"/>
        </w:rPr>
        <w:t> </w:t>
      </w:r>
      <w:r>
        <w:rPr/>
        <w:t>号文批准：同意陕西苏宁 电器有限公司商场分公司</w:t>
      </w:r>
      <w:r>
        <w:rPr>
          <w:spacing w:val="-49"/>
        </w:rPr>
        <w:t> </w:t>
      </w:r>
      <w:r>
        <w:rPr>
          <w:rFonts w:ascii="Arial" w:hAnsi="Arial" w:cs="Arial" w:eastAsia="Arial" w:hint="default"/>
        </w:rPr>
        <w:t>2004</w:t>
      </w:r>
      <w:r>
        <w:rPr>
          <w:rFonts w:ascii="Arial" w:hAnsi="Arial" w:cs="Arial" w:eastAsia="Arial" w:hint="default"/>
          <w:spacing w:val="4"/>
        </w:rPr>
        <w:t> </w:t>
      </w:r>
      <w:r>
        <w:rPr/>
        <w:t>年至</w:t>
      </w:r>
      <w:r>
        <w:rPr>
          <w:spacing w:val="-49"/>
        </w:rPr>
        <w:t> </w:t>
      </w:r>
      <w:r>
        <w:rPr>
          <w:rFonts w:ascii="Arial" w:hAnsi="Arial" w:cs="Arial" w:eastAsia="Arial" w:hint="default"/>
        </w:rPr>
        <w:t>2010</w:t>
      </w:r>
      <w:r>
        <w:rPr>
          <w:rFonts w:ascii="Arial" w:hAnsi="Arial" w:cs="Arial" w:eastAsia="Arial" w:hint="default"/>
          <w:spacing w:val="4"/>
        </w:rPr>
        <w:t> </w:t>
      </w:r>
      <w:r>
        <w:rPr/>
        <w:t>年享受</w:t>
      </w:r>
      <w:r>
        <w:rPr>
          <w:spacing w:val="-49"/>
        </w:rPr>
        <w:t> </w:t>
      </w:r>
      <w:r>
        <w:rPr>
          <w:rFonts w:ascii="Arial" w:hAnsi="Arial" w:cs="Arial" w:eastAsia="Arial" w:hint="default"/>
        </w:rPr>
        <w:t>15%</w:t>
      </w:r>
      <w:r>
        <w:rPr/>
        <w:t>的企业所得税税率，</w:t>
      </w:r>
      <w:r>
        <w:rPr>
          <w:rFonts w:ascii="Arial" w:hAnsi="Arial" w:cs="Arial" w:eastAsia="Arial" w:hint="default"/>
        </w:rPr>
        <w:t>2008</w:t>
      </w:r>
      <w:r>
        <w:rPr>
          <w:rFonts w:ascii="Arial" w:hAnsi="Arial" w:cs="Arial" w:eastAsia="Arial" w:hint="default"/>
          <w:spacing w:val="4"/>
        </w:rPr>
        <w:t> </w:t>
      </w:r>
      <w:r>
        <w:rPr/>
        <w:t>年的 审核将在年度纳税汇算清缴后批复。</w:t>
      </w:r>
    </w:p>
    <w:p>
      <w:pPr>
        <w:spacing w:after="0" w:line="312" w:lineRule="exact"/>
        <w:jc w:val="both"/>
        <w:sectPr>
          <w:pgSz w:w="11910" w:h="16840"/>
          <w:pgMar w:header="826" w:footer="894" w:top="1100" w:bottom="1080" w:left="940" w:right="102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0"/>
        <w:jc w:val="left"/>
        <w:rPr>
          <w:rFonts w:ascii="Arial" w:hAnsi="Arial" w:cs="Arial" w:eastAsia="Arial" w:hint="default"/>
          <w:b w:val="0"/>
          <w:bCs w:val="0"/>
        </w:rPr>
      </w:pPr>
      <w:r>
        <w:rPr>
          <w:w w:val="95"/>
        </w:rPr>
        <w:t>五</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0"/>
        <w:jc w:val="left"/>
        <w:rPr>
          <w:rFonts w:ascii="Arial" w:hAnsi="Arial" w:cs="Arial" w:eastAsia="Arial" w:hint="default"/>
        </w:rPr>
      </w:pPr>
      <w:r>
        <w:rPr>
          <w:rFonts w:ascii="Arial" w:hAnsi="Arial" w:cs="Arial" w:eastAsia="Arial" w:hint="default"/>
          <w:w w:val="95"/>
          <w:position w:val="2"/>
        </w:rPr>
        <w:t>(2)</w:t>
        <w:tab/>
      </w:r>
      <w:r>
        <w:rPr/>
        <w:t>西部大开发税收优惠政策</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11" w:right="109"/>
        <w:jc w:val="both"/>
      </w:pP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2</w:t>
      </w:r>
      <w:r>
        <w:rPr>
          <w:rFonts w:ascii="Arial" w:hAnsi="Arial" w:cs="Arial" w:eastAsia="Arial" w:hint="default"/>
          <w:spacing w:val="-8"/>
        </w:rPr>
        <w:t> </w:t>
      </w:r>
      <w:r>
        <w:rPr/>
        <w:t>日，经陕西省国家税务局陕国税函</w:t>
      </w:r>
      <w:r>
        <w:rPr>
          <w:rFonts w:ascii="Arial" w:hAnsi="Arial" w:cs="Arial" w:eastAsia="Arial" w:hint="default"/>
        </w:rPr>
        <w:t>[2008]171</w:t>
      </w:r>
      <w:r>
        <w:rPr>
          <w:rFonts w:ascii="Arial" w:hAnsi="Arial" w:cs="Arial" w:eastAsia="Arial" w:hint="default"/>
          <w:spacing w:val="-8"/>
        </w:rPr>
        <w:t> </w:t>
      </w:r>
      <w:r>
        <w:rPr/>
        <w:t>号文，及</w:t>
      </w:r>
      <w:r>
        <w:rPr>
          <w:spacing w:val="-61"/>
        </w:rPr>
        <w:t> </w:t>
      </w:r>
      <w:r>
        <w:rPr>
          <w:rFonts w:ascii="Arial" w:hAnsi="Arial" w:cs="Arial" w:eastAsia="Arial" w:hint="default"/>
        </w:rPr>
        <w:t>2008</w:t>
      </w:r>
      <w:r>
        <w:rPr>
          <w:rFonts w:ascii="Arial" w:hAnsi="Arial" w:cs="Arial" w:eastAsia="Arial" w:hint="default"/>
          <w:spacing w:val="-9"/>
        </w:rPr>
        <w:t> </w:t>
      </w:r>
      <w:r>
        <w:rPr/>
        <w:t>年</w:t>
      </w:r>
      <w:r>
        <w:rPr>
          <w:spacing w:val="-60"/>
        </w:rPr>
        <w:t> </w:t>
      </w:r>
      <w:r>
        <w:rPr>
          <w:rFonts w:ascii="Arial" w:hAnsi="Arial" w:cs="Arial" w:eastAsia="Arial" w:hint="default"/>
        </w:rPr>
        <w:t>4</w:t>
      </w:r>
      <w:r>
        <w:rPr>
          <w:rFonts w:ascii="Arial" w:hAnsi="Arial" w:cs="Arial" w:eastAsia="Arial" w:hint="default"/>
          <w:spacing w:val="-8"/>
        </w:rPr>
        <w:t> </w:t>
      </w:r>
      <w:r>
        <w:rPr/>
        <w:t>月</w:t>
      </w:r>
      <w:r>
        <w:rPr>
          <w:spacing w:val="-61"/>
        </w:rPr>
        <w:t> </w:t>
      </w:r>
      <w:r>
        <w:rPr>
          <w:rFonts w:ascii="Arial" w:hAnsi="Arial" w:cs="Arial" w:eastAsia="Arial" w:hint="default"/>
        </w:rPr>
        <w:t>16</w:t>
      </w:r>
      <w:r>
        <w:rPr>
          <w:rFonts w:ascii="Arial" w:hAnsi="Arial" w:cs="Arial" w:eastAsia="Arial" w:hint="default"/>
          <w:spacing w:val="-1"/>
          <w:w w:val="99"/>
        </w:rPr>
        <w:t> </w:t>
      </w:r>
      <w:r>
        <w:rPr/>
        <w:t>日，经汉中市汉台区国家税务局城区税务分局汉台国减</w:t>
      </w:r>
      <w:r>
        <w:rPr>
          <w:rFonts w:ascii="Arial" w:hAnsi="Arial" w:cs="Arial" w:eastAsia="Arial" w:hint="default"/>
        </w:rPr>
        <w:t>[2008]8</w:t>
      </w:r>
      <w:r>
        <w:rPr>
          <w:rFonts w:ascii="Arial" w:hAnsi="Arial" w:cs="Arial" w:eastAsia="Arial" w:hint="default"/>
          <w:spacing w:val="-28"/>
        </w:rPr>
        <w:t> </w:t>
      </w:r>
      <w:r>
        <w:rPr/>
        <w:t>号文批准：同意陕西苏 宁电器有限公司汉中分公司</w:t>
      </w:r>
      <w:r>
        <w:rPr>
          <w:spacing w:val="-62"/>
        </w:rPr>
        <w:t> </w:t>
      </w:r>
      <w:r>
        <w:rPr>
          <w:rFonts w:ascii="Arial" w:hAnsi="Arial" w:cs="Arial" w:eastAsia="Arial" w:hint="default"/>
        </w:rPr>
        <w:t>2007</w:t>
      </w:r>
      <w:r>
        <w:rPr>
          <w:rFonts w:ascii="Arial" w:hAnsi="Arial" w:cs="Arial" w:eastAsia="Arial" w:hint="default"/>
          <w:spacing w:val="-8"/>
        </w:rPr>
        <w:t> </w:t>
      </w:r>
      <w:r>
        <w:rPr/>
        <w:t>年至</w:t>
      </w:r>
      <w:r>
        <w:rPr>
          <w:spacing w:val="-62"/>
        </w:rPr>
        <w:t> </w:t>
      </w:r>
      <w:r>
        <w:rPr>
          <w:rFonts w:ascii="Arial" w:hAnsi="Arial" w:cs="Arial" w:eastAsia="Arial" w:hint="default"/>
        </w:rPr>
        <w:t>2010</w:t>
      </w:r>
      <w:r>
        <w:rPr>
          <w:rFonts w:ascii="Arial" w:hAnsi="Arial" w:cs="Arial" w:eastAsia="Arial" w:hint="default"/>
          <w:spacing w:val="-8"/>
        </w:rPr>
        <w:t> </w:t>
      </w:r>
      <w:r>
        <w:rPr/>
        <w:t>年享受</w:t>
      </w:r>
      <w:r>
        <w:rPr>
          <w:spacing w:val="-62"/>
        </w:rPr>
        <w:t> </w:t>
      </w:r>
      <w:r>
        <w:rPr>
          <w:rFonts w:ascii="Arial" w:hAnsi="Arial" w:cs="Arial" w:eastAsia="Arial" w:hint="default"/>
        </w:rPr>
        <w:t>15%</w:t>
      </w:r>
      <w:r>
        <w:rPr/>
        <w:t>的企业所得税税率。</w:t>
      </w:r>
    </w:p>
    <w:p>
      <w:pPr>
        <w:spacing w:line="240" w:lineRule="auto" w:before="1"/>
        <w:rPr>
          <w:rFonts w:ascii="宋体" w:hAnsi="宋体" w:cs="宋体" w:eastAsia="宋体" w:hint="default"/>
          <w:sz w:val="21"/>
          <w:szCs w:val="21"/>
        </w:rPr>
      </w:pPr>
    </w:p>
    <w:p>
      <w:pPr>
        <w:pStyle w:val="BodyText"/>
        <w:spacing w:line="312" w:lineRule="exact"/>
        <w:ind w:left="811" w:right="109"/>
        <w:jc w:val="both"/>
      </w:pPr>
      <w:r>
        <w:rPr>
          <w:rFonts w:ascii="Arial" w:hAnsi="Arial" w:cs="Arial" w:eastAsia="Arial" w:hint="default"/>
        </w:rPr>
        <w:t>2006</w:t>
      </w:r>
      <w:r>
        <w:rPr>
          <w:rFonts w:ascii="Arial" w:hAnsi="Arial" w:cs="Arial" w:eastAsia="Arial" w:hint="default"/>
          <w:spacing w:val="-1"/>
        </w:rPr>
        <w:t> </w:t>
      </w:r>
      <w:r>
        <w:rPr/>
        <w:t>年</w:t>
      </w:r>
      <w:r>
        <w:rPr>
          <w:spacing w:val="-53"/>
        </w:rPr>
        <w:t> </w:t>
      </w:r>
      <w:r>
        <w:rPr>
          <w:rFonts w:ascii="Arial" w:hAnsi="Arial" w:cs="Arial" w:eastAsia="Arial" w:hint="default"/>
        </w:rPr>
        <w:t>4 </w:t>
      </w:r>
      <w:r>
        <w:rPr/>
        <w:t>月</w:t>
      </w:r>
      <w:r>
        <w:rPr>
          <w:spacing w:val="-54"/>
        </w:rPr>
        <w:t> </w:t>
      </w:r>
      <w:r>
        <w:rPr>
          <w:rFonts w:ascii="Arial" w:hAnsi="Arial" w:cs="Arial" w:eastAsia="Arial" w:hint="default"/>
        </w:rPr>
        <w:t>27</w:t>
      </w:r>
      <w:r>
        <w:rPr>
          <w:rFonts w:ascii="Arial" w:hAnsi="Arial" w:cs="Arial" w:eastAsia="Arial" w:hint="default"/>
          <w:spacing w:val="-1"/>
        </w:rPr>
        <w:t> </w:t>
      </w:r>
      <w:r>
        <w:rPr/>
        <w:t>日，经咸阳市国家税务局咸国税函</w:t>
      </w:r>
      <w:r>
        <w:rPr>
          <w:rFonts w:ascii="Arial" w:hAnsi="Arial" w:cs="Arial" w:eastAsia="Arial" w:hint="default"/>
        </w:rPr>
        <w:t>[2006]52</w:t>
      </w:r>
      <w:r>
        <w:rPr>
          <w:rFonts w:ascii="Arial" w:hAnsi="Arial" w:cs="Arial" w:eastAsia="Arial" w:hint="default"/>
          <w:spacing w:val="-1"/>
        </w:rPr>
        <w:t> </w:t>
      </w:r>
      <w:r>
        <w:rPr/>
        <w:t>号文批准：同意咸阳苏宁 电器有限公司</w:t>
      </w:r>
      <w:r>
        <w:rPr>
          <w:spacing w:val="-49"/>
        </w:rPr>
        <w:t> </w:t>
      </w:r>
      <w:r>
        <w:rPr>
          <w:rFonts w:ascii="Arial" w:hAnsi="Arial" w:cs="Arial" w:eastAsia="Arial" w:hint="default"/>
        </w:rPr>
        <w:t>2005</w:t>
      </w:r>
      <w:r>
        <w:rPr>
          <w:rFonts w:ascii="Arial" w:hAnsi="Arial" w:cs="Arial" w:eastAsia="Arial" w:hint="default"/>
          <w:spacing w:val="4"/>
        </w:rPr>
        <w:t> </w:t>
      </w:r>
      <w:r>
        <w:rPr/>
        <w:t>年至</w:t>
      </w:r>
      <w:r>
        <w:rPr>
          <w:spacing w:val="-49"/>
        </w:rPr>
        <w:t> </w:t>
      </w:r>
      <w:r>
        <w:rPr>
          <w:rFonts w:ascii="Arial" w:hAnsi="Arial" w:cs="Arial" w:eastAsia="Arial" w:hint="default"/>
        </w:rPr>
        <w:t>2010</w:t>
      </w:r>
      <w:r>
        <w:rPr>
          <w:rFonts w:ascii="Arial" w:hAnsi="Arial" w:cs="Arial" w:eastAsia="Arial" w:hint="default"/>
          <w:spacing w:val="4"/>
        </w:rPr>
        <w:t> </w:t>
      </w:r>
      <w:r>
        <w:rPr/>
        <w:t>年享受</w:t>
      </w:r>
      <w:r>
        <w:rPr>
          <w:spacing w:val="-49"/>
        </w:rPr>
        <w:t> </w:t>
      </w:r>
      <w:r>
        <w:rPr>
          <w:rFonts w:ascii="Arial" w:hAnsi="Arial" w:cs="Arial" w:eastAsia="Arial" w:hint="default"/>
        </w:rPr>
        <w:t>15%</w:t>
      </w:r>
      <w:r>
        <w:rPr/>
        <w:t>的企业所得税税率，</w:t>
      </w:r>
      <w:r>
        <w:rPr>
          <w:rFonts w:ascii="Arial" w:hAnsi="Arial" w:cs="Arial" w:eastAsia="Arial" w:hint="default"/>
        </w:rPr>
        <w:t>2008</w:t>
      </w:r>
      <w:r>
        <w:rPr>
          <w:rFonts w:ascii="Arial" w:hAnsi="Arial" w:cs="Arial" w:eastAsia="Arial" w:hint="default"/>
          <w:spacing w:val="4"/>
        </w:rPr>
        <w:t> </w:t>
      </w:r>
      <w:r>
        <w:rPr/>
        <w:t>年的审核将在年 度纳税汇算清缴后批复。</w:t>
      </w:r>
    </w:p>
    <w:p>
      <w:pPr>
        <w:spacing w:line="240" w:lineRule="auto" w:before="10"/>
        <w:rPr>
          <w:rFonts w:ascii="宋体" w:hAnsi="宋体" w:cs="宋体" w:eastAsia="宋体" w:hint="default"/>
          <w:sz w:val="18"/>
          <w:szCs w:val="18"/>
        </w:rPr>
      </w:pPr>
    </w:p>
    <w:p>
      <w:pPr>
        <w:pStyle w:val="BodyText"/>
        <w:spacing w:line="322" w:lineRule="exact"/>
        <w:ind w:left="811" w:right="0"/>
        <w:jc w:val="both"/>
      </w:pPr>
      <w:r>
        <w:rPr>
          <w:rFonts w:ascii="Arial" w:hAnsi="Arial" w:cs="Arial" w:eastAsia="Arial" w:hint="default"/>
        </w:rPr>
        <w:t>2007</w:t>
      </w:r>
      <w:r>
        <w:rPr>
          <w:rFonts w:ascii="Arial" w:hAnsi="Arial" w:cs="Arial" w:eastAsia="Arial" w:hint="default"/>
          <w:spacing w:val="-2"/>
        </w:rPr>
        <w:t> </w:t>
      </w:r>
      <w:r>
        <w:rPr/>
        <w:t>年</w:t>
      </w:r>
      <w:r>
        <w:rPr>
          <w:spacing w:val="-54"/>
        </w:rPr>
        <w:t> </w:t>
      </w:r>
      <w:r>
        <w:rPr>
          <w:rFonts w:ascii="Arial" w:hAnsi="Arial" w:cs="Arial" w:eastAsia="Arial" w:hint="default"/>
        </w:rPr>
        <w:t>2</w:t>
      </w:r>
      <w:r>
        <w:rPr>
          <w:rFonts w:ascii="Arial" w:hAnsi="Arial" w:cs="Arial" w:eastAsia="Arial" w:hint="default"/>
          <w:spacing w:val="-1"/>
        </w:rPr>
        <w:t> </w:t>
      </w:r>
      <w:r>
        <w:rPr/>
        <w:t>月</w:t>
      </w:r>
      <w:r>
        <w:rPr>
          <w:spacing w:val="-55"/>
        </w:rPr>
        <w:t> </w:t>
      </w:r>
      <w:r>
        <w:rPr>
          <w:rFonts w:ascii="Arial" w:hAnsi="Arial" w:cs="Arial" w:eastAsia="Arial" w:hint="default"/>
        </w:rPr>
        <w:t>25</w:t>
      </w:r>
      <w:r>
        <w:rPr>
          <w:rFonts w:ascii="Arial" w:hAnsi="Arial" w:cs="Arial" w:eastAsia="Arial" w:hint="default"/>
          <w:spacing w:val="-2"/>
        </w:rPr>
        <w:t> </w:t>
      </w:r>
      <w:r>
        <w:rPr/>
        <w:t>日，经新疆维吾尔自治区国家税务局新国税办</w:t>
      </w:r>
      <w:r>
        <w:rPr>
          <w:rFonts w:ascii="Arial" w:hAnsi="Arial" w:cs="Arial" w:eastAsia="Arial" w:hint="default"/>
        </w:rPr>
        <w:t>[2007]91</w:t>
      </w:r>
      <w:r>
        <w:rPr>
          <w:rFonts w:ascii="Arial" w:hAnsi="Arial" w:cs="Arial" w:eastAsia="Arial" w:hint="default"/>
          <w:spacing w:val="-2"/>
        </w:rPr>
        <w:t> </w:t>
      </w:r>
      <w:r>
        <w:rPr/>
        <w:t>号文批准：同</w:t>
      </w:r>
    </w:p>
    <w:p>
      <w:pPr>
        <w:pStyle w:val="BodyText"/>
        <w:spacing w:line="322" w:lineRule="exact"/>
        <w:ind w:left="811" w:right="0"/>
        <w:jc w:val="both"/>
      </w:pPr>
      <w:r>
        <w:rPr/>
        <w:t>意免征新疆苏宁电器有限公司</w:t>
      </w:r>
      <w:r>
        <w:rPr>
          <w:spacing w:val="-61"/>
        </w:rPr>
        <w:t> </w:t>
      </w:r>
      <w:r>
        <w:rPr>
          <w:rFonts w:ascii="Arial" w:hAnsi="Arial" w:cs="Arial" w:eastAsia="Arial" w:hint="default"/>
        </w:rPr>
        <w:t>2006</w:t>
      </w:r>
      <w:r>
        <w:rPr>
          <w:rFonts w:ascii="Arial" w:hAnsi="Arial" w:cs="Arial" w:eastAsia="Arial" w:hint="default"/>
          <w:spacing w:val="-8"/>
        </w:rPr>
        <w:t> </w:t>
      </w:r>
      <w:r>
        <w:rPr/>
        <w:t>年至</w:t>
      </w:r>
      <w:r>
        <w:rPr>
          <w:spacing w:val="-61"/>
        </w:rPr>
        <w:t> </w:t>
      </w:r>
      <w:r>
        <w:rPr>
          <w:rFonts w:ascii="Arial" w:hAnsi="Arial" w:cs="Arial" w:eastAsia="Arial" w:hint="default"/>
        </w:rPr>
        <w:t>2008</w:t>
      </w:r>
      <w:r>
        <w:rPr>
          <w:rFonts w:ascii="Arial" w:hAnsi="Arial" w:cs="Arial" w:eastAsia="Arial" w:hint="default"/>
          <w:spacing w:val="-8"/>
        </w:rPr>
        <w:t> </w:t>
      </w:r>
      <w:r>
        <w:rPr/>
        <w:t>年企业所得税。</w:t>
      </w:r>
    </w:p>
    <w:p>
      <w:pPr>
        <w:spacing w:line="240" w:lineRule="auto" w:before="8"/>
        <w:rPr>
          <w:rFonts w:ascii="宋体" w:hAnsi="宋体" w:cs="宋体" w:eastAsia="宋体" w:hint="default"/>
          <w:sz w:val="19"/>
          <w:szCs w:val="19"/>
        </w:rPr>
      </w:pPr>
    </w:p>
    <w:p>
      <w:pPr>
        <w:pStyle w:val="BodyText"/>
        <w:spacing w:line="322" w:lineRule="exact"/>
        <w:ind w:left="811" w:right="0"/>
        <w:jc w:val="both"/>
        <w:rPr>
          <w:rFonts w:ascii="Arial" w:hAnsi="Arial" w:cs="Arial" w:eastAsia="Arial" w:hint="default"/>
        </w:rPr>
      </w:pPr>
      <w:r>
        <w:rPr>
          <w:rFonts w:ascii="Arial" w:hAnsi="Arial" w:cs="Arial" w:eastAsia="Arial" w:hint="default"/>
        </w:rPr>
        <w:t>2007</w:t>
      </w:r>
      <w:r>
        <w:rPr>
          <w:rFonts w:ascii="Arial" w:hAnsi="Arial" w:cs="Arial" w:eastAsia="Arial" w:hint="default"/>
          <w:spacing w:val="-10"/>
        </w:rPr>
        <w:t> </w:t>
      </w:r>
      <w:r>
        <w:rPr/>
        <w:t>年</w:t>
      </w:r>
      <w:r>
        <w:rPr>
          <w:spacing w:val="-63"/>
        </w:rPr>
        <w:t> </w:t>
      </w:r>
      <w:r>
        <w:rPr>
          <w:rFonts w:ascii="Arial" w:hAnsi="Arial" w:cs="Arial" w:eastAsia="Arial" w:hint="default"/>
        </w:rPr>
        <w:t>5</w:t>
      </w:r>
      <w:r>
        <w:rPr>
          <w:rFonts w:ascii="Arial" w:hAnsi="Arial" w:cs="Arial" w:eastAsia="Arial" w:hint="default"/>
          <w:spacing w:val="-9"/>
        </w:rPr>
        <w:t> </w:t>
      </w:r>
      <w:r>
        <w:rPr/>
        <w:t>月</w:t>
      </w:r>
      <w:r>
        <w:rPr>
          <w:spacing w:val="-63"/>
        </w:rPr>
        <w:t> </w:t>
      </w:r>
      <w:r>
        <w:rPr>
          <w:rFonts w:ascii="Arial" w:hAnsi="Arial" w:cs="Arial" w:eastAsia="Arial" w:hint="default"/>
          <w:spacing w:val="-10"/>
        </w:rPr>
        <w:t>11 </w:t>
      </w:r>
      <w:r>
        <w:rPr/>
        <w:t>日，经广西壮族自治区南宁市西塘区国家税务局南市国税函</w:t>
      </w:r>
      <w:r>
        <w:rPr>
          <w:rFonts w:ascii="Arial" w:hAnsi="Arial" w:cs="Arial" w:eastAsia="Arial" w:hint="default"/>
        </w:rPr>
        <w:t>[2007]228</w:t>
      </w:r>
    </w:p>
    <w:p>
      <w:pPr>
        <w:pStyle w:val="BodyText"/>
        <w:spacing w:line="322" w:lineRule="exact"/>
        <w:ind w:left="811" w:right="0"/>
        <w:jc w:val="both"/>
      </w:pPr>
      <w:r>
        <w:rPr/>
        <w:t>号文批准：同意免征广西苏宁电器有限公司</w:t>
      </w:r>
      <w:r>
        <w:rPr>
          <w:spacing w:val="-61"/>
        </w:rPr>
        <w:t> </w:t>
      </w:r>
      <w:r>
        <w:rPr>
          <w:rFonts w:ascii="Arial" w:hAnsi="Arial" w:cs="Arial" w:eastAsia="Arial" w:hint="default"/>
        </w:rPr>
        <w:t>2006</w:t>
      </w:r>
      <w:r>
        <w:rPr>
          <w:rFonts w:ascii="Arial" w:hAnsi="Arial" w:cs="Arial" w:eastAsia="Arial" w:hint="default"/>
          <w:spacing w:val="-8"/>
        </w:rPr>
        <w:t> </w:t>
      </w:r>
      <w:r>
        <w:rPr/>
        <w:t>年至</w:t>
      </w:r>
      <w:r>
        <w:rPr>
          <w:spacing w:val="-61"/>
        </w:rPr>
        <w:t> </w:t>
      </w:r>
      <w:r>
        <w:rPr>
          <w:rFonts w:ascii="Arial" w:hAnsi="Arial" w:cs="Arial" w:eastAsia="Arial" w:hint="default"/>
        </w:rPr>
        <w:t>2010</w:t>
      </w:r>
      <w:r>
        <w:rPr>
          <w:rFonts w:ascii="Arial" w:hAnsi="Arial" w:cs="Arial" w:eastAsia="Arial" w:hint="default"/>
          <w:spacing w:val="-8"/>
        </w:rPr>
        <w:t> </w:t>
      </w:r>
      <w:r>
        <w:rPr/>
        <w:t>年企业所得税。</w:t>
      </w:r>
    </w:p>
    <w:p>
      <w:pPr>
        <w:spacing w:line="240" w:lineRule="auto" w:before="13"/>
        <w:rPr>
          <w:rFonts w:ascii="宋体" w:hAnsi="宋体" w:cs="宋体" w:eastAsia="宋体" w:hint="default"/>
          <w:sz w:val="21"/>
          <w:szCs w:val="21"/>
        </w:rPr>
      </w:pPr>
    </w:p>
    <w:p>
      <w:pPr>
        <w:pStyle w:val="BodyText"/>
        <w:spacing w:line="312" w:lineRule="exact"/>
        <w:ind w:left="811" w:right="109"/>
        <w:jc w:val="both"/>
      </w:pPr>
      <w:r>
        <w:rPr>
          <w:rFonts w:ascii="Arial" w:hAnsi="Arial" w:cs="Arial" w:eastAsia="Arial" w:hint="default"/>
        </w:rPr>
        <w:t>2007</w:t>
      </w:r>
      <w:r>
        <w:rPr>
          <w:rFonts w:ascii="Arial" w:hAnsi="Arial" w:cs="Arial" w:eastAsia="Arial" w:hint="default"/>
          <w:spacing w:val="-11"/>
        </w:rPr>
        <w:t> </w:t>
      </w:r>
      <w:r>
        <w:rPr/>
        <w:t>年</w:t>
      </w:r>
      <w:r>
        <w:rPr>
          <w:spacing w:val="-64"/>
        </w:rPr>
        <w:t> </w:t>
      </w:r>
      <w:r>
        <w:rPr>
          <w:rFonts w:ascii="Arial" w:hAnsi="Arial" w:cs="Arial" w:eastAsia="Arial" w:hint="default"/>
        </w:rPr>
        <w:t>10</w:t>
      </w:r>
      <w:r>
        <w:rPr>
          <w:rFonts w:ascii="Arial" w:hAnsi="Arial" w:cs="Arial" w:eastAsia="Arial" w:hint="default"/>
          <w:spacing w:val="-10"/>
        </w:rPr>
        <w:t> </w:t>
      </w:r>
      <w:r>
        <w:rPr/>
        <w:t>月</w:t>
      </w:r>
      <w:r>
        <w:rPr>
          <w:spacing w:val="-64"/>
        </w:rPr>
        <w:t> </w:t>
      </w:r>
      <w:r>
        <w:rPr>
          <w:rFonts w:ascii="Arial" w:hAnsi="Arial" w:cs="Arial" w:eastAsia="Arial" w:hint="default"/>
        </w:rPr>
        <w:t>10</w:t>
      </w:r>
      <w:r>
        <w:rPr>
          <w:rFonts w:ascii="Arial" w:hAnsi="Arial" w:cs="Arial" w:eastAsia="Arial" w:hint="default"/>
          <w:spacing w:val="-11"/>
        </w:rPr>
        <w:t> </w:t>
      </w:r>
      <w:r>
        <w:rPr/>
        <w:t>日，经昌吉市国家税务局昌市国税减免字</w:t>
      </w:r>
      <w:r>
        <w:rPr>
          <w:rFonts w:ascii="Arial" w:hAnsi="Arial" w:cs="Arial" w:eastAsia="Arial" w:hint="default"/>
        </w:rPr>
        <w:t>[2007]</w:t>
      </w:r>
      <w:r>
        <w:rPr/>
        <w:t>第</w:t>
      </w:r>
      <w:r>
        <w:rPr>
          <w:spacing w:val="-64"/>
        </w:rPr>
        <w:t> </w:t>
      </w:r>
      <w:r>
        <w:rPr>
          <w:rFonts w:ascii="Arial" w:hAnsi="Arial" w:cs="Arial" w:eastAsia="Arial" w:hint="default"/>
        </w:rPr>
        <w:t>588</w:t>
      </w:r>
      <w:r>
        <w:rPr>
          <w:rFonts w:ascii="Arial" w:hAnsi="Arial" w:cs="Arial" w:eastAsia="Arial" w:hint="default"/>
          <w:spacing w:val="-11"/>
        </w:rPr>
        <w:t> </w:t>
      </w:r>
      <w:r>
        <w:rPr>
          <w:spacing w:val="-3"/>
        </w:rPr>
        <w:t>号文批准：同</w:t>
      </w:r>
      <w:r>
        <w:rPr/>
        <w:t> </w:t>
      </w:r>
      <w:r>
        <w:rPr>
          <w:spacing w:val="-1"/>
        </w:rPr>
        <w:t>意昌吉苏宁电器有限公司享受</w:t>
      </w:r>
      <w:r>
        <w:rPr>
          <w:rFonts w:ascii="Arial" w:hAnsi="Arial" w:cs="Arial" w:eastAsia="Arial" w:hint="default"/>
          <w:spacing w:val="-1"/>
        </w:rPr>
        <w:t>“</w:t>
      </w:r>
      <w:r>
        <w:rPr>
          <w:spacing w:val="-1"/>
        </w:rPr>
        <w:t>三免三减半</w:t>
      </w:r>
      <w:r>
        <w:rPr>
          <w:rFonts w:ascii="Arial" w:hAnsi="Arial" w:cs="Arial" w:eastAsia="Arial" w:hint="default"/>
          <w:spacing w:val="-1"/>
        </w:rPr>
        <w:t>”</w:t>
      </w:r>
      <w:r>
        <w:rPr>
          <w:spacing w:val="-1"/>
        </w:rPr>
        <w:t>的税收优惠政策，即免征昌吉苏宁电器有限</w:t>
      </w:r>
      <w:r>
        <w:rPr/>
        <w:t> 公司</w:t>
      </w:r>
      <w:r>
        <w:rPr>
          <w:spacing w:val="-61"/>
        </w:rPr>
        <w:t> </w:t>
      </w:r>
      <w:r>
        <w:rPr>
          <w:rFonts w:ascii="Arial" w:hAnsi="Arial" w:cs="Arial" w:eastAsia="Arial" w:hint="default"/>
        </w:rPr>
        <w:t>2007</w:t>
      </w:r>
      <w:r>
        <w:rPr>
          <w:rFonts w:ascii="Arial" w:hAnsi="Arial" w:cs="Arial" w:eastAsia="Arial" w:hint="default"/>
          <w:spacing w:val="-7"/>
        </w:rPr>
        <w:t> </w:t>
      </w:r>
      <w:r>
        <w:rPr/>
        <w:t>年至</w:t>
      </w:r>
      <w:r>
        <w:rPr>
          <w:spacing w:val="-61"/>
        </w:rPr>
        <w:t> </w:t>
      </w:r>
      <w:r>
        <w:rPr>
          <w:rFonts w:ascii="Arial" w:hAnsi="Arial" w:cs="Arial" w:eastAsia="Arial" w:hint="default"/>
        </w:rPr>
        <w:t>2009</w:t>
      </w:r>
      <w:r>
        <w:rPr>
          <w:rFonts w:ascii="Arial" w:hAnsi="Arial" w:cs="Arial" w:eastAsia="Arial" w:hint="default"/>
          <w:spacing w:val="-7"/>
        </w:rPr>
        <w:t> </w:t>
      </w:r>
      <w:r>
        <w:rPr>
          <w:spacing w:val="-11"/>
        </w:rPr>
        <w:t>年企业所得税，并于</w:t>
      </w:r>
      <w:r>
        <w:rPr>
          <w:spacing w:val="-61"/>
        </w:rPr>
        <w:t> </w:t>
      </w:r>
      <w:r>
        <w:rPr>
          <w:rFonts w:ascii="Arial" w:hAnsi="Arial" w:cs="Arial" w:eastAsia="Arial" w:hint="default"/>
        </w:rPr>
        <w:t>2010</w:t>
      </w:r>
      <w:r>
        <w:rPr>
          <w:rFonts w:ascii="Arial" w:hAnsi="Arial" w:cs="Arial" w:eastAsia="Arial" w:hint="default"/>
          <w:spacing w:val="-8"/>
        </w:rPr>
        <w:t> </w:t>
      </w:r>
      <w:r>
        <w:rPr/>
        <w:t>年至</w:t>
      </w:r>
      <w:r>
        <w:rPr>
          <w:spacing w:val="-61"/>
        </w:rPr>
        <w:t> </w:t>
      </w:r>
      <w:r>
        <w:rPr>
          <w:rFonts w:ascii="Arial" w:hAnsi="Arial" w:cs="Arial" w:eastAsia="Arial" w:hint="default"/>
        </w:rPr>
        <w:t>2012</w:t>
      </w:r>
      <w:r>
        <w:rPr>
          <w:rFonts w:ascii="Arial" w:hAnsi="Arial" w:cs="Arial" w:eastAsia="Arial" w:hint="default"/>
          <w:spacing w:val="-8"/>
        </w:rPr>
        <w:t> </w:t>
      </w:r>
      <w:r>
        <w:rPr/>
        <w:t>年享受减半征收企业所得税</w:t>
      </w:r>
    </w:p>
    <w:p>
      <w:pPr>
        <w:pStyle w:val="BodyText"/>
        <w:spacing w:line="300" w:lineRule="exact"/>
        <w:ind w:left="811" w:right="0"/>
        <w:jc w:val="both"/>
      </w:pPr>
      <w:r>
        <w:rPr>
          <w:rFonts w:ascii="Arial" w:hAnsi="Arial" w:cs="Arial" w:eastAsia="Arial" w:hint="default"/>
        </w:rPr>
        <w:t>3</w:t>
      </w:r>
      <w:r>
        <w:rPr>
          <w:rFonts w:ascii="Arial" w:hAnsi="Arial" w:cs="Arial" w:eastAsia="Arial" w:hint="default"/>
          <w:spacing w:val="-8"/>
        </w:rPr>
        <w:t> </w:t>
      </w:r>
      <w:r>
        <w:rPr/>
        <w:t>年的优惠政策。</w:t>
      </w:r>
    </w:p>
    <w:p>
      <w:pPr>
        <w:spacing w:line="240" w:lineRule="auto" w:before="8"/>
        <w:rPr>
          <w:rFonts w:ascii="宋体" w:hAnsi="宋体" w:cs="宋体" w:eastAsia="宋体" w:hint="default"/>
          <w:sz w:val="19"/>
          <w:szCs w:val="19"/>
        </w:rPr>
      </w:pPr>
    </w:p>
    <w:p>
      <w:pPr>
        <w:pStyle w:val="BodyText"/>
        <w:spacing w:line="322" w:lineRule="exact"/>
        <w:ind w:left="811" w:right="0"/>
        <w:jc w:val="both"/>
      </w:pPr>
      <w:r>
        <w:rPr>
          <w:rFonts w:ascii="Arial" w:hAnsi="Arial" w:cs="Arial" w:eastAsia="Arial" w:hint="default"/>
        </w:rPr>
        <w:t>2007</w:t>
      </w:r>
      <w:r>
        <w:rPr>
          <w:rFonts w:ascii="Arial" w:hAnsi="Arial" w:cs="Arial" w:eastAsia="Arial" w:hint="default"/>
          <w:spacing w:val="-12"/>
        </w:rPr>
        <w:t> </w:t>
      </w:r>
      <w:r>
        <w:rPr/>
        <w:t>年</w:t>
      </w:r>
      <w:r>
        <w:rPr>
          <w:spacing w:val="-65"/>
        </w:rPr>
        <w:t> </w:t>
      </w:r>
      <w:r>
        <w:rPr>
          <w:rFonts w:ascii="Arial" w:hAnsi="Arial" w:cs="Arial" w:eastAsia="Arial" w:hint="default"/>
        </w:rPr>
        <w:t>10</w:t>
      </w:r>
      <w:r>
        <w:rPr>
          <w:rFonts w:ascii="Arial" w:hAnsi="Arial" w:cs="Arial" w:eastAsia="Arial" w:hint="default"/>
          <w:spacing w:val="-11"/>
        </w:rPr>
        <w:t> </w:t>
      </w:r>
      <w:r>
        <w:rPr/>
        <w:t>月</w:t>
      </w:r>
      <w:r>
        <w:rPr>
          <w:spacing w:val="-65"/>
        </w:rPr>
        <w:t> </w:t>
      </w:r>
      <w:r>
        <w:rPr>
          <w:rFonts w:ascii="Arial" w:hAnsi="Arial" w:cs="Arial" w:eastAsia="Arial" w:hint="default"/>
        </w:rPr>
        <w:t>10</w:t>
      </w:r>
      <w:r>
        <w:rPr>
          <w:rFonts w:ascii="Arial" w:hAnsi="Arial" w:cs="Arial" w:eastAsia="Arial" w:hint="default"/>
          <w:spacing w:val="-12"/>
        </w:rPr>
        <w:t> </w:t>
      </w:r>
      <w:r>
        <w:rPr/>
        <w:t>日，经库尔勒市国家税务局库国税减免字</w:t>
      </w:r>
      <w:r>
        <w:rPr>
          <w:rFonts w:ascii="Arial" w:hAnsi="Arial" w:cs="Arial" w:eastAsia="Arial" w:hint="default"/>
        </w:rPr>
        <w:t>[2007]</w:t>
      </w:r>
      <w:r>
        <w:rPr/>
        <w:t>第</w:t>
      </w:r>
      <w:r>
        <w:rPr>
          <w:spacing w:val="-65"/>
        </w:rPr>
        <w:t> </w:t>
      </w:r>
      <w:r>
        <w:rPr>
          <w:rFonts w:ascii="Arial" w:hAnsi="Arial" w:cs="Arial" w:eastAsia="Arial" w:hint="default"/>
        </w:rPr>
        <w:t>833</w:t>
      </w:r>
      <w:r>
        <w:rPr>
          <w:rFonts w:ascii="Arial" w:hAnsi="Arial" w:cs="Arial" w:eastAsia="Arial" w:hint="default"/>
          <w:spacing w:val="-12"/>
        </w:rPr>
        <w:t> </w:t>
      </w:r>
      <w:r>
        <w:rPr>
          <w:spacing w:val="-3"/>
        </w:rPr>
        <w:t>号文批准：同</w:t>
      </w:r>
    </w:p>
    <w:p>
      <w:pPr>
        <w:pStyle w:val="BodyText"/>
        <w:spacing w:line="322" w:lineRule="exact"/>
        <w:ind w:left="811" w:right="0"/>
        <w:jc w:val="both"/>
      </w:pPr>
      <w:r>
        <w:rPr/>
        <w:t>意免征库尔勒苏宁电器有限公司</w:t>
      </w:r>
      <w:r>
        <w:rPr>
          <w:spacing w:val="-61"/>
        </w:rPr>
        <w:t> </w:t>
      </w:r>
      <w:r>
        <w:rPr>
          <w:rFonts w:ascii="Arial" w:hAnsi="Arial" w:cs="Arial" w:eastAsia="Arial" w:hint="default"/>
        </w:rPr>
        <w:t>2007</w:t>
      </w:r>
      <w:r>
        <w:rPr>
          <w:rFonts w:ascii="Arial" w:hAnsi="Arial" w:cs="Arial" w:eastAsia="Arial" w:hint="default"/>
          <w:spacing w:val="-8"/>
        </w:rPr>
        <w:t> </w:t>
      </w:r>
      <w:r>
        <w:rPr/>
        <w:t>年至</w:t>
      </w:r>
      <w:r>
        <w:rPr>
          <w:spacing w:val="-61"/>
        </w:rPr>
        <w:t> </w:t>
      </w:r>
      <w:r>
        <w:rPr>
          <w:rFonts w:ascii="Arial" w:hAnsi="Arial" w:cs="Arial" w:eastAsia="Arial" w:hint="default"/>
        </w:rPr>
        <w:t>2009</w:t>
      </w:r>
      <w:r>
        <w:rPr>
          <w:rFonts w:ascii="Arial" w:hAnsi="Arial" w:cs="Arial" w:eastAsia="Arial" w:hint="default"/>
          <w:spacing w:val="-8"/>
        </w:rPr>
        <w:t> </w:t>
      </w:r>
      <w:r>
        <w:rPr/>
        <w:t>年企业所得税。</w:t>
      </w:r>
    </w:p>
    <w:p>
      <w:pPr>
        <w:spacing w:line="240" w:lineRule="auto" w:before="13"/>
        <w:rPr>
          <w:rFonts w:ascii="宋体" w:hAnsi="宋体" w:cs="宋体" w:eastAsia="宋体" w:hint="default"/>
          <w:sz w:val="21"/>
          <w:szCs w:val="21"/>
        </w:rPr>
      </w:pPr>
    </w:p>
    <w:p>
      <w:pPr>
        <w:pStyle w:val="BodyText"/>
        <w:spacing w:line="312" w:lineRule="exact"/>
        <w:ind w:left="811" w:right="106"/>
        <w:jc w:val="both"/>
      </w:pP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18</w:t>
      </w:r>
      <w:r>
        <w:rPr>
          <w:rFonts w:ascii="Arial" w:hAnsi="Arial" w:cs="Arial" w:eastAsia="Arial" w:hint="default"/>
          <w:spacing w:val="-8"/>
        </w:rPr>
        <w:t> </w:t>
      </w:r>
      <w:r>
        <w:rPr>
          <w:spacing w:val="-3"/>
        </w:rPr>
        <w:t>日，经陕西省国家税务局陕国税函</w:t>
      </w:r>
      <w:r>
        <w:rPr>
          <w:rFonts w:ascii="Arial" w:hAnsi="Arial" w:cs="Arial" w:eastAsia="Arial" w:hint="default"/>
          <w:spacing w:val="-3"/>
        </w:rPr>
        <w:t>[2008]122</w:t>
      </w:r>
      <w:r>
        <w:rPr>
          <w:rFonts w:ascii="Arial" w:hAnsi="Arial" w:cs="Arial" w:eastAsia="Arial" w:hint="default"/>
          <w:spacing w:val="-8"/>
        </w:rPr>
        <w:t> </w:t>
      </w:r>
      <w:r>
        <w:rPr>
          <w:spacing w:val="-15"/>
        </w:rPr>
        <w:t>号文，及</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8"/>
        </w:rPr>
        <w:t> </w:t>
      </w:r>
      <w:r>
        <w:rPr/>
        <w:t>月</w:t>
      </w:r>
      <w:r>
        <w:rPr>
          <w:spacing w:val="-61"/>
        </w:rPr>
        <w:t> </w:t>
      </w:r>
      <w:r>
        <w:rPr>
          <w:rFonts w:ascii="Arial" w:hAnsi="Arial" w:cs="Arial" w:eastAsia="Arial" w:hint="default"/>
        </w:rPr>
        <w:t>23</w:t>
      </w:r>
      <w:r>
        <w:rPr>
          <w:rFonts w:ascii="Arial" w:hAnsi="Arial" w:cs="Arial" w:eastAsia="Arial" w:hint="default"/>
          <w:spacing w:val="-1"/>
          <w:w w:val="99"/>
        </w:rPr>
        <w:t> </w:t>
      </w:r>
      <w:r>
        <w:rPr/>
        <w:t>日，经宝鸡市渭滨区国家税务局渭滨区减</w:t>
      </w:r>
      <w:r>
        <w:rPr>
          <w:rFonts w:ascii="Arial" w:hAnsi="Arial" w:cs="Arial" w:eastAsia="Arial" w:hint="default"/>
        </w:rPr>
        <w:t>[2008]13</w:t>
      </w:r>
      <w:r>
        <w:rPr>
          <w:rFonts w:ascii="Arial" w:hAnsi="Arial" w:cs="Arial" w:eastAsia="Arial" w:hint="default"/>
          <w:spacing w:val="59"/>
        </w:rPr>
        <w:t> </w:t>
      </w:r>
      <w:r>
        <w:rPr/>
        <w:t>号文批准：同意宝鸡苏宁电器有限</w:t>
      </w:r>
      <w:r>
        <w:rPr>
          <w:spacing w:val="1"/>
        </w:rPr>
        <w:t> </w:t>
      </w:r>
      <w:r>
        <w:rPr/>
        <w:t>公司</w:t>
      </w:r>
      <w:r>
        <w:rPr>
          <w:spacing w:val="-62"/>
        </w:rPr>
        <w:t> </w:t>
      </w:r>
      <w:r>
        <w:rPr>
          <w:rFonts w:ascii="Arial" w:hAnsi="Arial" w:cs="Arial" w:eastAsia="Arial" w:hint="default"/>
        </w:rPr>
        <w:t>2008</w:t>
      </w:r>
      <w:r>
        <w:rPr>
          <w:rFonts w:ascii="Arial" w:hAnsi="Arial" w:cs="Arial" w:eastAsia="Arial" w:hint="default"/>
          <w:spacing w:val="-8"/>
        </w:rPr>
        <w:t> </w:t>
      </w:r>
      <w:r>
        <w:rPr/>
        <w:t>年至</w:t>
      </w:r>
      <w:r>
        <w:rPr>
          <w:spacing w:val="-62"/>
        </w:rPr>
        <w:t> </w:t>
      </w:r>
      <w:r>
        <w:rPr>
          <w:rFonts w:ascii="Arial" w:hAnsi="Arial" w:cs="Arial" w:eastAsia="Arial" w:hint="default"/>
        </w:rPr>
        <w:t>2010</w:t>
      </w:r>
      <w:r>
        <w:rPr>
          <w:rFonts w:ascii="Arial" w:hAnsi="Arial" w:cs="Arial" w:eastAsia="Arial" w:hint="default"/>
          <w:spacing w:val="-8"/>
        </w:rPr>
        <w:t> </w:t>
      </w:r>
      <w:r>
        <w:rPr/>
        <w:t>年享受</w:t>
      </w:r>
      <w:r>
        <w:rPr>
          <w:spacing w:val="-62"/>
        </w:rPr>
        <w:t> </w:t>
      </w:r>
      <w:r>
        <w:rPr>
          <w:rFonts w:ascii="Arial" w:hAnsi="Arial" w:cs="Arial" w:eastAsia="Arial" w:hint="default"/>
        </w:rPr>
        <w:t>15%</w:t>
      </w:r>
      <w:r>
        <w:rPr/>
        <w:t>的企业所得税税率。</w:t>
      </w:r>
    </w:p>
    <w:p>
      <w:pPr>
        <w:spacing w:line="240" w:lineRule="auto" w:before="10"/>
        <w:rPr>
          <w:rFonts w:ascii="宋体" w:hAnsi="宋体" w:cs="宋体" w:eastAsia="宋体" w:hint="default"/>
          <w:sz w:val="18"/>
          <w:szCs w:val="18"/>
        </w:rPr>
      </w:pPr>
    </w:p>
    <w:p>
      <w:pPr>
        <w:pStyle w:val="BodyText"/>
        <w:spacing w:line="322" w:lineRule="exact"/>
        <w:ind w:left="811" w:right="0"/>
        <w:jc w:val="both"/>
      </w:pPr>
      <w:r>
        <w:rPr>
          <w:rFonts w:ascii="Arial" w:hAnsi="Arial" w:cs="Arial" w:eastAsia="Arial" w:hint="default"/>
        </w:rPr>
        <w:t>2009</w:t>
      </w:r>
      <w:r>
        <w:rPr>
          <w:rFonts w:ascii="Arial" w:hAnsi="Arial" w:cs="Arial" w:eastAsia="Arial" w:hint="default"/>
          <w:spacing w:val="4"/>
        </w:rPr>
        <w:t> </w:t>
      </w:r>
      <w:r>
        <w:rPr/>
        <w:t>年</w:t>
      </w:r>
      <w:r>
        <w:rPr>
          <w:spacing w:val="-49"/>
        </w:rPr>
        <w:t> </w:t>
      </w:r>
      <w:r>
        <w:rPr>
          <w:rFonts w:ascii="Arial" w:hAnsi="Arial" w:cs="Arial" w:eastAsia="Arial" w:hint="default"/>
        </w:rPr>
        <w:t>1</w:t>
      </w:r>
      <w:r>
        <w:rPr>
          <w:rFonts w:ascii="Arial" w:hAnsi="Arial" w:cs="Arial" w:eastAsia="Arial" w:hint="default"/>
          <w:spacing w:val="5"/>
        </w:rPr>
        <w:t> </w:t>
      </w:r>
      <w:r>
        <w:rPr/>
        <w:t>月</w:t>
      </w:r>
      <w:r>
        <w:rPr>
          <w:spacing w:val="-49"/>
        </w:rPr>
        <w:t> </w:t>
      </w:r>
      <w:r>
        <w:rPr>
          <w:rFonts w:ascii="Arial" w:hAnsi="Arial" w:cs="Arial" w:eastAsia="Arial" w:hint="default"/>
        </w:rPr>
        <w:t>7</w:t>
      </w:r>
      <w:r>
        <w:rPr>
          <w:rFonts w:ascii="Arial" w:hAnsi="Arial" w:cs="Arial" w:eastAsia="Arial" w:hint="default"/>
          <w:spacing w:val="4"/>
        </w:rPr>
        <w:t> </w:t>
      </w:r>
      <w:r>
        <w:rPr/>
        <w:t>日，经重庆市渝中区国家税务局渝中国税减</w:t>
      </w:r>
      <w:r>
        <w:rPr>
          <w:rFonts w:ascii="Arial" w:hAnsi="Arial" w:cs="Arial" w:eastAsia="Arial" w:hint="default"/>
        </w:rPr>
        <w:t>[2009]1</w:t>
      </w:r>
      <w:r>
        <w:rPr>
          <w:rFonts w:ascii="Arial" w:hAnsi="Arial" w:cs="Arial" w:eastAsia="Arial" w:hint="default"/>
          <w:spacing w:val="4"/>
        </w:rPr>
        <w:t> </w:t>
      </w:r>
      <w:r>
        <w:rPr/>
        <w:t>号文批准：同意重</w:t>
      </w:r>
    </w:p>
    <w:p>
      <w:pPr>
        <w:pStyle w:val="BodyText"/>
        <w:spacing w:line="322" w:lineRule="exact"/>
        <w:ind w:left="811" w:right="0"/>
        <w:jc w:val="both"/>
      </w:pPr>
      <w:r>
        <w:rPr/>
        <w:t>庆渝宁苏宁电器有限公司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after="0" w:line="322" w:lineRule="exact"/>
        <w:jc w:val="both"/>
        <w:sectPr>
          <w:pgSz w:w="11910" w:h="16840"/>
          <w:pgMar w:header="826" w:footer="894" w:top="1100" w:bottom="1080" w:left="940" w:right="1040"/>
        </w:sectPr>
      </w:pPr>
    </w:p>
    <w:p>
      <w:pPr>
        <w:spacing w:line="240" w:lineRule="auto" w:before="7"/>
        <w:rPr>
          <w:rFonts w:ascii="宋体" w:hAnsi="宋体" w:cs="宋体" w:eastAsia="宋体" w:hint="default"/>
          <w:sz w:val="24"/>
          <w:szCs w:val="24"/>
        </w:rPr>
      </w:pPr>
    </w:p>
    <w:p>
      <w:pPr>
        <w:pStyle w:val="Heading2"/>
        <w:tabs>
          <w:tab w:pos="811" w:val="left" w:leader="none"/>
        </w:tabs>
        <w:spacing w:line="240" w:lineRule="auto"/>
        <w:ind w:right="96"/>
        <w:jc w:val="left"/>
        <w:rPr>
          <w:b w:val="0"/>
          <w:bCs w:val="0"/>
        </w:rPr>
      </w:pPr>
      <w:r>
        <w:rPr>
          <w:w w:val="95"/>
        </w:rPr>
        <w:t>六</w:t>
        <w:tab/>
      </w:r>
      <w:r>
        <w:rPr/>
        <w:t>子公司</w:t>
      </w:r>
      <w:r>
        <w:rPr>
          <w:b w:val="0"/>
          <w:bCs w:val="0"/>
        </w:rPr>
      </w:r>
    </w:p>
    <w:p>
      <w:pPr>
        <w:spacing w:line="240" w:lineRule="auto" w:before="4"/>
        <w:rPr>
          <w:rFonts w:ascii="宋体" w:hAnsi="宋体" w:cs="宋体" w:eastAsia="宋体" w:hint="default"/>
          <w:b/>
          <w:bCs/>
          <w:sz w:val="23"/>
          <w:szCs w:val="23"/>
        </w:rPr>
      </w:pPr>
    </w:p>
    <w:p>
      <w:pPr>
        <w:pStyle w:val="BodyText"/>
        <w:spacing w:line="312" w:lineRule="exact"/>
        <w:ind w:left="812" w:right="96"/>
        <w:jc w:val="left"/>
      </w:pPr>
      <w:r>
        <w:rPr/>
        <w:t>截止</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7"/>
        </w:rPr>
        <w:t>日，本集团下属共</w:t>
      </w:r>
      <w:r>
        <w:rPr>
          <w:spacing w:val="-61"/>
        </w:rPr>
        <w:t> </w:t>
      </w:r>
      <w:r>
        <w:rPr>
          <w:rFonts w:ascii="Arial" w:hAnsi="Arial" w:cs="Arial" w:eastAsia="Arial" w:hint="default"/>
        </w:rPr>
        <w:t>236</w:t>
      </w:r>
      <w:r>
        <w:rPr>
          <w:rFonts w:ascii="Arial" w:hAnsi="Arial" w:cs="Arial" w:eastAsia="Arial" w:hint="default"/>
          <w:spacing w:val="-8"/>
        </w:rPr>
        <w:t> </w:t>
      </w:r>
      <w:r>
        <w:rPr>
          <w:spacing w:val="-8"/>
        </w:rPr>
        <w:t>家子公司，其中</w:t>
      </w:r>
      <w:r>
        <w:rPr>
          <w:spacing w:val="-61"/>
        </w:rPr>
        <w:t> </w:t>
      </w:r>
      <w:r>
        <w:rPr>
          <w:rFonts w:ascii="Arial" w:hAnsi="Arial" w:cs="Arial" w:eastAsia="Arial" w:hint="default"/>
        </w:rPr>
        <w:t>169</w:t>
      </w:r>
      <w:r>
        <w:rPr>
          <w:rFonts w:ascii="Arial" w:hAnsi="Arial" w:cs="Arial" w:eastAsia="Arial" w:hint="default"/>
          <w:spacing w:val="-8"/>
        </w:rPr>
        <w:t> </w:t>
      </w:r>
      <w:r>
        <w:rPr/>
        <w:t>家从事电器与电子 消费品的连锁零售业务、</w:t>
      </w:r>
      <w:r>
        <w:rPr>
          <w:rFonts w:ascii="Arial" w:hAnsi="Arial" w:cs="Arial" w:eastAsia="Arial" w:hint="default"/>
        </w:rPr>
        <w:t>57 </w:t>
      </w:r>
      <w:r>
        <w:rPr/>
        <w:t>家从事售后服务业务、</w:t>
      </w:r>
      <w:r>
        <w:rPr>
          <w:rFonts w:ascii="Arial" w:hAnsi="Arial" w:cs="Arial" w:eastAsia="Arial" w:hint="default"/>
        </w:rPr>
        <w:t>6 </w:t>
      </w:r>
      <w:r>
        <w:rPr/>
        <w:t>家从事仓储物流业务、</w:t>
      </w:r>
      <w:r>
        <w:rPr>
          <w:rFonts w:ascii="Arial" w:hAnsi="Arial" w:cs="Arial" w:eastAsia="Arial" w:hint="default"/>
        </w:rPr>
        <w:t>1</w:t>
      </w:r>
      <w:r>
        <w:rPr>
          <w:rFonts w:ascii="Arial" w:hAnsi="Arial" w:cs="Arial" w:eastAsia="Arial" w:hint="default"/>
          <w:spacing w:val="-41"/>
        </w:rPr>
        <w:t> </w:t>
      </w:r>
      <w:r>
        <w:rPr/>
        <w:t>家从事 </w:t>
      </w:r>
      <w:r>
        <w:rPr>
          <w:spacing w:val="-3"/>
        </w:rPr>
        <w:t>集团内部的行政用品购销业务、</w:t>
      </w:r>
      <w:r>
        <w:rPr>
          <w:rFonts w:ascii="Arial" w:hAnsi="Arial" w:cs="Arial" w:eastAsia="Arial" w:hint="default"/>
          <w:spacing w:val="-3"/>
        </w:rPr>
        <w:t>1 </w:t>
      </w:r>
      <w:r>
        <w:rPr>
          <w:spacing w:val="-3"/>
        </w:rPr>
        <w:t>家从事地铁商业管理业务、</w:t>
      </w:r>
      <w:r>
        <w:rPr>
          <w:rFonts w:ascii="Arial" w:hAnsi="Arial" w:cs="Arial" w:eastAsia="Arial" w:hint="default"/>
          <w:spacing w:val="-3"/>
        </w:rPr>
        <w:t>1</w:t>
      </w:r>
      <w:r>
        <w:rPr>
          <w:rFonts w:ascii="Arial" w:hAnsi="Arial" w:cs="Arial" w:eastAsia="Arial" w:hint="default"/>
          <w:spacing w:val="3"/>
        </w:rPr>
        <w:t> </w:t>
      </w:r>
      <w:r>
        <w:rPr/>
        <w:t>家从事文化传媒业务、 </w:t>
      </w:r>
      <w:r>
        <w:rPr>
          <w:rFonts w:ascii="Arial" w:hAnsi="Arial" w:cs="Arial" w:eastAsia="Arial" w:hint="default"/>
        </w:rPr>
        <w:t>1</w:t>
      </w:r>
      <w:r>
        <w:rPr>
          <w:rFonts w:ascii="Arial" w:hAnsi="Arial" w:cs="Arial" w:eastAsia="Arial" w:hint="default"/>
          <w:spacing w:val="-8"/>
        </w:rPr>
        <w:t> </w:t>
      </w:r>
      <w:r>
        <w:rPr/>
        <w:t>家从事计算机软件信息技术开发业务。</w:t>
      </w:r>
    </w:p>
    <w:p>
      <w:pPr>
        <w:spacing w:line="240" w:lineRule="auto" w:before="10"/>
        <w:rPr>
          <w:rFonts w:ascii="宋体" w:hAnsi="宋体" w:cs="宋体" w:eastAsia="宋体" w:hint="default"/>
          <w:sz w:val="18"/>
          <w:szCs w:val="18"/>
        </w:rPr>
      </w:pPr>
    </w:p>
    <w:p>
      <w:pPr>
        <w:pStyle w:val="BodyText"/>
        <w:spacing w:line="240" w:lineRule="auto"/>
        <w:ind w:left="812" w:right="96"/>
        <w:jc w:val="left"/>
      </w:pPr>
      <w:r>
        <w:rPr/>
        <w:t>截止</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日，本集团的主要子公司列示如下：</w:t>
      </w:r>
    </w:p>
    <w:p>
      <w:pPr>
        <w:spacing w:line="240" w:lineRule="auto" w:before="9"/>
        <w:rPr>
          <w:rFonts w:ascii="宋体" w:hAnsi="宋体" w:cs="宋体" w:eastAsia="宋体" w:hint="default"/>
          <w:sz w:val="14"/>
          <w:szCs w:val="14"/>
        </w:rPr>
      </w:pPr>
    </w:p>
    <w:tbl>
      <w:tblPr>
        <w:tblW w:w="0" w:type="auto"/>
        <w:jc w:val="left"/>
        <w:tblInd w:w="776" w:type="dxa"/>
        <w:tblLayout w:type="fixed"/>
        <w:tblCellMar>
          <w:top w:w="0" w:type="dxa"/>
          <w:left w:w="0" w:type="dxa"/>
          <w:bottom w:w="0" w:type="dxa"/>
          <w:right w:w="0" w:type="dxa"/>
        </w:tblCellMar>
        <w:tblLook w:val="01E0"/>
      </w:tblPr>
      <w:tblGrid>
        <w:gridCol w:w="1804"/>
        <w:gridCol w:w="814"/>
        <w:gridCol w:w="1516"/>
        <w:gridCol w:w="1717"/>
        <w:gridCol w:w="1539"/>
        <w:gridCol w:w="1405"/>
      </w:tblGrid>
      <w:tr>
        <w:trPr>
          <w:trHeight w:val="736" w:hRule="exact"/>
        </w:trPr>
        <w:tc>
          <w:tcPr>
            <w:tcW w:w="1804" w:type="dxa"/>
            <w:vMerge w:val="restart"/>
            <w:tcBorders>
              <w:top w:val="nil" w:sz="6" w:space="0" w:color="auto"/>
              <w:left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4" w:right="374" w:hanging="105"/>
              <w:jc w:val="left"/>
              <w:rPr>
                <w:rFonts w:ascii="宋体" w:hAnsi="宋体" w:cs="宋体" w:eastAsia="宋体" w:hint="default"/>
                <w:sz w:val="21"/>
                <w:szCs w:val="21"/>
              </w:rPr>
            </w:pPr>
            <w:r>
              <w:rPr>
                <w:rFonts w:ascii="宋体" w:hAnsi="宋体" w:cs="宋体" w:eastAsia="宋体" w:hint="default"/>
                <w:sz w:val="21"/>
                <w:szCs w:val="21"/>
              </w:rPr>
              <w:t>业务性质及 经营范围</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3" w:right="303" w:hanging="210"/>
              <w:jc w:val="left"/>
              <w:rPr>
                <w:rFonts w:ascii="宋体" w:hAnsi="宋体" w:cs="宋体" w:eastAsia="宋体" w:hint="default"/>
                <w:sz w:val="21"/>
                <w:szCs w:val="21"/>
              </w:rPr>
            </w:pPr>
            <w:r>
              <w:rPr>
                <w:rFonts w:ascii="宋体" w:hAnsi="宋体" w:cs="宋体" w:eastAsia="宋体" w:hint="default"/>
                <w:sz w:val="21"/>
                <w:szCs w:val="21"/>
              </w:rPr>
              <w:t>本公司合计 持股比例</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9" w:right="33" w:hanging="15"/>
              <w:jc w:val="left"/>
              <w:rPr>
                <w:rFonts w:ascii="宋体" w:hAnsi="宋体" w:cs="宋体" w:eastAsia="宋体" w:hint="default"/>
                <w:sz w:val="21"/>
                <w:szCs w:val="21"/>
              </w:rPr>
            </w:pPr>
            <w:r>
              <w:rPr>
                <w:rFonts w:ascii="宋体" w:hAnsi="宋体" w:cs="宋体" w:eastAsia="宋体" w:hint="default"/>
                <w:sz w:val="21"/>
                <w:szCs w:val="21"/>
              </w:rPr>
              <w:t>本公司合计 表决权比例</w:t>
            </w:r>
          </w:p>
        </w:tc>
      </w:tr>
      <w:tr>
        <w:trPr>
          <w:trHeight w:val="394" w:hRule="exact"/>
        </w:trPr>
        <w:tc>
          <w:tcPr>
            <w:tcW w:w="1804" w:type="dxa"/>
            <w:vMerge/>
            <w:tcBorders>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1"/>
              <w:jc w:val="righ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北京苏宁电器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27,797.85</w:t>
            </w:r>
            <w:r>
              <w:rPr>
                <w:rFonts w:ascii="Arial" w:hAnsi="Arial" w:cs="Arial" w:eastAsia="Arial" w:hint="default"/>
                <w:spacing w:val="-25"/>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89%</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89%</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2"/>
              <w:jc w:val="right"/>
              <w:rPr>
                <w:rFonts w:ascii="宋体" w:hAnsi="宋体" w:cs="宋体" w:eastAsia="宋体" w:hint="default"/>
                <w:sz w:val="21"/>
                <w:szCs w:val="21"/>
              </w:rPr>
            </w:pPr>
            <w:r>
              <w:rPr>
                <w:rFonts w:ascii="Arial" w:hAnsi="Arial" w:cs="Arial" w:eastAsia="Arial" w:hint="default"/>
                <w:sz w:val="21"/>
                <w:szCs w:val="21"/>
              </w:rPr>
              <w:t>17,748</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90%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1"/>
                <w:szCs w:val="21"/>
              </w:rPr>
            </w:pPr>
            <w:r>
              <w:rPr>
                <w:rFonts w:ascii="Arial"/>
                <w:spacing w:val="-1"/>
                <w:w w:val="95"/>
                <w:sz w:val="21"/>
              </w:rPr>
              <w:t>90%</w:t>
            </w:r>
            <w:r>
              <w:rPr>
                <w:rFonts w:ascii="Arial"/>
                <w:sz w:val="21"/>
              </w:rPr>
            </w: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2"/>
              <w:jc w:val="right"/>
              <w:rPr>
                <w:rFonts w:ascii="宋体" w:hAnsi="宋体" w:cs="宋体" w:eastAsia="宋体" w:hint="default"/>
                <w:sz w:val="21"/>
                <w:szCs w:val="21"/>
              </w:rPr>
            </w:pPr>
            <w:r>
              <w:rPr>
                <w:rFonts w:ascii="Arial" w:hAnsi="Arial" w:cs="Arial" w:eastAsia="Arial" w:hint="default"/>
                <w:sz w:val="21"/>
                <w:szCs w:val="21"/>
              </w:rPr>
              <w:t>16,501</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89%</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89%</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安徽苏宁电器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合肥市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1,200</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55%</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1"/>
                <w:szCs w:val="21"/>
              </w:rPr>
            </w:pPr>
            <w:r>
              <w:rPr>
                <w:rFonts w:ascii="Arial"/>
                <w:spacing w:val="-1"/>
                <w:w w:val="95"/>
                <w:sz w:val="21"/>
              </w:rPr>
              <w:t>55%</w:t>
            </w:r>
            <w:r>
              <w:rPr>
                <w:rFonts w:ascii="Arial"/>
                <w:sz w:val="21"/>
              </w:rPr>
            </w: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深圳市苏宁电器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7,700</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90%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90%</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重庆渝宁苏宁</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电器有限公司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重庆市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5,000</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100%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沈阳苏宁电器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沈阳市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0"/>
              <w:jc w:val="right"/>
              <w:rPr>
                <w:rFonts w:ascii="宋体" w:hAnsi="宋体" w:cs="宋体" w:eastAsia="宋体" w:hint="default"/>
                <w:sz w:val="21"/>
                <w:szCs w:val="21"/>
              </w:rPr>
            </w:pPr>
            <w:r>
              <w:rPr>
                <w:rFonts w:ascii="Arial" w:hAnsi="Arial" w:cs="Arial" w:eastAsia="Arial" w:hint="default"/>
                <w:sz w:val="21"/>
                <w:szCs w:val="21"/>
              </w:rPr>
              <w:t>20,193.3</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100%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广东苏宁电器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广州市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2"/>
              <w:jc w:val="right"/>
              <w:rPr>
                <w:rFonts w:ascii="宋体" w:hAnsi="宋体" w:cs="宋体" w:eastAsia="宋体" w:hint="default"/>
                <w:sz w:val="21"/>
                <w:szCs w:val="21"/>
              </w:rPr>
            </w:pPr>
            <w:r>
              <w:rPr>
                <w:rFonts w:ascii="Arial" w:hAnsi="Arial" w:cs="Arial" w:eastAsia="Arial" w:hint="default"/>
                <w:sz w:val="21"/>
                <w:szCs w:val="21"/>
              </w:rPr>
              <w:t>17,800</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99%</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上海杨浦苏宁售后</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费品的安</w:t>
            </w:r>
            <w:r>
              <w:rPr>
                <w:rFonts w:ascii="宋体" w:hAnsi="宋体" w:cs="宋体" w:eastAsia="宋体" w:hint="default"/>
                <w:spacing w:val="-54"/>
                <w:sz w:val="21"/>
                <w:szCs w:val="21"/>
              </w:rPr>
              <w:t> </w:t>
            </w:r>
            <w:r>
              <w:rPr>
                <w:rFonts w:ascii="宋体" w:hAnsi="宋体" w:cs="宋体" w:eastAsia="宋体" w:hint="default"/>
                <w:sz w:val="21"/>
                <w:szCs w:val="21"/>
              </w:rPr>
              <w:t>装</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维修</w:t>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81%</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90%</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天津天宁苏宁</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电器有限公司</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四川苏宁电器</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500</w:t>
            </w:r>
            <w:r>
              <w:rPr>
                <w:rFonts w:ascii="Arial" w:hAnsi="Arial" w:cs="Arial" w:eastAsia="Arial" w:hint="default"/>
                <w:spacing w:val="-9"/>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100%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2"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46" w:hRule="exact"/>
        </w:trPr>
        <w:tc>
          <w:tcPr>
            <w:tcW w:w="1804"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Style w:val="TableParagraph"/>
              <w:spacing w:line="242" w:lineRule="exact"/>
              <w:ind w:left="28" w:right="0"/>
              <w:jc w:val="center"/>
              <w:rPr>
                <w:rFonts w:ascii="宋体" w:hAnsi="宋体" w:cs="宋体" w:eastAsia="宋体" w:hint="default"/>
                <w:sz w:val="21"/>
                <w:szCs w:val="21"/>
              </w:rPr>
            </w:pPr>
            <w:r>
              <w:rPr>
                <w:rFonts w:ascii="宋体" w:hAnsi="宋体" w:cs="宋体" w:eastAsia="宋体" w:hint="default"/>
                <w:sz w:val="21"/>
                <w:szCs w:val="21"/>
              </w:rPr>
              <w:t>成都市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1,000</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pacing w:val="28"/>
                <w:sz w:val="21"/>
                <w:szCs w:val="21"/>
              </w:rPr>
              <w:t>电器和电</w:t>
            </w:r>
            <w:r>
              <w:rPr>
                <w:rFonts w:ascii="宋体" w:hAnsi="宋体" w:cs="宋体" w:eastAsia="宋体" w:hint="default"/>
                <w:spacing w:val="-65"/>
                <w:sz w:val="21"/>
                <w:szCs w:val="21"/>
              </w:rPr>
              <w:t> </w:t>
            </w:r>
            <w:r>
              <w:rPr>
                <w:rFonts w:ascii="宋体" w:hAnsi="宋体" w:cs="宋体" w:eastAsia="宋体" w:hint="default"/>
                <w:spacing w:val="19"/>
                <w:sz w:val="21"/>
                <w:szCs w:val="21"/>
              </w:rPr>
              <w:t>子消</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4"/>
              <w:jc w:val="right"/>
              <w:rPr>
                <w:rFonts w:ascii="Arial" w:hAnsi="Arial" w:cs="Arial" w:eastAsia="Arial" w:hint="default"/>
                <w:sz w:val="21"/>
                <w:szCs w:val="21"/>
              </w:rPr>
            </w:pPr>
            <w:r>
              <w:rPr>
                <w:rFonts w:ascii="Arial"/>
                <w:spacing w:val="-1"/>
                <w:w w:val="95"/>
                <w:sz w:val="21"/>
              </w:rPr>
              <w:t>100%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4"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陕西苏宁电器</w:t>
            </w:r>
          </w:p>
        </w:tc>
        <w:tc>
          <w:tcPr>
            <w:tcW w:w="81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人民币</w:t>
            </w:r>
          </w:p>
        </w:tc>
        <w:tc>
          <w:tcPr>
            <w:tcW w:w="1717" w:type="dxa"/>
            <w:tcBorders>
              <w:top w:val="nil" w:sz="6" w:space="0" w:color="auto"/>
              <w:left w:val="nil" w:sz="6" w:space="0" w:color="auto"/>
              <w:bottom w:val="nil" w:sz="6" w:space="0" w:color="auto"/>
              <w:right w:val="nil" w:sz="6" w:space="0" w:color="auto"/>
            </w:tcBorders>
          </w:tcPr>
          <w:p>
            <w:pPr>
              <w:pStyle w:val="TableParagraph"/>
              <w:spacing w:line="242" w:lineRule="exact"/>
              <w:ind w:right="218"/>
              <w:jc w:val="right"/>
              <w:rPr>
                <w:rFonts w:ascii="宋体" w:hAnsi="宋体" w:cs="宋体" w:eastAsia="宋体" w:hint="default"/>
                <w:sz w:val="21"/>
                <w:szCs w:val="21"/>
              </w:rPr>
            </w:pPr>
            <w:r>
              <w:rPr>
                <w:rFonts w:ascii="宋体" w:hAnsi="宋体" w:cs="宋体" w:eastAsia="宋体" w:hint="default"/>
                <w:spacing w:val="38"/>
                <w:sz w:val="21"/>
                <w:szCs w:val="21"/>
              </w:rPr>
              <w:t>费品的连</w:t>
            </w:r>
            <w:r>
              <w:rPr>
                <w:rFonts w:ascii="宋体" w:hAnsi="宋体" w:cs="宋体" w:eastAsia="宋体" w:hint="default"/>
                <w:spacing w:val="-54"/>
                <w:sz w:val="21"/>
                <w:szCs w:val="21"/>
              </w:rPr>
              <w:t> </w:t>
            </w:r>
            <w:r>
              <w:rPr>
                <w:rFonts w:ascii="宋体" w:hAnsi="宋体" w:cs="宋体" w:eastAsia="宋体" w:hint="default"/>
                <w:sz w:val="21"/>
                <w:szCs w:val="21"/>
              </w:rPr>
              <w:t>锁</w:t>
            </w:r>
          </w:p>
        </w:tc>
        <w:tc>
          <w:tcPr>
            <w:tcW w:w="153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368" w:hRule="exact"/>
        </w:trPr>
        <w:tc>
          <w:tcPr>
            <w:tcW w:w="1804"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814"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西安市</w:t>
            </w:r>
          </w:p>
        </w:tc>
        <w:tc>
          <w:tcPr>
            <w:tcW w:w="1516" w:type="dxa"/>
            <w:tcBorders>
              <w:top w:val="nil" w:sz="6" w:space="0" w:color="auto"/>
              <w:left w:val="nil" w:sz="6" w:space="0" w:color="auto"/>
              <w:bottom w:val="nil" w:sz="6" w:space="0" w:color="auto"/>
              <w:right w:val="nil" w:sz="6" w:space="0" w:color="auto"/>
            </w:tcBorders>
          </w:tcPr>
          <w:p>
            <w:pPr>
              <w:pStyle w:val="TableParagraph"/>
              <w:spacing w:line="256" w:lineRule="exact"/>
              <w:ind w:right="41"/>
              <w:jc w:val="right"/>
              <w:rPr>
                <w:rFonts w:ascii="宋体" w:hAnsi="宋体" w:cs="宋体" w:eastAsia="宋体" w:hint="default"/>
                <w:sz w:val="21"/>
                <w:szCs w:val="21"/>
              </w:rPr>
            </w:pPr>
            <w:r>
              <w:rPr>
                <w:rFonts w:ascii="Arial" w:hAnsi="Arial" w:cs="Arial" w:eastAsia="Arial" w:hint="default"/>
                <w:sz w:val="21"/>
                <w:szCs w:val="21"/>
              </w:rPr>
              <w:t>3,956</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4"/>
              <w:jc w:val="right"/>
              <w:rPr>
                <w:rFonts w:ascii="Arial" w:hAnsi="Arial" w:cs="Arial" w:eastAsia="Arial" w:hint="default"/>
                <w:sz w:val="21"/>
                <w:szCs w:val="21"/>
              </w:rPr>
            </w:pPr>
            <w:r>
              <w:rPr>
                <w:rFonts w:ascii="Arial"/>
                <w:spacing w:val="-1"/>
                <w:w w:val="95"/>
                <w:sz w:val="21"/>
              </w:rPr>
              <w:t>90%</w:t>
            </w:r>
            <w:r>
              <w:rPr>
                <w:rFonts w:ascii="Arial"/>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21"/>
                <w:szCs w:val="21"/>
              </w:rPr>
            </w:pPr>
            <w:r>
              <w:rPr>
                <w:rFonts w:ascii="Arial"/>
                <w:spacing w:val="-1"/>
                <w:w w:val="95"/>
                <w:sz w:val="21"/>
              </w:rPr>
              <w:t>90%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26" w:footer="894" w:top="1100" w:bottom="1080" w:left="940" w:right="1080"/>
        </w:sectPr>
      </w:pPr>
    </w:p>
    <w:p>
      <w:pPr>
        <w:spacing w:line="240" w:lineRule="auto" w:before="7"/>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508"/>
        <w:gridCol w:w="1909"/>
        <w:gridCol w:w="973"/>
        <w:gridCol w:w="1307"/>
        <w:gridCol w:w="1942"/>
        <w:gridCol w:w="1584"/>
        <w:gridCol w:w="1325"/>
      </w:tblGrid>
      <w:tr>
        <w:trPr>
          <w:trHeight w:val="890"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3" w:right="0"/>
              <w:jc w:val="left"/>
              <w:rPr>
                <w:rFonts w:ascii="Arial" w:hAnsi="Arial" w:cs="Arial" w:eastAsia="Arial" w:hint="default"/>
                <w:sz w:val="24"/>
                <w:szCs w:val="24"/>
              </w:rPr>
            </w:pPr>
            <w:r>
              <w:rPr>
                <w:rFonts w:ascii="宋体" w:hAnsi="宋体" w:cs="宋体" w:eastAsia="宋体" w:hint="default"/>
                <w:b/>
                <w:bCs/>
                <w:sz w:val="24"/>
                <w:szCs w:val="24"/>
              </w:rPr>
              <w:t>子公司</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73"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54"/>
              <w:jc w:val="center"/>
              <w:rPr>
                <w:rFonts w:ascii="宋体" w:hAnsi="宋体" w:cs="宋体" w:eastAsia="宋体" w:hint="default"/>
                <w:sz w:val="21"/>
                <w:szCs w:val="21"/>
              </w:rPr>
            </w:pPr>
            <w:r>
              <w:rPr>
                <w:rFonts w:ascii="宋体" w:hAnsi="宋体" w:cs="宋体" w:eastAsia="宋体" w:hint="default"/>
                <w:sz w:val="21"/>
                <w:szCs w:val="21"/>
              </w:rPr>
              <w:t>业务性质及</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48"/>
              <w:jc w:val="right"/>
              <w:rPr>
                <w:rFonts w:ascii="宋体" w:hAnsi="宋体" w:cs="宋体" w:eastAsia="宋体" w:hint="default"/>
                <w:sz w:val="21"/>
                <w:szCs w:val="21"/>
              </w:rPr>
            </w:pPr>
            <w:r>
              <w:rPr>
                <w:rFonts w:ascii="宋体" w:hAnsi="宋体" w:cs="宋体" w:eastAsia="宋体" w:hint="default"/>
                <w:sz w:val="21"/>
                <w:szCs w:val="21"/>
              </w:rPr>
              <w:t>本公司合计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sz w:val="21"/>
                <w:szCs w:val="21"/>
              </w:rPr>
              <w:t>本公司合计</w:t>
            </w:r>
          </w:p>
        </w:tc>
      </w:tr>
      <w:tr>
        <w:trPr>
          <w:trHeight w:val="395"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1" w:lineRule="exact"/>
              <w:ind w:left="63"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1942" w:type="dxa"/>
            <w:tcBorders>
              <w:top w:val="nil" w:sz="6" w:space="0" w:color="auto"/>
              <w:left w:val="nil" w:sz="6" w:space="0" w:color="auto"/>
              <w:bottom w:val="nil" w:sz="6" w:space="0" w:color="auto"/>
              <w:right w:val="nil" w:sz="6" w:space="0" w:color="auto"/>
            </w:tcBorders>
          </w:tcPr>
          <w:p>
            <w:pPr>
              <w:pStyle w:val="TableParagraph"/>
              <w:spacing w:line="242" w:lineRule="exact"/>
              <w:ind w:right="155"/>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584" w:type="dxa"/>
            <w:tcBorders>
              <w:top w:val="nil" w:sz="6" w:space="0" w:color="auto"/>
              <w:left w:val="nil" w:sz="6" w:space="0" w:color="auto"/>
              <w:bottom w:val="nil" w:sz="6" w:space="0" w:color="auto"/>
              <w:right w:val="nil" w:sz="6" w:space="0" w:color="auto"/>
            </w:tcBorders>
          </w:tcPr>
          <w:p>
            <w:pPr>
              <w:pStyle w:val="TableParagraph"/>
              <w:spacing w:line="242" w:lineRule="exact"/>
              <w:ind w:right="236"/>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1325"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hAnsi="宋体" w:cs="宋体" w:eastAsia="宋体" w:hint="default"/>
                <w:sz w:val="21"/>
                <w:szCs w:val="21"/>
              </w:rPr>
              <w:t>表决权比例</w:t>
            </w:r>
          </w:p>
        </w:tc>
      </w:tr>
      <w:tr>
        <w:trPr>
          <w:trHeight w:val="394"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5" w:right="0"/>
              <w:jc w:val="left"/>
              <w:rPr>
                <w:rFonts w:ascii="宋体" w:hAnsi="宋体" w:cs="宋体" w:eastAsia="宋体" w:hint="default"/>
                <w:sz w:val="21"/>
                <w:szCs w:val="21"/>
              </w:rPr>
            </w:pPr>
            <w:r>
              <w:rPr>
                <w:rFonts w:ascii="宋体" w:hAnsi="宋体" w:cs="宋体" w:eastAsia="宋体" w:hint="default"/>
                <w:sz w:val="21"/>
                <w:szCs w:val="21"/>
              </w:rPr>
              <w:t>佛山市苏宁电器</w:t>
            </w:r>
          </w:p>
        </w:tc>
        <w:tc>
          <w:tcPr>
            <w:tcW w:w="973"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9"/>
              <w:jc w:val="center"/>
              <w:rPr>
                <w:rFonts w:ascii="宋体" w:hAnsi="宋体" w:cs="宋体" w:eastAsia="宋体" w:hint="default"/>
                <w:sz w:val="21"/>
                <w:szCs w:val="21"/>
              </w:rPr>
            </w:pPr>
            <w:r>
              <w:rPr>
                <w:rFonts w:ascii="宋体" w:hAnsi="宋体" w:cs="宋体" w:eastAsia="宋体" w:hint="default"/>
                <w:spacing w:val="16"/>
                <w:sz w:val="21"/>
                <w:szCs w:val="21"/>
              </w:rPr>
              <w:t>电器和电子消费</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r>
      <w:tr>
        <w:trPr>
          <w:trHeight w:val="546"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74" w:lineRule="exact"/>
              <w:ind w:right="175"/>
              <w:jc w:val="center"/>
              <w:rPr>
                <w:rFonts w:ascii="宋体" w:hAnsi="宋体" w:cs="宋体" w:eastAsia="宋体" w:hint="default"/>
                <w:sz w:val="21"/>
                <w:szCs w:val="21"/>
              </w:rPr>
            </w:pPr>
            <w:r>
              <w:rPr>
                <w:rFonts w:ascii="宋体" w:hAnsi="宋体" w:cs="宋体" w:eastAsia="宋体" w:hint="default"/>
                <w:sz w:val="21"/>
                <w:szCs w:val="21"/>
              </w:rPr>
              <w:t>宁波甬宁苏宁</w:t>
            </w:r>
          </w:p>
        </w:tc>
        <w:tc>
          <w:tcPr>
            <w:tcW w:w="973" w:type="dxa"/>
            <w:tcBorders>
              <w:top w:val="nil" w:sz="6" w:space="0" w:color="auto"/>
              <w:left w:val="nil" w:sz="6" w:space="0" w:color="auto"/>
              <w:bottom w:val="nil" w:sz="6" w:space="0" w:color="auto"/>
              <w:right w:val="nil" w:sz="6" w:space="0" w:color="auto"/>
            </w:tcBorders>
          </w:tcPr>
          <w:p>
            <w:pPr>
              <w:pStyle w:val="TableParagraph"/>
              <w:spacing w:line="241" w:lineRule="exact"/>
              <w:ind w:left="63" w:right="0"/>
              <w:jc w:val="center"/>
              <w:rPr>
                <w:rFonts w:ascii="宋体" w:hAnsi="宋体" w:cs="宋体" w:eastAsia="宋体" w:hint="default"/>
                <w:sz w:val="21"/>
                <w:szCs w:val="21"/>
              </w:rPr>
            </w:pPr>
            <w:r>
              <w:rPr>
                <w:rFonts w:ascii="宋体" w:hAnsi="宋体" w:cs="宋体" w:eastAsia="宋体" w:hint="default"/>
                <w:sz w:val="21"/>
                <w:szCs w:val="21"/>
              </w:rPr>
              <w:t>佛山市</w:t>
            </w:r>
          </w:p>
        </w:tc>
        <w:tc>
          <w:tcPr>
            <w:tcW w:w="1307" w:type="dxa"/>
            <w:tcBorders>
              <w:top w:val="nil" w:sz="6" w:space="0" w:color="auto"/>
              <w:left w:val="nil" w:sz="6" w:space="0" w:color="auto"/>
              <w:bottom w:val="nil" w:sz="6" w:space="0" w:color="auto"/>
              <w:right w:val="nil" w:sz="6" w:space="0" w:color="auto"/>
            </w:tcBorders>
          </w:tcPr>
          <w:p>
            <w:pPr>
              <w:pStyle w:val="TableParagraph"/>
              <w:spacing w:line="248" w:lineRule="exact"/>
              <w:ind w:left="257" w:right="0"/>
              <w:jc w:val="left"/>
              <w:rPr>
                <w:rFonts w:ascii="宋体" w:hAnsi="宋体" w:cs="宋体" w:eastAsia="宋体" w:hint="default"/>
                <w:sz w:val="21"/>
                <w:szCs w:val="21"/>
              </w:rPr>
            </w:pPr>
            <w:r>
              <w:rPr>
                <w:rFonts w:ascii="Arial" w:hAnsi="Arial" w:cs="Arial" w:eastAsia="Arial" w:hint="default"/>
                <w:sz w:val="21"/>
                <w:szCs w:val="21"/>
              </w:rPr>
              <w:t>4,100</w:t>
            </w:r>
            <w:r>
              <w:rPr>
                <w:rFonts w:ascii="Arial" w:hAnsi="Arial" w:cs="Arial" w:eastAsia="Arial" w:hint="default"/>
                <w:spacing w:val="-11"/>
                <w:sz w:val="21"/>
                <w:szCs w:val="21"/>
              </w:rPr>
              <w:t> </w:t>
            </w:r>
            <w:r>
              <w:rPr>
                <w:rFonts w:ascii="宋体" w:hAnsi="宋体" w:cs="宋体" w:eastAsia="宋体" w:hint="default"/>
                <w:sz w:val="21"/>
                <w:szCs w:val="21"/>
              </w:rPr>
              <w:t>万元</w:t>
            </w:r>
          </w:p>
          <w:p>
            <w:pPr>
              <w:pStyle w:val="TableParagraph"/>
              <w:spacing w:line="267" w:lineRule="exact"/>
              <w:ind w:left="6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品的连锁销售</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pacing w:val="16"/>
                <w:sz w:val="21"/>
                <w:szCs w:val="21"/>
              </w:rPr>
              <w:t>电器和电子消费</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7"/>
              <w:jc w:val="right"/>
              <w:rPr>
                <w:rFonts w:ascii="Arial" w:hAnsi="Arial" w:cs="Arial" w:eastAsia="Arial" w:hint="default"/>
                <w:sz w:val="21"/>
                <w:szCs w:val="21"/>
              </w:rPr>
            </w:pPr>
            <w:r>
              <w:rPr>
                <w:rFonts w:ascii="Arial"/>
                <w:spacing w:val="-1"/>
                <w:w w:val="95"/>
                <w:sz w:val="21"/>
              </w:rPr>
              <w:t>100%</w:t>
            </w:r>
            <w:r>
              <w:rPr>
                <w:rFonts w:ascii="Arial"/>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6"/>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546"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firstLine="210"/>
              <w:jc w:val="left"/>
              <w:rPr>
                <w:rFonts w:ascii="宋体" w:hAnsi="宋体" w:cs="宋体" w:eastAsia="宋体" w:hint="default"/>
                <w:sz w:val="21"/>
                <w:szCs w:val="21"/>
              </w:rPr>
            </w:pPr>
            <w:r>
              <w:rPr>
                <w:rFonts w:ascii="宋体" w:hAnsi="宋体" w:cs="宋体" w:eastAsia="宋体" w:hint="default"/>
                <w:sz w:val="21"/>
                <w:szCs w:val="21"/>
              </w:rPr>
              <w:t>电器有限公司</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无锡市苏宁电器</w:t>
            </w:r>
          </w:p>
        </w:tc>
        <w:tc>
          <w:tcPr>
            <w:tcW w:w="973" w:type="dxa"/>
            <w:tcBorders>
              <w:top w:val="nil" w:sz="6" w:space="0" w:color="auto"/>
              <w:left w:val="nil" w:sz="6" w:space="0" w:color="auto"/>
              <w:bottom w:val="nil" w:sz="6" w:space="0" w:color="auto"/>
              <w:right w:val="nil" w:sz="6" w:space="0" w:color="auto"/>
            </w:tcBorders>
          </w:tcPr>
          <w:p>
            <w:pPr>
              <w:pStyle w:val="TableParagraph"/>
              <w:spacing w:line="241" w:lineRule="exact"/>
              <w:ind w:left="63" w:right="0"/>
              <w:jc w:val="center"/>
              <w:rPr>
                <w:rFonts w:ascii="宋体" w:hAnsi="宋体" w:cs="宋体" w:eastAsia="宋体" w:hint="default"/>
                <w:sz w:val="21"/>
                <w:szCs w:val="21"/>
              </w:rPr>
            </w:pPr>
            <w:r>
              <w:rPr>
                <w:rFonts w:ascii="宋体" w:hAnsi="宋体" w:cs="宋体" w:eastAsia="宋体" w:hint="default"/>
                <w:sz w:val="21"/>
                <w:szCs w:val="21"/>
              </w:rPr>
              <w:t>宁波市</w:t>
            </w:r>
          </w:p>
        </w:tc>
        <w:tc>
          <w:tcPr>
            <w:tcW w:w="1307" w:type="dxa"/>
            <w:tcBorders>
              <w:top w:val="nil" w:sz="6" w:space="0" w:color="auto"/>
              <w:left w:val="nil" w:sz="6" w:space="0" w:color="auto"/>
              <w:bottom w:val="nil" w:sz="6" w:space="0" w:color="auto"/>
              <w:right w:val="nil" w:sz="6" w:space="0" w:color="auto"/>
            </w:tcBorders>
          </w:tcPr>
          <w:p>
            <w:pPr>
              <w:pStyle w:val="TableParagraph"/>
              <w:spacing w:line="248" w:lineRule="exact"/>
              <w:ind w:left="624" w:right="0" w:hanging="192"/>
              <w:jc w:val="left"/>
              <w:rPr>
                <w:rFonts w:ascii="宋体" w:hAnsi="宋体" w:cs="宋体" w:eastAsia="宋体" w:hint="default"/>
                <w:sz w:val="21"/>
                <w:szCs w:val="21"/>
              </w:rPr>
            </w:pPr>
            <w:r>
              <w:rPr>
                <w:rFonts w:ascii="Arial" w:hAnsi="Arial" w:cs="Arial" w:eastAsia="Arial" w:hint="default"/>
                <w:sz w:val="21"/>
                <w:szCs w:val="21"/>
              </w:rPr>
              <w:t>500</w:t>
            </w:r>
            <w:r>
              <w:rPr>
                <w:rFonts w:ascii="Arial" w:hAnsi="Arial" w:cs="Arial" w:eastAsia="Arial" w:hint="default"/>
                <w:spacing w:val="-9"/>
                <w:sz w:val="21"/>
                <w:szCs w:val="21"/>
              </w:rPr>
              <w:t> </w:t>
            </w:r>
            <w:r>
              <w:rPr>
                <w:rFonts w:ascii="宋体" w:hAnsi="宋体" w:cs="宋体" w:eastAsia="宋体" w:hint="default"/>
                <w:sz w:val="21"/>
                <w:szCs w:val="21"/>
              </w:rPr>
              <w:t>万元</w:t>
            </w:r>
          </w:p>
          <w:p>
            <w:pPr>
              <w:pStyle w:val="TableParagraph"/>
              <w:spacing w:line="267" w:lineRule="exact"/>
              <w:ind w:left="6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品的连锁销售</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pacing w:val="16"/>
                <w:sz w:val="21"/>
                <w:szCs w:val="21"/>
              </w:rPr>
              <w:t>电器和电子消费</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7"/>
              <w:jc w:val="right"/>
              <w:rPr>
                <w:rFonts w:ascii="Arial" w:hAnsi="Arial" w:cs="Arial" w:eastAsia="Arial" w:hint="default"/>
                <w:sz w:val="21"/>
                <w:szCs w:val="21"/>
              </w:rPr>
            </w:pPr>
            <w:r>
              <w:rPr>
                <w:rFonts w:ascii="Arial"/>
                <w:spacing w:val="-1"/>
                <w:w w:val="95"/>
                <w:sz w:val="21"/>
              </w:rPr>
              <w:t>100%</w:t>
            </w:r>
            <w:r>
              <w:rPr>
                <w:rFonts w:ascii="Arial"/>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6"/>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546"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74" w:lineRule="exact"/>
              <w:ind w:right="175"/>
              <w:jc w:val="center"/>
              <w:rPr>
                <w:rFonts w:ascii="宋体" w:hAnsi="宋体" w:cs="宋体" w:eastAsia="宋体" w:hint="default"/>
                <w:sz w:val="21"/>
                <w:szCs w:val="21"/>
              </w:rPr>
            </w:pPr>
            <w:r>
              <w:rPr>
                <w:rFonts w:ascii="宋体" w:hAnsi="宋体" w:cs="宋体" w:eastAsia="宋体" w:hint="default"/>
                <w:sz w:val="21"/>
                <w:szCs w:val="21"/>
              </w:rPr>
              <w:t>福建苏宁电器</w:t>
            </w:r>
          </w:p>
        </w:tc>
        <w:tc>
          <w:tcPr>
            <w:tcW w:w="973" w:type="dxa"/>
            <w:tcBorders>
              <w:top w:val="nil" w:sz="6" w:space="0" w:color="auto"/>
              <w:left w:val="nil" w:sz="6" w:space="0" w:color="auto"/>
              <w:bottom w:val="nil" w:sz="6" w:space="0" w:color="auto"/>
              <w:right w:val="nil" w:sz="6" w:space="0" w:color="auto"/>
            </w:tcBorders>
          </w:tcPr>
          <w:p>
            <w:pPr>
              <w:pStyle w:val="TableParagraph"/>
              <w:spacing w:line="241" w:lineRule="exact"/>
              <w:ind w:left="63" w:right="0"/>
              <w:jc w:val="center"/>
              <w:rPr>
                <w:rFonts w:ascii="宋体" w:hAnsi="宋体" w:cs="宋体" w:eastAsia="宋体" w:hint="default"/>
                <w:sz w:val="21"/>
                <w:szCs w:val="21"/>
              </w:rPr>
            </w:pPr>
            <w:r>
              <w:rPr>
                <w:rFonts w:ascii="宋体" w:hAnsi="宋体" w:cs="宋体" w:eastAsia="宋体" w:hint="default"/>
                <w:sz w:val="21"/>
                <w:szCs w:val="21"/>
              </w:rPr>
              <w:t>无锡市</w:t>
            </w:r>
          </w:p>
        </w:tc>
        <w:tc>
          <w:tcPr>
            <w:tcW w:w="1307" w:type="dxa"/>
            <w:tcBorders>
              <w:top w:val="nil" w:sz="6" w:space="0" w:color="auto"/>
              <w:left w:val="nil" w:sz="6" w:space="0" w:color="auto"/>
              <w:bottom w:val="nil" w:sz="6" w:space="0" w:color="auto"/>
              <w:right w:val="nil" w:sz="6" w:space="0" w:color="auto"/>
            </w:tcBorders>
          </w:tcPr>
          <w:p>
            <w:pPr>
              <w:pStyle w:val="TableParagraph"/>
              <w:spacing w:line="248" w:lineRule="exact"/>
              <w:ind w:left="257" w:right="0"/>
              <w:jc w:val="left"/>
              <w:rPr>
                <w:rFonts w:ascii="宋体" w:hAnsi="宋体" w:cs="宋体" w:eastAsia="宋体" w:hint="default"/>
                <w:sz w:val="21"/>
                <w:szCs w:val="21"/>
              </w:rPr>
            </w:pPr>
            <w:r>
              <w:rPr>
                <w:rFonts w:ascii="Arial" w:hAnsi="Arial" w:cs="Arial" w:eastAsia="Arial" w:hint="default"/>
                <w:sz w:val="21"/>
                <w:szCs w:val="21"/>
              </w:rPr>
              <w:t>1,470</w:t>
            </w:r>
            <w:r>
              <w:rPr>
                <w:rFonts w:ascii="Arial" w:hAnsi="Arial" w:cs="Arial" w:eastAsia="Arial" w:hint="default"/>
                <w:spacing w:val="-11"/>
                <w:sz w:val="21"/>
                <w:szCs w:val="21"/>
              </w:rPr>
              <w:t> </w:t>
            </w:r>
            <w:r>
              <w:rPr>
                <w:rFonts w:ascii="宋体" w:hAnsi="宋体" w:cs="宋体" w:eastAsia="宋体" w:hint="default"/>
                <w:sz w:val="21"/>
                <w:szCs w:val="21"/>
              </w:rPr>
              <w:t>万元</w:t>
            </w:r>
          </w:p>
          <w:p>
            <w:pPr>
              <w:pStyle w:val="TableParagraph"/>
              <w:spacing w:line="267" w:lineRule="exact"/>
              <w:ind w:left="6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品的连锁销售</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pacing w:val="16"/>
                <w:sz w:val="21"/>
                <w:szCs w:val="21"/>
              </w:rPr>
              <w:t>电器和电子消费</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5"/>
              <w:jc w:val="right"/>
              <w:rPr>
                <w:rFonts w:ascii="Arial" w:hAnsi="Arial" w:cs="Arial" w:eastAsia="Arial" w:hint="default"/>
                <w:sz w:val="21"/>
                <w:szCs w:val="21"/>
              </w:rPr>
            </w:pPr>
            <w:r>
              <w:rPr>
                <w:rFonts w:ascii="Arial"/>
                <w:spacing w:val="-1"/>
                <w:w w:val="95"/>
                <w:sz w:val="21"/>
              </w:rPr>
              <w:t>90%</w:t>
            </w:r>
            <w:r>
              <w:rPr>
                <w:rFonts w:ascii="Arial"/>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6"/>
              <w:jc w:val="right"/>
              <w:rPr>
                <w:rFonts w:ascii="Arial" w:hAnsi="Arial" w:cs="Arial" w:eastAsia="Arial" w:hint="default"/>
                <w:sz w:val="21"/>
                <w:szCs w:val="21"/>
              </w:rPr>
            </w:pPr>
            <w:r>
              <w:rPr>
                <w:rFonts w:ascii="Arial"/>
                <w:spacing w:val="-1"/>
                <w:w w:val="95"/>
                <w:sz w:val="21"/>
              </w:rPr>
              <w:t>90%</w:t>
            </w:r>
            <w:r>
              <w:rPr>
                <w:rFonts w:ascii="Arial"/>
                <w:sz w:val="21"/>
              </w:rPr>
            </w:r>
          </w:p>
        </w:tc>
      </w:tr>
      <w:tr>
        <w:trPr>
          <w:trHeight w:val="368" w:hRule="exact"/>
        </w:trPr>
        <w:tc>
          <w:tcPr>
            <w:tcW w:w="508"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z w:val="21"/>
                <w:szCs w:val="21"/>
              </w:rPr>
              <w:t>福州市</w:t>
            </w:r>
          </w:p>
        </w:tc>
        <w:tc>
          <w:tcPr>
            <w:tcW w:w="1307" w:type="dxa"/>
            <w:tcBorders>
              <w:top w:val="nil" w:sz="6" w:space="0" w:color="auto"/>
              <w:left w:val="nil" w:sz="6" w:space="0" w:color="auto"/>
              <w:bottom w:val="nil" w:sz="6" w:space="0" w:color="auto"/>
              <w:right w:val="nil" w:sz="6" w:space="0" w:color="auto"/>
            </w:tcBorders>
          </w:tcPr>
          <w:p>
            <w:pPr>
              <w:pStyle w:val="TableParagraph"/>
              <w:spacing w:line="256" w:lineRule="exact"/>
              <w:ind w:right="51"/>
              <w:jc w:val="right"/>
              <w:rPr>
                <w:rFonts w:ascii="宋体" w:hAnsi="宋体" w:cs="宋体" w:eastAsia="宋体" w:hint="default"/>
                <w:sz w:val="21"/>
                <w:szCs w:val="21"/>
              </w:rPr>
            </w:pPr>
            <w:r>
              <w:rPr>
                <w:rFonts w:ascii="Arial" w:hAnsi="Arial" w:cs="Arial" w:eastAsia="Arial" w:hint="default"/>
                <w:sz w:val="21"/>
                <w:szCs w:val="21"/>
              </w:rPr>
              <w:t>12,200</w:t>
            </w:r>
            <w:r>
              <w:rPr>
                <w:rFonts w:ascii="Arial" w:hAnsi="Arial" w:cs="Arial" w:eastAsia="Arial" w:hint="default"/>
                <w:spacing w:val="-12"/>
                <w:sz w:val="21"/>
                <w:szCs w:val="21"/>
              </w:rPr>
              <w:t> </w:t>
            </w:r>
            <w:r>
              <w:rPr>
                <w:rFonts w:ascii="宋体" w:hAnsi="宋体" w:cs="宋体" w:eastAsia="宋体" w:hint="default"/>
                <w:sz w:val="21"/>
                <w:szCs w:val="21"/>
              </w:rPr>
              <w:t>万元</w:t>
            </w:r>
          </w:p>
        </w:tc>
        <w:tc>
          <w:tcPr>
            <w:tcW w:w="1942" w:type="dxa"/>
            <w:tcBorders>
              <w:top w:val="nil" w:sz="6" w:space="0" w:color="auto"/>
              <w:left w:val="nil" w:sz="6" w:space="0" w:color="auto"/>
              <w:bottom w:val="nil" w:sz="6" w:space="0" w:color="auto"/>
              <w:right w:val="nil" w:sz="6" w:space="0" w:color="auto"/>
            </w:tcBorders>
          </w:tcPr>
          <w:p>
            <w:pPr>
              <w:pStyle w:val="TableParagraph"/>
              <w:spacing w:line="241" w:lineRule="exact"/>
              <w:ind w:right="177"/>
              <w:jc w:val="center"/>
              <w:rPr>
                <w:rFonts w:ascii="宋体" w:hAnsi="宋体" w:cs="宋体" w:eastAsia="宋体" w:hint="default"/>
                <w:sz w:val="21"/>
                <w:szCs w:val="21"/>
              </w:rPr>
            </w:pPr>
            <w:r>
              <w:rPr>
                <w:rFonts w:ascii="宋体" w:hAnsi="宋体" w:cs="宋体" w:eastAsia="宋体" w:hint="default"/>
                <w:sz w:val="21"/>
                <w:szCs w:val="21"/>
              </w:rPr>
              <w:t>品的连锁销售</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45"/>
              <w:jc w:val="right"/>
              <w:rPr>
                <w:rFonts w:ascii="Arial" w:hAnsi="Arial" w:cs="Arial" w:eastAsia="Arial" w:hint="default"/>
                <w:sz w:val="21"/>
                <w:szCs w:val="21"/>
              </w:rPr>
            </w:pPr>
            <w:r>
              <w:rPr>
                <w:rFonts w:ascii="Arial"/>
                <w:spacing w:val="-1"/>
                <w:w w:val="95"/>
                <w:sz w:val="21"/>
              </w:rPr>
              <w:t>90%</w:t>
            </w:r>
            <w:r>
              <w:rPr>
                <w:rFonts w:ascii="Arial"/>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6"/>
              <w:jc w:val="right"/>
              <w:rPr>
                <w:rFonts w:ascii="Arial" w:hAnsi="Arial" w:cs="Arial" w:eastAsia="Arial" w:hint="default"/>
                <w:sz w:val="21"/>
                <w:szCs w:val="21"/>
              </w:rPr>
            </w:pPr>
            <w:r>
              <w:rPr>
                <w:rFonts w:ascii="Arial"/>
                <w:spacing w:val="-1"/>
                <w:w w:val="95"/>
                <w:sz w:val="21"/>
              </w:rPr>
              <w:t>90%</w:t>
            </w:r>
            <w:r>
              <w:rPr>
                <w:rFonts w:ascii="Arial"/>
                <w:sz w:val="21"/>
              </w:rPr>
            </w:r>
          </w:p>
        </w:tc>
      </w:tr>
    </w:tbl>
    <w:p>
      <w:pPr>
        <w:spacing w:line="240" w:lineRule="auto" w:before="10"/>
        <w:rPr>
          <w:rFonts w:ascii="宋体" w:hAnsi="宋体" w:cs="宋体" w:eastAsia="宋体" w:hint="default"/>
          <w:sz w:val="5"/>
          <w:szCs w:val="5"/>
        </w:rPr>
      </w:pPr>
    </w:p>
    <w:p>
      <w:pPr>
        <w:pStyle w:val="BodyText"/>
        <w:tabs>
          <w:tab w:pos="832" w:val="left" w:leader="none"/>
        </w:tabs>
        <w:spacing w:line="240" w:lineRule="auto" w:before="32"/>
        <w:ind w:left="142" w:right="943"/>
        <w:jc w:val="left"/>
      </w:pPr>
      <w:r>
        <w:rPr>
          <w:rFonts w:ascii="Arial" w:hAnsi="Arial" w:cs="Arial" w:eastAsia="Arial" w:hint="default"/>
          <w:w w:val="95"/>
          <w:position w:val="2"/>
        </w:rPr>
        <w:t>(1)</w:t>
        <w:tab/>
      </w:r>
      <w:r>
        <w:rPr/>
        <w:t>报告期内主要子公司注册资本的变动情况如下：</w:t>
      </w:r>
    </w:p>
    <w:p>
      <w:pPr>
        <w:spacing w:line="240" w:lineRule="auto" w:before="4"/>
        <w:rPr>
          <w:rFonts w:ascii="宋体" w:hAnsi="宋体" w:cs="宋体" w:eastAsia="宋体" w:hint="default"/>
          <w:sz w:val="16"/>
          <w:szCs w:val="16"/>
        </w:rPr>
      </w:pPr>
    </w:p>
    <w:tbl>
      <w:tblPr>
        <w:tblW w:w="0" w:type="auto"/>
        <w:jc w:val="left"/>
        <w:tblInd w:w="763" w:type="dxa"/>
        <w:tblLayout w:type="fixed"/>
        <w:tblCellMar>
          <w:top w:w="0" w:type="dxa"/>
          <w:left w:w="0" w:type="dxa"/>
          <w:bottom w:w="0" w:type="dxa"/>
          <w:right w:w="0" w:type="dxa"/>
        </w:tblCellMar>
        <w:tblLook w:val="01E0"/>
      </w:tblPr>
      <w:tblGrid>
        <w:gridCol w:w="3238"/>
        <w:gridCol w:w="1119"/>
        <w:gridCol w:w="1511"/>
        <w:gridCol w:w="1667"/>
        <w:gridCol w:w="1368"/>
      </w:tblGrid>
      <w:tr>
        <w:trPr>
          <w:trHeight w:val="1000" w:hRule="exact"/>
        </w:trPr>
        <w:tc>
          <w:tcPr>
            <w:tcW w:w="5868"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26"/>
              <w:ind w:right="342"/>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12" w:lineRule="exact"/>
              <w:ind w:right="163"/>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tabs>
                <w:tab w:pos="2192" w:val="left" w:leader="none"/>
                <w:tab w:pos="3547" w:val="left" w:leader="none"/>
              </w:tabs>
              <w:spacing w:line="304" w:lineRule="exact"/>
              <w:ind w:right="278"/>
              <w:jc w:val="right"/>
              <w:rPr>
                <w:rFonts w:ascii="宋体" w:hAnsi="宋体" w:cs="宋体" w:eastAsia="宋体" w:hint="default"/>
                <w:sz w:val="24"/>
                <w:szCs w:val="24"/>
              </w:rPr>
            </w:pPr>
            <w:r>
              <w:rPr>
                <w:rFonts w:ascii="宋体" w:hAnsi="宋体" w:cs="宋体" w:eastAsia="宋体" w:hint="default"/>
                <w:sz w:val="24"/>
                <w:szCs w:val="24"/>
              </w:rPr>
              <w:t>公司名称</w:t>
              <w:tab/>
              <w:t>增资方式</w:t>
              <w:tab/>
              <w:t>注册资本</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65" w:right="0"/>
              <w:jc w:val="left"/>
              <w:rPr>
                <w:rFonts w:ascii="宋体" w:hAnsi="宋体" w:cs="宋体" w:eastAsia="宋体" w:hint="default"/>
                <w:sz w:val="24"/>
                <w:szCs w:val="24"/>
              </w:rPr>
            </w:pPr>
            <w:r>
              <w:rPr>
                <w:rFonts w:ascii="宋体" w:hAnsi="宋体" w:cs="宋体" w:eastAsia="宋体" w:hint="default"/>
                <w:sz w:val="24"/>
                <w:szCs w:val="24"/>
              </w:rPr>
              <w:t>增资金额</w:t>
            </w:r>
          </w:p>
        </w:tc>
        <w:tc>
          <w:tcPr>
            <w:tcW w:w="1368"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08" w:right="0"/>
              <w:jc w:val="center"/>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12" w:lineRule="exact" w:before="21"/>
              <w:ind w:left="140" w:right="33"/>
              <w:jc w:val="center"/>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 注册资本</w:t>
            </w:r>
          </w:p>
        </w:tc>
      </w:tr>
      <w:tr>
        <w:trPr>
          <w:trHeight w:val="318" w:hRule="exact"/>
        </w:trPr>
        <w:tc>
          <w:tcPr>
            <w:tcW w:w="5868" w:type="dxa"/>
            <w:gridSpan w:val="3"/>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93" w:lineRule="exact"/>
              <w:ind w:left="16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368" w:type="dxa"/>
            <w:tcBorders>
              <w:top w:val="nil" w:sz="6" w:space="0" w:color="auto"/>
              <w:left w:val="nil" w:sz="6" w:space="0" w:color="auto"/>
              <w:bottom w:val="nil" w:sz="6" w:space="0" w:color="auto"/>
              <w:right w:val="nil" w:sz="6" w:space="0" w:color="auto"/>
            </w:tcBorders>
          </w:tcPr>
          <w:p>
            <w:pPr/>
          </w:p>
        </w:tc>
      </w:tr>
      <w:tr>
        <w:trPr>
          <w:trHeight w:val="321"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70"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5"/>
              <w:jc w:val="right"/>
              <w:rPr>
                <w:rFonts w:ascii="Arial" w:hAnsi="Arial" w:cs="Arial" w:eastAsia="Arial" w:hint="default"/>
                <w:sz w:val="24"/>
                <w:szCs w:val="24"/>
              </w:rPr>
            </w:pPr>
            <w:r>
              <w:rPr>
                <w:rFonts w:ascii="Arial"/>
                <w:spacing w:val="-1"/>
                <w:w w:val="95"/>
                <w:sz w:val="24"/>
              </w:rPr>
              <w:t>99,979</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4" w:right="0"/>
              <w:jc w:val="left"/>
              <w:rPr>
                <w:rFonts w:ascii="Arial" w:hAnsi="Arial" w:cs="Arial" w:eastAsia="Arial" w:hint="default"/>
                <w:sz w:val="24"/>
                <w:szCs w:val="24"/>
              </w:rPr>
            </w:pPr>
            <w:r>
              <w:rPr>
                <w:rFonts w:ascii="Arial"/>
                <w:sz w:val="24"/>
              </w:rPr>
              <w:t>178,000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2"/>
              <w:jc w:val="right"/>
              <w:rPr>
                <w:rFonts w:ascii="Arial" w:hAnsi="Arial" w:cs="Arial" w:eastAsia="Arial" w:hint="default"/>
                <w:sz w:val="24"/>
                <w:szCs w:val="24"/>
              </w:rPr>
            </w:pPr>
            <w:r>
              <w:rPr>
                <w:rFonts w:ascii="Arial"/>
                <w:spacing w:val="-1"/>
                <w:w w:val="95"/>
                <w:sz w:val="24"/>
              </w:rPr>
              <w:t>277,979</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上海苏宁电器有限公司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127,480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50,000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177,480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浙江苏宁电器有限公司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104,010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61,000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165,010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深圳苏宁电器有限公司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60,000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17,000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77,000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重庆渝宁苏宁电器有限公司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5,000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45,000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50,000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沈阳苏宁电器有限公司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27,000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5" w:right="0"/>
              <w:jc w:val="left"/>
              <w:rPr>
                <w:rFonts w:ascii="Arial" w:hAnsi="Arial" w:cs="Arial" w:eastAsia="Arial" w:hint="default"/>
                <w:sz w:val="24"/>
                <w:szCs w:val="24"/>
              </w:rPr>
            </w:pPr>
            <w:r>
              <w:rPr>
                <w:rFonts w:ascii="Arial"/>
                <w:sz w:val="24"/>
              </w:rPr>
              <w:t>174,933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201,933</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广东苏宁电器有限公司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4"/>
                <w:sz w:val="24"/>
              </w:rPr>
              <w:t>113,000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65,000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178,000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陕西苏宁电器有限责任公司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32,760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6,800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39,560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佛山市苏宁电器有限公司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38,000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3,000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41,000</w:t>
            </w:r>
            <w:r>
              <w:rPr>
                <w:rFonts w:ascii="Arial"/>
                <w:sz w:val="24"/>
              </w:rPr>
            </w:r>
          </w:p>
        </w:tc>
      </w:tr>
      <w:tr>
        <w:trPr>
          <w:trHeight w:val="312"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无锡市苏宁电器有限公司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10,000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1" w:right="0"/>
              <w:jc w:val="left"/>
              <w:rPr>
                <w:rFonts w:ascii="Arial" w:hAnsi="Arial" w:cs="Arial" w:eastAsia="Arial" w:hint="default"/>
                <w:sz w:val="24"/>
                <w:szCs w:val="24"/>
              </w:rPr>
            </w:pPr>
            <w:r>
              <w:rPr>
                <w:rFonts w:ascii="Arial"/>
                <w:sz w:val="24"/>
              </w:rPr>
              <w:t>4,700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14,700</w:t>
            </w:r>
            <w:r>
              <w:rPr>
                <w:rFonts w:ascii="Arial"/>
                <w:sz w:val="24"/>
              </w:rPr>
            </w:r>
          </w:p>
        </w:tc>
      </w:tr>
      <w:tr>
        <w:trPr>
          <w:trHeight w:val="391" w:hRule="exact"/>
        </w:trPr>
        <w:tc>
          <w:tcPr>
            <w:tcW w:w="323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福建苏宁电器有限公司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left="21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5"/>
              <w:jc w:val="right"/>
              <w:rPr>
                <w:rFonts w:ascii="Arial" w:hAnsi="Arial" w:cs="Arial" w:eastAsia="Arial" w:hint="default"/>
                <w:sz w:val="24"/>
                <w:szCs w:val="24"/>
              </w:rPr>
            </w:pPr>
            <w:r>
              <w:rPr>
                <w:rFonts w:ascii="Arial"/>
                <w:spacing w:val="-1"/>
                <w:w w:val="95"/>
                <w:sz w:val="24"/>
              </w:rPr>
              <w:t>89,000</w:t>
            </w:r>
            <w:r>
              <w:rPr>
                <w:rFonts w:ascii="Arial"/>
                <w:sz w:val="24"/>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8" w:right="0"/>
              <w:jc w:val="left"/>
              <w:rPr>
                <w:rFonts w:ascii="Arial" w:hAnsi="Arial" w:cs="Arial" w:eastAsia="Arial" w:hint="default"/>
                <w:sz w:val="24"/>
                <w:szCs w:val="24"/>
              </w:rPr>
            </w:pPr>
            <w:r>
              <w:rPr>
                <w:rFonts w:ascii="Arial"/>
                <w:sz w:val="24"/>
              </w:rPr>
              <w:t>33,000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24"/>
                <w:szCs w:val="24"/>
              </w:rPr>
            </w:pPr>
            <w:r>
              <w:rPr>
                <w:rFonts w:ascii="Arial"/>
                <w:spacing w:val="-1"/>
                <w:w w:val="95"/>
                <w:sz w:val="24"/>
              </w:rPr>
              <w:t>122,000</w:t>
            </w:r>
            <w:r>
              <w:rPr>
                <w:rFonts w:ascii="Arial"/>
                <w:sz w:val="24"/>
              </w:rPr>
            </w:r>
          </w:p>
        </w:tc>
      </w:tr>
    </w:tbl>
    <w:p>
      <w:pPr>
        <w:spacing w:line="240" w:lineRule="auto" w:before="5"/>
        <w:rPr>
          <w:rFonts w:ascii="宋体" w:hAnsi="宋体" w:cs="宋体" w:eastAsia="宋体" w:hint="default"/>
          <w:sz w:val="6"/>
          <w:szCs w:val="6"/>
        </w:rPr>
      </w:pPr>
    </w:p>
    <w:p>
      <w:pPr>
        <w:pStyle w:val="BodyText"/>
        <w:spacing w:line="312" w:lineRule="exact" w:before="56"/>
        <w:ind w:left="852" w:right="112"/>
        <w:jc w:val="left"/>
      </w:pPr>
      <w:r>
        <w:rPr/>
        <w:t>截止</w:t>
      </w:r>
      <w:r>
        <w:rPr>
          <w:spacing w:val="-68"/>
        </w:rPr>
        <w:t> </w:t>
      </w:r>
      <w:r>
        <w:rPr>
          <w:rFonts w:ascii="Arial" w:hAnsi="Arial" w:cs="Arial" w:eastAsia="Arial" w:hint="default"/>
        </w:rPr>
        <w:t>2008</w:t>
      </w:r>
      <w:r>
        <w:rPr>
          <w:rFonts w:ascii="Arial" w:hAnsi="Arial" w:cs="Arial" w:eastAsia="Arial" w:hint="default"/>
          <w:spacing w:val="-14"/>
        </w:rPr>
        <w:t> </w:t>
      </w:r>
      <w:r>
        <w:rPr/>
        <w:t>年</w:t>
      </w:r>
      <w:r>
        <w:rPr>
          <w:spacing w:val="-68"/>
        </w:rPr>
        <w:t> </w:t>
      </w:r>
      <w:r>
        <w:rPr>
          <w:rFonts w:ascii="Arial" w:hAnsi="Arial" w:cs="Arial" w:eastAsia="Arial" w:hint="default"/>
        </w:rPr>
        <w:t>12</w:t>
      </w:r>
      <w:r>
        <w:rPr>
          <w:rFonts w:ascii="Arial" w:hAnsi="Arial" w:cs="Arial" w:eastAsia="Arial" w:hint="default"/>
          <w:spacing w:val="-15"/>
        </w:rPr>
        <w:t> </w:t>
      </w:r>
      <w:r>
        <w:rPr/>
        <w:t>月</w:t>
      </w:r>
      <w:r>
        <w:rPr>
          <w:spacing w:val="-68"/>
        </w:rPr>
        <w:t> </w:t>
      </w:r>
      <w:r>
        <w:rPr>
          <w:rFonts w:ascii="Arial" w:hAnsi="Arial" w:cs="Arial" w:eastAsia="Arial" w:hint="default"/>
        </w:rPr>
        <w:t>31</w:t>
      </w:r>
      <w:r>
        <w:rPr>
          <w:rFonts w:ascii="Arial" w:hAnsi="Arial" w:cs="Arial" w:eastAsia="Arial" w:hint="default"/>
          <w:spacing w:val="-15"/>
        </w:rPr>
        <w:t> </w:t>
      </w:r>
      <w:r>
        <w:rPr/>
        <w:t>日，上述子公司注册资本已全部到位，本公司增资前后持有的 权益比例及表决权比例未发生变化。</w:t>
      </w:r>
    </w:p>
    <w:p>
      <w:pPr>
        <w:pStyle w:val="BodyText"/>
        <w:tabs>
          <w:tab w:pos="851" w:val="left" w:leader="none"/>
        </w:tabs>
        <w:spacing w:line="322" w:lineRule="exact" w:before="210"/>
        <w:ind w:left="142" w:right="0"/>
        <w:jc w:val="left"/>
      </w:pPr>
      <w:r>
        <w:rPr>
          <w:rFonts w:ascii="Arial" w:hAnsi="Arial" w:cs="Arial" w:eastAsia="Arial" w:hint="default"/>
          <w:w w:val="95"/>
          <w:position w:val="2"/>
        </w:rPr>
        <w:t>(2)</w:t>
        <w:tab/>
      </w:r>
      <w:r>
        <w:rPr/>
        <w:t>截至</w:t>
      </w:r>
      <w:r>
        <w:rPr>
          <w:spacing w:val="-52"/>
        </w:rPr>
        <w:t> </w:t>
      </w:r>
      <w:r>
        <w:rPr>
          <w:rFonts w:ascii="Arial" w:hAnsi="Arial" w:cs="Arial" w:eastAsia="Arial" w:hint="default"/>
        </w:rPr>
        <w:t>2008</w:t>
      </w:r>
      <w:r>
        <w:rPr>
          <w:rFonts w:ascii="Arial" w:hAnsi="Arial" w:cs="Arial" w:eastAsia="Arial" w:hint="default"/>
          <w:spacing w:val="3"/>
        </w:rPr>
        <w:t> </w:t>
      </w:r>
      <w:r>
        <w:rPr/>
        <w:t>年</w:t>
      </w:r>
      <w:r>
        <w:rPr>
          <w:spacing w:val="-52"/>
        </w:rPr>
        <w:t> </w:t>
      </w:r>
      <w:r>
        <w:rPr>
          <w:rFonts w:ascii="Arial" w:hAnsi="Arial" w:cs="Arial" w:eastAsia="Arial" w:hint="default"/>
        </w:rPr>
        <w:t>12</w:t>
      </w:r>
      <w:r>
        <w:rPr>
          <w:rFonts w:ascii="Arial" w:hAnsi="Arial" w:cs="Arial" w:eastAsia="Arial" w:hint="default"/>
          <w:spacing w:val="1"/>
        </w:rPr>
        <w:t> </w:t>
      </w:r>
      <w:r>
        <w:rPr/>
        <w:t>月</w:t>
      </w:r>
      <w:r>
        <w:rPr>
          <w:spacing w:val="-52"/>
        </w:rPr>
        <w:t> </w:t>
      </w:r>
      <w:r>
        <w:rPr>
          <w:rFonts w:ascii="Arial" w:hAnsi="Arial" w:cs="Arial" w:eastAsia="Arial" w:hint="default"/>
        </w:rPr>
        <w:t>31</w:t>
      </w:r>
      <w:r>
        <w:rPr>
          <w:rFonts w:ascii="Arial" w:hAnsi="Arial" w:cs="Arial" w:eastAsia="Arial" w:hint="default"/>
          <w:spacing w:val="1"/>
        </w:rPr>
        <w:t> </w:t>
      </w:r>
      <w:r>
        <w:rPr/>
        <w:t>日止年度，本集团新设立了</w:t>
      </w:r>
      <w:r>
        <w:rPr>
          <w:spacing w:val="-52"/>
        </w:rPr>
        <w:t> </w:t>
      </w:r>
      <w:r>
        <w:rPr>
          <w:rFonts w:ascii="Arial" w:hAnsi="Arial" w:cs="Arial" w:eastAsia="Arial" w:hint="default"/>
        </w:rPr>
        <w:t>48</w:t>
      </w:r>
      <w:r>
        <w:rPr>
          <w:rFonts w:ascii="Arial" w:hAnsi="Arial" w:cs="Arial" w:eastAsia="Arial" w:hint="default"/>
          <w:spacing w:val="1"/>
        </w:rPr>
        <w:t> </w:t>
      </w:r>
      <w:r>
        <w:rPr/>
        <w:t>家子公司，注册资本总额约为</w:t>
      </w:r>
    </w:p>
    <w:p>
      <w:pPr>
        <w:pStyle w:val="BodyText"/>
        <w:spacing w:line="322" w:lineRule="exact"/>
        <w:ind w:left="851" w:right="943"/>
        <w:jc w:val="left"/>
      </w:pPr>
      <w:r>
        <w:rPr/>
        <w:t>人民币</w:t>
      </w:r>
      <w:r>
        <w:rPr>
          <w:spacing w:val="-63"/>
        </w:rPr>
        <w:t> </w:t>
      </w:r>
      <w:r>
        <w:rPr>
          <w:rFonts w:ascii="Arial" w:hAnsi="Arial" w:cs="Arial" w:eastAsia="Arial" w:hint="default"/>
        </w:rPr>
        <w:t>56,496</w:t>
      </w:r>
      <w:r>
        <w:rPr>
          <w:rFonts w:ascii="Arial" w:hAnsi="Arial" w:cs="Arial" w:eastAsia="Arial" w:hint="default"/>
          <w:spacing w:val="-10"/>
        </w:rPr>
        <w:t> </w:t>
      </w:r>
      <w:r>
        <w:rPr/>
        <w:t>万元，其中本集团出资额为人民币</w:t>
      </w:r>
      <w:r>
        <w:rPr>
          <w:spacing w:val="-63"/>
        </w:rPr>
        <w:t> </w:t>
      </w:r>
      <w:r>
        <w:rPr>
          <w:rFonts w:ascii="Arial" w:hAnsi="Arial" w:cs="Arial" w:eastAsia="Arial" w:hint="default"/>
        </w:rPr>
        <w:t>56,496</w:t>
      </w:r>
      <w:r>
        <w:rPr>
          <w:rFonts w:ascii="Arial" w:hAnsi="Arial" w:cs="Arial" w:eastAsia="Arial" w:hint="default"/>
          <w:spacing w:val="-10"/>
        </w:rPr>
        <w:t> </w:t>
      </w:r>
      <w:r>
        <w:rPr/>
        <w:t>万元。</w:t>
      </w:r>
    </w:p>
    <w:p>
      <w:pPr>
        <w:spacing w:after="0" w:line="322" w:lineRule="exact"/>
        <w:jc w:val="left"/>
        <w:sectPr>
          <w:pgSz w:w="11910" w:h="16840"/>
          <w:pgMar w:header="826" w:footer="894" w:top="1100" w:bottom="1080" w:left="900" w:right="1200"/>
        </w:sectPr>
      </w:pPr>
    </w:p>
    <w:p>
      <w:pPr>
        <w:spacing w:line="240" w:lineRule="auto" w:before="7"/>
        <w:rPr>
          <w:rFonts w:ascii="宋体" w:hAnsi="宋体" w:cs="宋体" w:eastAsia="宋体" w:hint="default"/>
          <w:sz w:val="24"/>
          <w:szCs w:val="24"/>
        </w:rPr>
      </w:pPr>
    </w:p>
    <w:p>
      <w:pPr>
        <w:pStyle w:val="Heading2"/>
        <w:tabs>
          <w:tab w:pos="793" w:val="left" w:leader="none"/>
        </w:tabs>
        <w:spacing w:line="240" w:lineRule="auto"/>
        <w:ind w:right="0"/>
        <w:jc w:val="left"/>
        <w:rPr>
          <w:b w:val="0"/>
          <w:bCs w:val="0"/>
        </w:rPr>
      </w:pPr>
      <w:r>
        <w:rPr>
          <w:w w:val="95"/>
        </w:rPr>
        <w:t>七</w:t>
        <w:tab/>
      </w:r>
      <w:r>
        <w:rPr/>
        <w:t>合并财务报表项目附注</w:t>
      </w:r>
      <w:r>
        <w:rPr>
          <w:b w:val="0"/>
          <w:bCs w:val="0"/>
        </w:rPr>
      </w:r>
    </w:p>
    <w:p>
      <w:pPr>
        <w:spacing w:line="240" w:lineRule="auto" w:before="12"/>
        <w:rPr>
          <w:rFonts w:ascii="宋体" w:hAnsi="宋体" w:cs="宋体" w:eastAsia="宋体" w:hint="default"/>
          <w:b/>
          <w:bCs/>
          <w:sz w:val="20"/>
          <w:szCs w:val="20"/>
        </w:rPr>
      </w:pPr>
    </w:p>
    <w:p>
      <w:pPr>
        <w:tabs>
          <w:tab w:pos="793"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货币资金</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725" w:val="left" w:leader="none"/>
        </w:tabs>
        <w:spacing w:line="322" w:lineRule="exact" w:before="26"/>
        <w:ind w:left="4776"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356" w:val="left" w:leader="none"/>
        </w:tabs>
        <w:spacing w:line="322" w:lineRule="exact"/>
        <w:ind w:left="5387"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263" w:val="left" w:leader="none"/>
          <w:tab w:pos="9211" w:val="left" w:leader="none"/>
        </w:tabs>
        <w:spacing w:line="313" w:lineRule="exact"/>
        <w:ind w:left="811" w:right="0"/>
        <w:jc w:val="left"/>
        <w:rPr>
          <w:rFonts w:ascii="Arial" w:hAnsi="Arial" w:cs="Arial" w:eastAsia="Arial" w:hint="default"/>
        </w:rPr>
      </w:pPr>
      <w:r>
        <w:rPr/>
        <w:t>库存现金</w:t>
        <w:tab/>
      </w:r>
      <w:r>
        <w:rPr>
          <w:rFonts w:ascii="Arial" w:hAnsi="Arial" w:cs="Arial" w:eastAsia="Arial" w:hint="default"/>
          <w:spacing w:val="-1"/>
          <w:position w:val="2"/>
        </w:rPr>
        <w:t>7,322</w:t>
        <w:tab/>
        <w:t>7,283</w:t>
      </w:r>
      <w:r>
        <w:rPr>
          <w:rFonts w:ascii="Arial" w:hAnsi="Arial" w:cs="Arial" w:eastAsia="Arial" w:hint="default"/>
        </w:rPr>
      </w:r>
    </w:p>
    <w:p>
      <w:pPr>
        <w:pStyle w:val="BodyText"/>
        <w:tabs>
          <w:tab w:pos="5796" w:val="left" w:leader="none"/>
          <w:tab w:pos="8743" w:val="left" w:leader="none"/>
        </w:tabs>
        <w:spacing w:line="312" w:lineRule="exact"/>
        <w:ind w:left="811" w:right="0"/>
        <w:jc w:val="left"/>
        <w:rPr>
          <w:rFonts w:ascii="Arial" w:hAnsi="Arial" w:cs="Arial" w:eastAsia="Arial" w:hint="default"/>
        </w:rPr>
      </w:pPr>
      <w:r>
        <w:rPr/>
        <w:t>银行存款</w:t>
        <w:tab/>
      </w:r>
      <w:r>
        <w:rPr>
          <w:rFonts w:ascii="Arial" w:hAnsi="Arial" w:cs="Arial" w:eastAsia="Arial" w:hint="default"/>
          <w:spacing w:val="-1"/>
          <w:position w:val="2"/>
        </w:rPr>
        <w:t>6,817,326</w:t>
        <w:tab/>
        <w:t>2,934,812</w:t>
      </w:r>
      <w:r>
        <w:rPr>
          <w:rFonts w:ascii="Arial" w:hAnsi="Arial" w:cs="Arial" w:eastAsia="Arial" w:hint="default"/>
        </w:rPr>
      </w:r>
    </w:p>
    <w:p>
      <w:pPr>
        <w:pStyle w:val="BodyText"/>
        <w:tabs>
          <w:tab w:pos="5796" w:val="left" w:leader="none"/>
          <w:tab w:pos="8743" w:val="left" w:leader="none"/>
        </w:tabs>
        <w:spacing w:line="313" w:lineRule="exact"/>
        <w:ind w:left="811" w:right="0"/>
        <w:jc w:val="left"/>
        <w:rPr>
          <w:rFonts w:ascii="Arial" w:hAnsi="Arial" w:cs="Arial" w:eastAsia="Arial" w:hint="default"/>
        </w:rPr>
      </w:pPr>
      <w:r>
        <w:rPr/>
        <w:t>其他货币资金</w:t>
        <w:tab/>
      </w:r>
      <w:r>
        <w:rPr>
          <w:rFonts w:ascii="Arial" w:hAnsi="Arial" w:cs="Arial" w:eastAsia="Arial" w:hint="default"/>
          <w:spacing w:val="-1"/>
          <w:position w:val="2"/>
        </w:rPr>
        <w:t>3,749,584</w:t>
        <w:tab/>
        <w:t>4,523,198</w:t>
      </w:r>
      <w:r>
        <w:rPr>
          <w:rFonts w:ascii="Arial" w:hAnsi="Arial" w:cs="Arial" w:eastAsia="Arial" w:hint="default"/>
        </w:rPr>
      </w:r>
    </w:p>
    <w:p>
      <w:pPr>
        <w:spacing w:line="240" w:lineRule="auto" w:before="3"/>
        <w:rPr>
          <w:rFonts w:ascii="Arial" w:hAnsi="Arial" w:cs="Arial" w:eastAsia="Arial" w:hint="default"/>
          <w:sz w:val="3"/>
          <w:szCs w:val="3"/>
        </w:rPr>
      </w:pPr>
    </w:p>
    <w:p>
      <w:pPr>
        <w:tabs>
          <w:tab w:pos="7504" w:val="left" w:leader="none"/>
        </w:tabs>
        <w:spacing w:line="20" w:lineRule="exact"/>
        <w:ind w:left="4486" w:right="0" w:firstLine="0"/>
        <w:rPr>
          <w:rFonts w:ascii="Arial" w:hAnsi="Arial" w:cs="Arial" w:eastAsia="Arial" w:hint="default"/>
          <w:sz w:val="2"/>
          <w:szCs w:val="2"/>
        </w:rPr>
      </w:pPr>
      <w:r>
        <w:rPr>
          <w:rFonts w:ascii="Arial"/>
          <w:sz w:val="2"/>
        </w:rPr>
        <w:pict>
          <v:group style="width:124.15pt;height:.5pt;mso-position-horizontal-relative:char;mso-position-vertical-relative:line" coordorigin="0,0" coordsize="2483,10">
            <v:group style="position:absolute;left:5;top:5;width:2474;height:2" coordorigin="5,5" coordsize="2474,2">
              <v:shape style="position:absolute;left:5;top:5;width:2474;height:2" coordorigin="5,5" coordsize="2474,0" path="m5,5l2478,5e" filled="false" stroked="true" strokeweight=".47998pt" strokecolor="#000000">
                <v:path arrowok="t"/>
              </v:shape>
            </v:group>
          </v:group>
        </w:pict>
      </w:r>
      <w:r>
        <w:rPr>
          <w:rFonts w:ascii="Arial"/>
          <w:sz w:val="2"/>
        </w:rPr>
      </w:r>
      <w:r>
        <w:rPr>
          <w:rFonts w:ascii="Arial"/>
          <w:sz w:val="2"/>
        </w:rPr>
        <w:tab/>
      </w:r>
      <w:r>
        <w:rPr>
          <w:rFonts w:ascii="Arial"/>
          <w:sz w:val="2"/>
        </w:rPr>
        <w:pict>
          <v:group style="width:120.6pt;height:.5pt;mso-position-horizontal-relative:char;mso-position-vertical-relative:line" coordorigin="0,0" coordsize="2412,10">
            <v:group style="position:absolute;left:5;top:5;width:2403;height:2" coordorigin="5,5" coordsize="2403,2">
              <v:shape style="position:absolute;left:5;top:5;width:2403;height:2" coordorigin="5,5" coordsize="2403,0" path="m5,5l2407,5e" filled="false" stroked="true" strokeweight=".47998pt" strokecolor="#000000">
                <v:path arrowok="t"/>
              </v:shape>
            </v:group>
          </v:group>
        </w:pict>
      </w:r>
      <w:r>
        <w:rPr>
          <w:rFonts w:ascii="Arial"/>
          <w:sz w:val="2"/>
        </w:rPr>
      </w:r>
    </w:p>
    <w:p>
      <w:pPr>
        <w:pStyle w:val="BodyText"/>
        <w:tabs>
          <w:tab w:pos="8489" w:val="left" w:leader="none"/>
        </w:tabs>
        <w:spacing w:line="240" w:lineRule="auto"/>
        <w:ind w:left="5408" w:right="0"/>
        <w:jc w:val="center"/>
        <w:rPr>
          <w:rFonts w:ascii="Arial" w:hAnsi="Arial" w:cs="Arial" w:eastAsia="Arial" w:hint="default"/>
        </w:rPr>
      </w:pPr>
      <w:r>
        <w:rPr>
          <w:rFonts w:ascii="Arial"/>
          <w:spacing w:val="-1"/>
        </w:rPr>
        <w:t>10,574,232</w:t>
        <w:tab/>
        <w:t>7,465,293</w:t>
      </w:r>
      <w:r>
        <w:rPr>
          <w:rFonts w:ascii="Arial"/>
        </w:rPr>
      </w:r>
    </w:p>
    <w:p>
      <w:pPr>
        <w:tabs>
          <w:tab w:pos="7494" w:val="left" w:leader="none"/>
        </w:tabs>
        <w:spacing w:line="30" w:lineRule="exact"/>
        <w:ind w:left="4476" w:right="0" w:firstLine="0"/>
        <w:rPr>
          <w:rFonts w:ascii="Arial" w:hAnsi="Arial" w:cs="Arial" w:eastAsia="Arial" w:hint="default"/>
          <w:sz w:val="3"/>
          <w:szCs w:val="3"/>
        </w:rPr>
      </w:pPr>
      <w:r>
        <w:rPr>
          <w:rFonts w:ascii="Arial"/>
          <w:position w:val="0"/>
          <w:sz w:val="3"/>
        </w:rPr>
        <w:pict>
          <v:group style="width:125.2pt;height:1.5pt;mso-position-horizontal-relative:char;mso-position-vertical-relative:line" coordorigin="0,0" coordsize="2504,30">
            <v:group style="position:absolute;left:15;top:15;width:2474;height:2" coordorigin="15,15" coordsize="2474,2">
              <v:shape style="position:absolute;left:15;top:15;width:2474;height:2" coordorigin="15,15" coordsize="2474,0" path="m15,15l2488,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1.65pt;height:1.5pt;mso-position-horizontal-relative:char;mso-position-vertical-relative:line" coordorigin="0,0" coordsize="2433,30">
            <v:group style="position:absolute;left:15;top:15;width:2403;height:2" coordorigin="15,15" coordsize="2403,2">
              <v:shape style="position:absolute;left:15;top:15;width:2403;height:2" coordorigin="15,15" coordsize="2403,0" path="m15,15l2417,15e" filled="false" stroked="true" strokeweight="1.5pt" strokecolor="#000000">
                <v:path arrowok="t"/>
              </v:shape>
            </v:group>
          </v:group>
        </w:pict>
      </w:r>
      <w:r>
        <w:rPr>
          <w:rFonts w:ascii="Arial"/>
          <w:position w:val="0"/>
          <w:sz w:val="3"/>
        </w:rPr>
      </w:r>
    </w:p>
    <w:p>
      <w:pPr>
        <w:spacing w:line="240" w:lineRule="auto" w:before="7"/>
        <w:rPr>
          <w:rFonts w:ascii="Arial" w:hAnsi="Arial" w:cs="Arial" w:eastAsia="Arial" w:hint="default"/>
          <w:sz w:val="18"/>
          <w:szCs w:val="18"/>
        </w:rPr>
      </w:pPr>
    </w:p>
    <w:p>
      <w:pPr>
        <w:pStyle w:val="BodyText"/>
        <w:spacing w:line="240" w:lineRule="auto" w:before="26"/>
        <w:ind w:left="794" w:right="0"/>
        <w:jc w:val="left"/>
      </w:pPr>
      <w:r>
        <w:rPr/>
        <w:t>本集团的货币资金均为人民币余额。</w:t>
      </w:r>
    </w:p>
    <w:p>
      <w:pPr>
        <w:spacing w:line="240" w:lineRule="auto" w:before="12"/>
        <w:rPr>
          <w:rFonts w:ascii="宋体" w:hAnsi="宋体" w:cs="宋体" w:eastAsia="宋体" w:hint="default"/>
          <w:sz w:val="20"/>
          <w:szCs w:val="20"/>
        </w:rPr>
      </w:pPr>
    </w:p>
    <w:p>
      <w:pPr>
        <w:pStyle w:val="BodyText"/>
        <w:spacing w:line="322" w:lineRule="exact"/>
        <w:ind w:left="793" w:right="0"/>
        <w:jc w:val="left"/>
        <w:rPr>
          <w:rFonts w:ascii="Arial" w:hAnsi="Arial" w:cs="Arial" w:eastAsia="Arial" w:hint="default"/>
        </w:rPr>
      </w:pPr>
      <w:r>
        <w:rPr/>
        <w:t>于</w:t>
      </w:r>
      <w:r>
        <w:rPr>
          <w:spacing w:val="-60"/>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7"/>
        </w:rPr>
        <w:t> </w:t>
      </w:r>
      <w:r>
        <w:rPr/>
        <w:t>年</w:t>
      </w:r>
      <w:r>
        <w:rPr>
          <w:spacing w:val="-6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w:t>
      </w:r>
      <w:r>
        <w:rPr>
          <w:spacing w:val="-120"/>
        </w:rPr>
        <w:t>，</w:t>
      </w:r>
      <w:r>
        <w:rPr/>
        <w:t>本集团将约人民币</w:t>
      </w:r>
      <w:r>
        <w:rPr>
          <w:spacing w:val="-60"/>
        </w:rPr>
        <w:t> </w:t>
      </w:r>
      <w:r>
        <w:rPr>
          <w:rFonts w:ascii="Arial" w:hAnsi="Arial" w:cs="Arial" w:eastAsia="Arial" w:hint="default"/>
          <w:spacing w:val="-1"/>
          <w:w w:val="99"/>
        </w:rPr>
        <w:t>36.</w:t>
      </w:r>
      <w:r>
        <w:rPr>
          <w:rFonts w:ascii="Arial" w:hAnsi="Arial" w:cs="Arial" w:eastAsia="Arial" w:hint="default"/>
          <w:w w:val="99"/>
        </w:rPr>
        <w:t>3</w:t>
      </w:r>
      <w:r>
        <w:rPr>
          <w:rFonts w:ascii="Arial" w:hAnsi="Arial" w:cs="Arial" w:eastAsia="Arial" w:hint="default"/>
          <w:spacing w:val="-7"/>
        </w:rPr>
        <w:t> </w:t>
      </w:r>
      <w:r>
        <w:rPr/>
        <w:t>亿元的其他货币资金</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7"/>
        </w:rPr>
        <w:t> </w:t>
      </w:r>
      <w:r>
        <w:rPr/>
        <w:t>年</w:t>
      </w:r>
      <w:r>
        <w:rPr>
          <w:spacing w:val="-6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31</w:t>
      </w:r>
      <w:r>
        <w:rPr>
          <w:rFonts w:ascii="Arial" w:hAnsi="Arial" w:cs="Arial" w:eastAsia="Arial" w:hint="default"/>
        </w:rPr>
      </w:r>
    </w:p>
    <w:p>
      <w:pPr>
        <w:pStyle w:val="BodyText"/>
        <w:spacing w:line="322" w:lineRule="exact"/>
        <w:ind w:left="811" w:right="0"/>
        <w:jc w:val="left"/>
      </w:pPr>
      <w:r>
        <w:rPr/>
        <w:t>日：约人民币</w:t>
      </w:r>
      <w:r>
        <w:rPr>
          <w:spacing w:val="-64"/>
        </w:rPr>
        <w:t> </w:t>
      </w:r>
      <w:r>
        <w:rPr>
          <w:rFonts w:ascii="Arial" w:hAnsi="Arial" w:cs="Arial" w:eastAsia="Arial" w:hint="default"/>
        </w:rPr>
        <w:t>39.6</w:t>
      </w:r>
      <w:r>
        <w:rPr>
          <w:rFonts w:ascii="Arial" w:hAnsi="Arial" w:cs="Arial" w:eastAsia="Arial" w:hint="default"/>
          <w:spacing w:val="-11"/>
        </w:rPr>
        <w:t> </w:t>
      </w:r>
      <w:r>
        <w:rPr/>
        <w:t>亿元</w:t>
      </w:r>
      <w:r>
        <w:rPr>
          <w:rFonts w:ascii="Arial" w:hAnsi="Arial" w:cs="Arial" w:eastAsia="Arial" w:hint="default"/>
        </w:rPr>
        <w:t>)</w:t>
      </w:r>
      <w:r>
        <w:rPr/>
        <w:t>质押给银行作为开立银行承兑汇票的保证</w:t>
      </w:r>
      <w:r>
        <w:rPr>
          <w:rFonts w:ascii="Arial" w:hAnsi="Arial" w:cs="Arial" w:eastAsia="Arial" w:hint="default"/>
        </w:rPr>
        <w:t>(</w:t>
      </w:r>
      <w:r>
        <w:rPr/>
        <w:t>附注七</w:t>
      </w:r>
      <w:r>
        <w:rPr>
          <w:rFonts w:ascii="Arial" w:hAnsi="Arial" w:cs="Arial" w:eastAsia="Arial" w:hint="default"/>
        </w:rPr>
        <w:t>(14))</w:t>
      </w:r>
      <w:r>
        <w:rPr/>
        <w:t>。</w:t>
      </w:r>
    </w:p>
    <w:p>
      <w:pPr>
        <w:spacing w:line="240" w:lineRule="auto" w:before="8"/>
        <w:rPr>
          <w:rFonts w:ascii="宋体" w:hAnsi="宋体" w:cs="宋体" w:eastAsia="宋体" w:hint="default"/>
          <w:sz w:val="19"/>
          <w:szCs w:val="19"/>
        </w:rPr>
      </w:pPr>
    </w:p>
    <w:p>
      <w:pPr>
        <w:pStyle w:val="BodyText"/>
        <w:spacing w:line="322" w:lineRule="exact"/>
        <w:ind w:left="793" w:right="0"/>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4"/>
        </w:rPr>
        <w:t>日，本集团将约人民币</w:t>
      </w:r>
      <w:r>
        <w:rPr>
          <w:spacing w:val="-62"/>
        </w:rPr>
        <w:t> </w:t>
      </w:r>
      <w:r>
        <w:rPr>
          <w:rFonts w:ascii="Arial" w:hAnsi="Arial" w:cs="Arial" w:eastAsia="Arial" w:hint="default"/>
        </w:rPr>
        <w:t>4,889</w:t>
      </w:r>
      <w:r>
        <w:rPr>
          <w:rFonts w:ascii="Arial" w:hAnsi="Arial" w:cs="Arial" w:eastAsia="Arial" w:hint="default"/>
          <w:spacing w:val="-8"/>
        </w:rPr>
        <w:t> </w:t>
      </w:r>
      <w:r>
        <w:rPr/>
        <w:t>万元</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7"/>
        </w:rPr>
        <w:t>日：约人民币</w:t>
      </w:r>
    </w:p>
    <w:p>
      <w:pPr>
        <w:pStyle w:val="BodyText"/>
        <w:spacing w:line="322" w:lineRule="exact"/>
        <w:ind w:left="811" w:right="0"/>
        <w:jc w:val="left"/>
      </w:pPr>
      <w:r>
        <w:rPr>
          <w:rFonts w:ascii="Arial" w:hAnsi="Arial" w:cs="Arial" w:eastAsia="Arial" w:hint="default"/>
        </w:rPr>
        <w:t>405</w:t>
      </w:r>
      <w:r>
        <w:rPr>
          <w:rFonts w:ascii="Arial" w:hAnsi="Arial" w:cs="Arial" w:eastAsia="Arial" w:hint="default"/>
          <w:spacing w:val="-10"/>
        </w:rPr>
        <w:t> </w:t>
      </w:r>
      <w:r>
        <w:rPr/>
        <w:t>万元</w:t>
      </w:r>
      <w:r>
        <w:rPr>
          <w:rFonts w:ascii="Arial" w:hAnsi="Arial" w:cs="Arial" w:eastAsia="Arial" w:hint="default"/>
        </w:rPr>
        <w:t>)</w:t>
      </w:r>
      <w:r>
        <w:rPr/>
        <w:t>的其他货币资金质押给银行作为银行保函的保证。</w:t>
      </w:r>
    </w:p>
    <w:p>
      <w:pPr>
        <w:spacing w:line="240" w:lineRule="auto" w:before="8"/>
        <w:rPr>
          <w:rFonts w:ascii="宋体" w:hAnsi="宋体" w:cs="宋体" w:eastAsia="宋体" w:hint="default"/>
          <w:sz w:val="19"/>
          <w:szCs w:val="19"/>
        </w:rPr>
      </w:pPr>
    </w:p>
    <w:p>
      <w:pPr>
        <w:pStyle w:val="BodyText"/>
        <w:spacing w:line="322" w:lineRule="exact"/>
        <w:ind w:left="793" w:right="0"/>
        <w:jc w:val="left"/>
      </w:pPr>
      <w:r>
        <w:rPr/>
        <w:t>于</w:t>
      </w:r>
      <w:r>
        <w:rPr>
          <w:spacing w:val="-58"/>
        </w:rPr>
        <w:t> </w:t>
      </w:r>
      <w:r>
        <w:rPr>
          <w:rFonts w:ascii="Arial" w:hAnsi="Arial" w:cs="Arial" w:eastAsia="Arial" w:hint="default"/>
        </w:rPr>
        <w:t>2008</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spacing w:val="-3"/>
        </w:rPr>
        <w:t>日，其他货币资金包含中国银联银行卡跨行交易的在途货款约人民</w:t>
      </w:r>
    </w:p>
    <w:p>
      <w:pPr>
        <w:pStyle w:val="BodyText"/>
        <w:spacing w:line="322" w:lineRule="exact"/>
        <w:ind w:left="811" w:right="0"/>
        <w:jc w:val="left"/>
      </w:pPr>
      <w:r>
        <w:rPr/>
        <w:t>币</w:t>
      </w:r>
      <w:r>
        <w:rPr>
          <w:spacing w:val="-62"/>
        </w:rPr>
        <w:t> </w:t>
      </w:r>
      <w:r>
        <w:rPr>
          <w:rFonts w:ascii="Arial" w:hAnsi="Arial" w:cs="Arial" w:eastAsia="Arial" w:hint="default"/>
        </w:rPr>
        <w:t>6,909</w:t>
      </w:r>
      <w:r>
        <w:rPr>
          <w:rFonts w:ascii="Arial" w:hAnsi="Arial" w:cs="Arial" w:eastAsia="Arial" w:hint="default"/>
          <w:spacing w:val="-9"/>
        </w:rPr>
        <w:t> </w:t>
      </w:r>
      <w:r>
        <w:rPr/>
        <w:t>万元</w:t>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5.6</w:t>
      </w:r>
      <w:r>
        <w:rPr>
          <w:rFonts w:ascii="Arial" w:hAnsi="Arial" w:cs="Arial" w:eastAsia="Arial" w:hint="default"/>
          <w:spacing w:val="-9"/>
        </w:rPr>
        <w:t> </w:t>
      </w:r>
      <w:r>
        <w:rPr/>
        <w:t>亿元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tabs>
          <w:tab w:pos="811"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应收票据</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725" w:val="left" w:leader="none"/>
        </w:tabs>
        <w:spacing w:line="322" w:lineRule="exact"/>
        <w:ind w:left="4776"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515" w:val="left" w:leader="none"/>
        </w:tabs>
        <w:spacing w:line="322" w:lineRule="exact"/>
        <w:ind w:left="5561"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783" w:val="left" w:leader="none"/>
          <w:tab w:pos="9078" w:val="left" w:leader="none"/>
        </w:tabs>
        <w:spacing w:line="240" w:lineRule="auto"/>
        <w:ind w:left="811" w:right="0"/>
        <w:jc w:val="left"/>
        <w:rPr>
          <w:rFonts w:ascii="Arial" w:hAnsi="Arial" w:cs="Arial" w:eastAsia="Arial" w:hint="default"/>
        </w:rPr>
      </w:pPr>
      <w:r>
        <w:rPr/>
        <w:t>银行承兑汇票</w:t>
        <w:tab/>
      </w:r>
      <w:r>
        <w:rPr>
          <w:rFonts w:ascii="Arial" w:hAnsi="Arial" w:cs="Arial" w:eastAsia="Arial" w:hint="default"/>
          <w:position w:val="2"/>
        </w:rPr>
        <w:t>-</w:t>
        <w:tab/>
        <w:t>24,447</w:t>
      </w:r>
      <w:r>
        <w:rPr>
          <w:rFonts w:ascii="Arial" w:hAnsi="Arial" w:cs="Arial" w:eastAsia="Arial" w:hint="default"/>
        </w:rPr>
      </w:r>
    </w:p>
    <w:p>
      <w:pPr>
        <w:spacing w:line="240" w:lineRule="auto" w:before="3"/>
        <w:rPr>
          <w:rFonts w:ascii="Arial" w:hAnsi="Arial" w:cs="Arial" w:eastAsia="Arial" w:hint="default"/>
          <w:sz w:val="3"/>
          <w:szCs w:val="3"/>
        </w:rPr>
      </w:pPr>
    </w:p>
    <w:p>
      <w:pPr>
        <w:tabs>
          <w:tab w:pos="7494" w:val="left" w:leader="none"/>
        </w:tabs>
        <w:spacing w:line="30" w:lineRule="exact"/>
        <w:ind w:left="4476" w:right="0" w:firstLine="0"/>
        <w:rPr>
          <w:rFonts w:ascii="Arial" w:hAnsi="Arial" w:cs="Arial" w:eastAsia="Arial" w:hint="default"/>
          <w:sz w:val="3"/>
          <w:szCs w:val="3"/>
        </w:rPr>
      </w:pPr>
      <w:r>
        <w:rPr>
          <w:rFonts w:ascii="Arial"/>
          <w:position w:val="0"/>
          <w:sz w:val="3"/>
        </w:rPr>
        <w:pict>
          <v:group style="width:125.2pt;height:1.5pt;mso-position-horizontal-relative:char;mso-position-vertical-relative:line" coordorigin="0,0" coordsize="2504,30">
            <v:group style="position:absolute;left:15;top:15;width:2474;height:2" coordorigin="15,15" coordsize="2474,2">
              <v:shape style="position:absolute;left:15;top:15;width:2474;height:2" coordorigin="15,15" coordsize="2474,0" path="m15,15l2488,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1.65pt;height:1.5pt;mso-position-horizontal-relative:char;mso-position-vertical-relative:line" coordorigin="0,0" coordsize="2433,30">
            <v:group style="position:absolute;left:15;top:15;width:2403;height:2" coordorigin="15,15" coordsize="2403,2">
              <v:shape style="position:absolute;left:15;top:15;width:2403;height:2" coordorigin="15,15" coordsize="2403,0" path="m15,15l2417,15e" filled="false" stroked="true" strokeweight="1.5pt" strokecolor="#000000">
                <v:path arrowok="t"/>
              </v:shape>
            </v:group>
          </v:group>
        </w:pict>
      </w:r>
      <w:r>
        <w:rPr>
          <w:rFonts w:ascii="Arial"/>
          <w:position w:val="0"/>
          <w:sz w:val="3"/>
        </w:rPr>
      </w:r>
    </w:p>
    <w:p>
      <w:pPr>
        <w:spacing w:line="240" w:lineRule="auto" w:before="4"/>
        <w:rPr>
          <w:rFonts w:ascii="Arial" w:hAnsi="Arial" w:cs="Arial" w:eastAsia="Arial" w:hint="default"/>
          <w:sz w:val="18"/>
          <w:szCs w:val="18"/>
        </w:rPr>
      </w:pPr>
    </w:p>
    <w:p>
      <w:pPr>
        <w:pStyle w:val="BodyText"/>
        <w:spacing w:line="240" w:lineRule="auto" w:before="26"/>
        <w:ind w:left="794" w:right="0"/>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日和</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9"/>
        </w:rPr>
        <w:t>日，本集团无已用于抵押、质押的应收票据。</w:t>
      </w:r>
    </w:p>
    <w:p>
      <w:pPr>
        <w:spacing w:line="240" w:lineRule="auto" w:before="8"/>
        <w:rPr>
          <w:rFonts w:ascii="宋体" w:hAnsi="宋体" w:cs="宋体" w:eastAsia="宋体" w:hint="default"/>
          <w:sz w:val="19"/>
          <w:szCs w:val="19"/>
        </w:rPr>
      </w:pPr>
    </w:p>
    <w:p>
      <w:pPr>
        <w:pStyle w:val="BodyText"/>
        <w:spacing w:line="322" w:lineRule="exact"/>
        <w:ind w:left="793" w:right="0"/>
        <w:jc w:val="left"/>
      </w:pPr>
      <w:r>
        <w:rPr/>
        <w:t>于</w:t>
      </w:r>
      <w:r>
        <w:rPr>
          <w:spacing w:val="-58"/>
        </w:rPr>
        <w:t> </w:t>
      </w:r>
      <w:r>
        <w:rPr>
          <w:rFonts w:ascii="Arial" w:hAnsi="Arial" w:cs="Arial" w:eastAsia="Arial" w:hint="default"/>
        </w:rPr>
        <w:t>2008</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spacing w:val="-3"/>
        </w:rPr>
        <w:t>日，本集团已背书但尚未到期的由第三方开具的银行承兑汇票共计</w:t>
      </w:r>
    </w:p>
    <w:p>
      <w:pPr>
        <w:pStyle w:val="BodyText"/>
        <w:spacing w:line="322" w:lineRule="exact"/>
        <w:ind w:left="811" w:right="0"/>
        <w:jc w:val="left"/>
      </w:pPr>
      <w:r>
        <w:rPr/>
        <w:t>约人民币</w:t>
      </w:r>
      <w:r>
        <w:rPr>
          <w:spacing w:val="-62"/>
        </w:rPr>
        <w:t> </w:t>
      </w:r>
      <w:r>
        <w:rPr>
          <w:rFonts w:ascii="Arial" w:hAnsi="Arial" w:cs="Arial" w:eastAsia="Arial" w:hint="default"/>
        </w:rPr>
        <w:t>0.86</w:t>
      </w:r>
      <w:r>
        <w:rPr>
          <w:rFonts w:ascii="Arial" w:hAnsi="Arial" w:cs="Arial" w:eastAsia="Arial" w:hint="default"/>
          <w:spacing w:val="-9"/>
        </w:rPr>
        <w:t> </w:t>
      </w:r>
      <w:r>
        <w:rPr/>
        <w:t>亿元</w:t>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10</w:t>
      </w:r>
      <w:r>
        <w:rPr>
          <w:rFonts w:ascii="Arial" w:hAnsi="Arial" w:cs="Arial" w:eastAsia="Arial" w:hint="default"/>
          <w:spacing w:val="-9"/>
        </w:rPr>
        <w:t> </w:t>
      </w:r>
      <w:r>
        <w:rPr/>
        <w:t>亿元</w:t>
      </w:r>
      <w:r>
        <w:rPr>
          <w:rFonts w:ascii="Arial" w:hAnsi="Arial" w:cs="Arial" w:eastAsia="Arial" w:hint="default"/>
        </w:rPr>
        <w:t>)</w:t>
      </w:r>
      <w:r>
        <w:rPr/>
        <w:t>，均于六个月以内到期。</w:t>
      </w:r>
    </w:p>
    <w:p>
      <w:pPr>
        <w:spacing w:after="0" w:line="322" w:lineRule="exact"/>
        <w:jc w:val="left"/>
        <w:sectPr>
          <w:pgSz w:w="11910" w:h="16840"/>
          <w:pgMar w:header="826" w:footer="894" w:top="1100" w:bottom="1080" w:left="940" w:right="900"/>
        </w:sectPr>
      </w:pPr>
    </w:p>
    <w:p>
      <w:pPr>
        <w:spacing w:line="240" w:lineRule="auto" w:before="7"/>
        <w:rPr>
          <w:rFonts w:ascii="宋体" w:hAnsi="宋体" w:cs="宋体" w:eastAsia="宋体" w:hint="default"/>
          <w:sz w:val="24"/>
          <w:szCs w:val="24"/>
        </w:rPr>
      </w:pPr>
    </w:p>
    <w:p>
      <w:pPr>
        <w:pStyle w:val="Heading2"/>
        <w:tabs>
          <w:tab w:pos="810" w:val="left" w:leader="none"/>
        </w:tabs>
        <w:spacing w:line="240" w:lineRule="auto"/>
        <w:ind w:right="34"/>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810" w:val="left" w:leader="none"/>
        </w:tabs>
        <w:spacing w:line="240" w:lineRule="auto" w:before="0"/>
        <w:ind w:right="34"/>
        <w:jc w:val="left"/>
        <w:rPr>
          <w:b w:val="0"/>
          <w:bCs w:val="0"/>
        </w:rPr>
      </w:pPr>
      <w:r>
        <w:rPr>
          <w:rFonts w:ascii="Arial" w:hAnsi="Arial" w:cs="Arial" w:eastAsia="Arial" w:hint="default"/>
          <w:b w:val="0"/>
          <w:bCs w:val="0"/>
          <w:w w:val="95"/>
          <w:position w:val="2"/>
        </w:rPr>
        <w:t>(3)</w:t>
        <w:tab/>
      </w:r>
      <w:r>
        <w:rPr/>
        <w:t>应收账款、其他应收款及长期应收款</w:t>
      </w:r>
      <w:r>
        <w:rPr>
          <w:b w:val="0"/>
          <w:bCs w:val="0"/>
        </w:rPr>
      </w:r>
    </w:p>
    <w:p>
      <w:pPr>
        <w:spacing w:line="240" w:lineRule="auto" w:before="12"/>
        <w:rPr>
          <w:rFonts w:ascii="宋体" w:hAnsi="宋体" w:cs="宋体" w:eastAsia="宋体" w:hint="default"/>
          <w:b/>
          <w:bCs/>
          <w:sz w:val="20"/>
          <w:szCs w:val="20"/>
        </w:rPr>
      </w:pPr>
    </w:p>
    <w:p>
      <w:pPr>
        <w:pStyle w:val="BodyText"/>
        <w:tabs>
          <w:tab w:pos="810" w:val="left" w:leader="none"/>
        </w:tabs>
        <w:spacing w:line="240" w:lineRule="auto"/>
        <w:ind w:left="102" w:right="34"/>
        <w:jc w:val="left"/>
      </w:pPr>
      <w:r>
        <w:rPr>
          <w:rFonts w:ascii="Arial" w:hAnsi="Arial" w:cs="Arial" w:eastAsia="Arial" w:hint="default"/>
          <w:w w:val="95"/>
          <w:position w:val="2"/>
        </w:rPr>
        <w:t>(a)</w:t>
        <w:tab/>
      </w:r>
      <w:r>
        <w:rPr/>
        <w:t>应收账款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26" w:footer="894" w:top="1100" w:bottom="1080" w:left="940" w:right="780"/>
        </w:sectPr>
      </w:pPr>
    </w:p>
    <w:p>
      <w:pPr>
        <w:pStyle w:val="BodyText"/>
        <w:spacing w:line="322" w:lineRule="exact" w:before="26"/>
        <w:ind w:left="0" w:right="0"/>
        <w:jc w:val="right"/>
      </w:pP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10"/>
        <w:jc w:val="righ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0" w:right="213"/>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940" w:right="780"/>
          <w:cols w:num="2" w:equalWidth="0">
            <w:col w:w="4534" w:space="905"/>
            <w:col w:w="4751"/>
          </w:cols>
        </w:sectPr>
      </w:pPr>
    </w:p>
    <w:p>
      <w:pPr>
        <w:pStyle w:val="BodyText"/>
        <w:tabs>
          <w:tab w:pos="8668" w:val="left" w:leader="none"/>
        </w:tabs>
        <w:spacing w:line="312" w:lineRule="exact"/>
        <w:ind w:left="3238" w:right="34"/>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3684" w:val="left" w:leader="none"/>
          <w:tab w:pos="9122" w:val="left" w:leader="none"/>
        </w:tabs>
        <w:spacing w:line="240" w:lineRule="auto"/>
        <w:ind w:left="810" w:right="34"/>
        <w:jc w:val="left"/>
        <w:rPr>
          <w:rFonts w:ascii="Arial" w:hAnsi="Arial" w:cs="Arial" w:eastAsia="Arial" w:hint="default"/>
        </w:rPr>
      </w:pPr>
      <w:r>
        <w:rPr/>
        <w:t>应收账款</w:t>
        <w:tab/>
      </w:r>
      <w:r>
        <w:rPr>
          <w:rFonts w:ascii="Arial" w:hAnsi="Arial" w:cs="Arial" w:eastAsia="Arial" w:hint="default"/>
          <w:spacing w:val="-4"/>
          <w:position w:val="2"/>
        </w:rPr>
        <w:t>114,355</w:t>
        <w:tab/>
        <w:t>118,146</w:t>
      </w:r>
      <w:r>
        <w:rPr>
          <w:rFonts w:ascii="Arial" w:hAnsi="Arial" w:cs="Arial" w:eastAsia="Arial" w:hint="default"/>
        </w:rPr>
      </w:r>
    </w:p>
    <w:p>
      <w:pPr>
        <w:spacing w:line="240" w:lineRule="auto" w:before="3"/>
        <w:rPr>
          <w:rFonts w:ascii="Arial" w:hAnsi="Arial" w:cs="Arial" w:eastAsia="Arial" w:hint="default"/>
          <w:sz w:val="3"/>
          <w:szCs w:val="3"/>
        </w:rPr>
      </w:pPr>
    </w:p>
    <w:p>
      <w:pPr>
        <w:tabs>
          <w:tab w:pos="8034" w:val="left" w:leader="none"/>
        </w:tabs>
        <w:spacing w:line="20" w:lineRule="exact"/>
        <w:ind w:left="2790" w:right="0" w:firstLine="0"/>
        <w:rPr>
          <w:rFonts w:ascii="Arial" w:hAnsi="Arial" w:cs="Arial" w:eastAsia="Arial" w:hint="default"/>
          <w:sz w:val="2"/>
          <w:szCs w:val="2"/>
        </w:rPr>
      </w:pPr>
      <w:r>
        <w:rPr>
          <w:rFonts w:ascii="Arial"/>
          <w:sz w:val="2"/>
        </w:rPr>
        <w:pict>
          <v:group style="width:92.5pt;height:.5pt;mso-position-horizontal-relative:char;mso-position-vertical-relative:line" coordorigin="0,0" coordsize="1850,10">
            <v:group style="position:absolute;left:5;top:5;width:1840;height:2" coordorigin="5,5" coordsize="1840,2">
              <v:shape style="position:absolute;left:5;top:5;width:1840;height:2" coordorigin="5,5" coordsize="1840,0" path="m5,5l1844,5e" filled="false" stroked="true" strokeweight=".47998pt" strokecolor="#000000">
                <v:path arrowok="t"/>
              </v:shape>
            </v:group>
          </v:group>
        </w:pict>
      </w:r>
      <w:r>
        <w:rPr>
          <w:rFonts w:ascii="Arial"/>
          <w:sz w:val="2"/>
        </w:rPr>
      </w:r>
      <w:r>
        <w:rPr>
          <w:rFonts w:ascii="Arial"/>
          <w:sz w:val="2"/>
        </w:rPr>
        <w:tab/>
      </w:r>
      <w:r>
        <w:rPr>
          <w:rFonts w:ascii="Arial"/>
          <w:sz w:val="2"/>
        </w:rPr>
        <w:pict>
          <v:group style="width:102.15pt;height:.5pt;mso-position-horizontal-relative:char;mso-position-vertical-relative:line" coordorigin="0,0" coordsize="2043,10">
            <v:group style="position:absolute;left:5;top:5;width:2033;height:2" coordorigin="5,5" coordsize="2033,2">
              <v:shape style="position:absolute;left:5;top:5;width:2033;height:2" coordorigin="5,5" coordsize="2033,0" path="m5,5l2038,5e" filled="false" stroked="true" strokeweight=".47998pt" strokecolor="#000000">
                <v:path arrowok="t"/>
              </v:shape>
            </v:group>
          </v:group>
        </w:pict>
      </w:r>
      <w:r>
        <w:rPr>
          <w:rFonts w:ascii="Arial"/>
          <w:sz w:val="2"/>
        </w:rPr>
      </w:r>
    </w:p>
    <w:p>
      <w:pPr>
        <w:pStyle w:val="BodyText"/>
        <w:tabs>
          <w:tab w:pos="6741" w:val="left" w:leader="none"/>
        </w:tabs>
        <w:spacing w:line="264" w:lineRule="exact"/>
        <w:ind w:left="5201" w:right="34"/>
        <w:jc w:val="left"/>
      </w:pPr>
      <w:r>
        <w:rPr/>
        <w:t>本年增加</w:t>
        <w:tab/>
        <w:t>本年减少</w:t>
      </w:r>
    </w:p>
    <w:p>
      <w:pPr>
        <w:pStyle w:val="BodyText"/>
        <w:spacing w:line="331" w:lineRule="exact"/>
        <w:ind w:left="5665" w:right="34"/>
        <w:jc w:val="left"/>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775" w:type="dxa"/>
        <w:tblLayout w:type="fixed"/>
        <w:tblCellMar>
          <w:top w:w="0" w:type="dxa"/>
          <w:left w:w="0" w:type="dxa"/>
          <w:bottom w:w="0" w:type="dxa"/>
          <w:right w:w="0" w:type="dxa"/>
        </w:tblCellMar>
        <w:tblLook w:val="01E0"/>
      </w:tblPr>
      <w:tblGrid>
        <w:gridCol w:w="2020"/>
        <w:gridCol w:w="1840"/>
        <w:gridCol w:w="241"/>
        <w:gridCol w:w="1386"/>
        <w:gridCol w:w="235"/>
        <w:gridCol w:w="1304"/>
        <w:gridCol w:w="238"/>
        <w:gridCol w:w="2033"/>
      </w:tblGrid>
      <w:tr>
        <w:trPr>
          <w:trHeight w:val="388"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9"/>
              <w:jc w:val="right"/>
              <w:rPr>
                <w:rFonts w:ascii="Arial" w:hAnsi="Arial" w:cs="Arial" w:eastAsia="Arial" w:hint="default"/>
                <w:sz w:val="24"/>
                <w:szCs w:val="24"/>
              </w:rPr>
            </w:pPr>
            <w:r>
              <w:rPr>
                <w:rFonts w:ascii="Arial"/>
                <w:spacing w:val="-4"/>
                <w:sz w:val="24"/>
              </w:rPr>
              <w:t>(6,511)</w:t>
            </w:r>
          </w:p>
        </w:tc>
        <w:tc>
          <w:tcPr>
            <w:tcW w:w="24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573" w:right="0"/>
              <w:jc w:val="left"/>
              <w:rPr>
                <w:rFonts w:ascii="Arial" w:hAnsi="Arial" w:cs="Arial" w:eastAsia="Arial" w:hint="default"/>
                <w:sz w:val="24"/>
                <w:szCs w:val="24"/>
              </w:rPr>
            </w:pPr>
            <w:r>
              <w:rPr>
                <w:rFonts w:ascii="Arial"/>
                <w:sz w:val="24"/>
              </w:rPr>
              <w:t>(1,532)</w:t>
            </w:r>
          </w:p>
        </w:tc>
        <w:tc>
          <w:tcPr>
            <w:tcW w:w="23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99"/>
              <w:jc w:val="right"/>
              <w:rPr>
                <w:rFonts w:ascii="Arial" w:hAnsi="Arial" w:cs="Arial" w:eastAsia="Arial" w:hint="default"/>
                <w:sz w:val="24"/>
                <w:szCs w:val="24"/>
              </w:rPr>
            </w:pPr>
            <w:r>
              <w:rPr>
                <w:rFonts w:ascii="Arial"/>
                <w:spacing w:val="-1"/>
                <w:w w:val="95"/>
                <w:sz w:val="24"/>
              </w:rPr>
              <w:t>24</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5"/>
              <w:jc w:val="right"/>
              <w:rPr>
                <w:rFonts w:ascii="Arial" w:hAnsi="Arial" w:cs="Arial" w:eastAsia="Arial" w:hint="default"/>
                <w:sz w:val="24"/>
                <w:szCs w:val="24"/>
              </w:rPr>
            </w:pPr>
            <w:r>
              <w:rPr>
                <w:rFonts w:ascii="Arial"/>
                <w:spacing w:val="-1"/>
                <w:w w:val="95"/>
                <w:sz w:val="24"/>
              </w:rPr>
              <w:t>(8,019)</w:t>
            </w:r>
            <w:r>
              <w:rPr>
                <w:rFonts w:ascii="Arial"/>
                <w:sz w:val="24"/>
              </w:rPr>
            </w:r>
          </w:p>
        </w:tc>
      </w:tr>
      <w:tr>
        <w:trPr>
          <w:trHeight w:val="296" w:hRule="exact"/>
        </w:trPr>
        <w:tc>
          <w:tcPr>
            <w:tcW w:w="2020"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107,844</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4"/>
                <w:sz w:val="24"/>
              </w:rPr>
              <w:t>110,127</w:t>
            </w:r>
            <w:r>
              <w:rPr>
                <w:rFonts w:ascii="Arial"/>
                <w:sz w:val="24"/>
              </w:rPr>
            </w:r>
          </w:p>
        </w:tc>
      </w:tr>
    </w:tbl>
    <w:p>
      <w:pPr>
        <w:spacing w:line="240" w:lineRule="auto" w:before="0"/>
        <w:rPr>
          <w:rFonts w:ascii="Arial" w:hAnsi="Arial" w:cs="Arial" w:eastAsia="Arial" w:hint="default"/>
          <w:sz w:val="17"/>
          <w:szCs w:val="17"/>
        </w:rPr>
      </w:pPr>
    </w:p>
    <w:p>
      <w:pPr>
        <w:pStyle w:val="BodyText"/>
        <w:spacing w:line="240" w:lineRule="auto" w:before="26"/>
        <w:ind w:left="810" w:right="34"/>
        <w:jc w:val="left"/>
      </w:pPr>
      <w:r>
        <w:rPr/>
        <w:t>应收账款账龄及相应的坏账准备分析如下：</w:t>
      </w:r>
    </w:p>
    <w:p>
      <w:pPr>
        <w:spacing w:line="240" w:lineRule="auto" w:before="4"/>
        <w:rPr>
          <w:rFonts w:ascii="宋体" w:hAnsi="宋体" w:cs="宋体" w:eastAsia="宋体" w:hint="default"/>
          <w:sz w:val="21"/>
          <w:szCs w:val="21"/>
        </w:rPr>
      </w:pPr>
    </w:p>
    <w:p>
      <w:pPr>
        <w:tabs>
          <w:tab w:pos="7225" w:val="left" w:leader="none"/>
        </w:tabs>
        <w:spacing w:before="0"/>
        <w:ind w:left="3174" w:right="34"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775" w:type="dxa"/>
        <w:tblLayout w:type="fixed"/>
        <w:tblCellMar>
          <w:top w:w="0" w:type="dxa"/>
          <w:left w:w="0" w:type="dxa"/>
          <w:bottom w:w="0" w:type="dxa"/>
          <w:right w:w="0" w:type="dxa"/>
        </w:tblCellMar>
        <w:tblLook w:val="01E0"/>
      </w:tblPr>
      <w:tblGrid>
        <w:gridCol w:w="1197"/>
        <w:gridCol w:w="1534"/>
        <w:gridCol w:w="926"/>
        <w:gridCol w:w="282"/>
        <w:gridCol w:w="1240"/>
        <w:gridCol w:w="236"/>
        <w:gridCol w:w="1399"/>
        <w:gridCol w:w="905"/>
        <w:gridCol w:w="235"/>
        <w:gridCol w:w="1343"/>
      </w:tblGrid>
      <w:tr>
        <w:trPr>
          <w:trHeight w:val="923" w:hRule="exact"/>
        </w:trPr>
        <w:tc>
          <w:tcPr>
            <w:tcW w:w="1197" w:type="dxa"/>
            <w:tcBorders>
              <w:top w:val="nil" w:sz="6" w:space="0" w:color="auto"/>
              <w:left w:val="nil" w:sz="6" w:space="0" w:color="auto"/>
              <w:bottom w:val="nil" w:sz="6" w:space="0" w:color="auto"/>
              <w:right w:val="nil" w:sz="6" w:space="0" w:color="auto"/>
            </w:tcBorders>
          </w:tcPr>
          <w:p>
            <w:pPr/>
          </w:p>
        </w:tc>
        <w:tc>
          <w:tcPr>
            <w:tcW w:w="1534" w:type="dxa"/>
            <w:tcBorders>
              <w:top w:val="single" w:sz="12" w:space="0" w:color="000000"/>
              <w:left w:val="nil" w:sz="6" w:space="0" w:color="auto"/>
              <w:bottom w:val="nil" w:sz="6" w:space="0" w:color="auto"/>
              <w:right w:val="nil" w:sz="6" w:space="0" w:color="auto"/>
            </w:tcBorders>
          </w:tcPr>
          <w:p>
            <w:pPr>
              <w:pStyle w:val="TableParagraph"/>
              <w:spacing w:line="241" w:lineRule="exact"/>
              <w:ind w:left="400" w:right="0" w:firstLine="546"/>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0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926" w:type="dxa"/>
            <w:tcBorders>
              <w:top w:val="single" w:sz="12" w:space="0" w:color="000000"/>
              <w:left w:val="nil" w:sz="6" w:space="0" w:color="auto"/>
              <w:bottom w:val="nil" w:sz="6" w:space="0" w:color="auto"/>
              <w:right w:val="nil" w:sz="6" w:space="0" w:color="auto"/>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4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82" w:type="dxa"/>
            <w:tcBorders>
              <w:top w:val="single" w:sz="12" w:space="0" w:color="000000"/>
              <w:left w:val="nil" w:sz="6" w:space="0" w:color="auto"/>
              <w:bottom w:val="nil" w:sz="6" w:space="0" w:color="auto"/>
              <w:right w:val="nil" w:sz="6" w:space="0" w:color="auto"/>
            </w:tcBorders>
          </w:tcPr>
          <w:p>
            <w:pPr/>
          </w:p>
        </w:tc>
        <w:tc>
          <w:tcPr>
            <w:tcW w:w="1240" w:type="dxa"/>
            <w:tcBorders>
              <w:top w:val="single" w:sz="12" w:space="0" w:color="000000"/>
              <w:left w:val="nil" w:sz="6" w:space="0" w:color="auto"/>
              <w:bottom w:val="nil" w:sz="6" w:space="0" w:color="auto"/>
              <w:right w:val="nil" w:sz="6" w:space="0" w:color="auto"/>
            </w:tcBorders>
          </w:tcPr>
          <w:p>
            <w:pPr>
              <w:pStyle w:val="TableParagraph"/>
              <w:spacing w:line="241" w:lineRule="exact"/>
              <w:ind w:left="173"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73"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single" w:sz="12" w:space="0" w:color="000000"/>
              <w:left w:val="nil" w:sz="6" w:space="0" w:color="auto"/>
              <w:bottom w:val="nil" w:sz="6" w:space="0" w:color="auto"/>
              <w:right w:val="nil" w:sz="6" w:space="0" w:color="auto"/>
            </w:tcBorders>
          </w:tcPr>
          <w:p>
            <w:pPr>
              <w:pStyle w:val="TableParagraph"/>
              <w:spacing w:line="241" w:lineRule="exact"/>
              <w:ind w:left="793"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86"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905" w:type="dxa"/>
            <w:tcBorders>
              <w:top w:val="single" w:sz="12" w:space="0" w:color="000000"/>
              <w:left w:val="nil" w:sz="6" w:space="0" w:color="auto"/>
              <w:bottom w:val="nil" w:sz="6" w:space="0" w:color="auto"/>
              <w:right w:val="nil" w:sz="6" w:space="0" w:color="auto"/>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43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35" w:type="dxa"/>
            <w:tcBorders>
              <w:top w:val="single" w:sz="12" w:space="0" w:color="000000"/>
              <w:left w:val="nil" w:sz="6" w:space="0" w:color="auto"/>
              <w:bottom w:val="nil" w:sz="6" w:space="0" w:color="auto"/>
              <w:right w:val="nil" w:sz="6" w:space="0" w:color="auto"/>
            </w:tcBorders>
          </w:tcPr>
          <w:p>
            <w:pPr/>
          </w:p>
        </w:tc>
        <w:tc>
          <w:tcPr>
            <w:tcW w:w="1343" w:type="dxa"/>
            <w:tcBorders>
              <w:top w:val="single" w:sz="12" w:space="0" w:color="000000"/>
              <w:left w:val="nil" w:sz="6" w:space="0" w:color="auto"/>
              <w:bottom w:val="nil" w:sz="6" w:space="0" w:color="auto"/>
              <w:right w:val="nil" w:sz="6" w:space="0" w:color="auto"/>
            </w:tcBorders>
          </w:tcPr>
          <w:p>
            <w:pPr>
              <w:pStyle w:val="TableParagraph"/>
              <w:spacing w:line="241" w:lineRule="exact"/>
              <w:ind w:left="212"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2"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r>
      <w:tr>
        <w:trPr>
          <w:trHeight w:val="391"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5"/>
              <w:jc w:val="right"/>
              <w:rPr>
                <w:rFonts w:ascii="Arial" w:hAnsi="Arial" w:cs="Arial" w:eastAsia="Arial" w:hint="default"/>
                <w:sz w:val="21"/>
                <w:szCs w:val="21"/>
              </w:rPr>
            </w:pPr>
            <w:r>
              <w:rPr>
                <w:rFonts w:ascii="Arial"/>
                <w:spacing w:val="-1"/>
                <w:w w:val="95"/>
                <w:sz w:val="21"/>
              </w:rPr>
              <w:t>104,545</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0"/>
              <w:jc w:val="right"/>
              <w:rPr>
                <w:rFonts w:ascii="Arial" w:hAnsi="Arial" w:cs="Arial" w:eastAsia="Arial" w:hint="default"/>
                <w:sz w:val="21"/>
                <w:szCs w:val="21"/>
              </w:rPr>
            </w:pPr>
            <w:r>
              <w:rPr>
                <w:rFonts w:ascii="Arial"/>
                <w:spacing w:val="-1"/>
                <w:w w:val="95"/>
                <w:sz w:val="21"/>
              </w:rPr>
              <w:t>88.5%</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w:hAnsi="Arial" w:cs="Arial" w:eastAsia="Arial" w:hint="default"/>
                <w:sz w:val="21"/>
                <w:szCs w:val="21"/>
              </w:rPr>
            </w:pPr>
            <w:r>
              <w:rPr>
                <w:rFonts w:ascii="Arial"/>
                <w:spacing w:val="-1"/>
                <w:w w:val="95"/>
                <w:sz w:val="21"/>
              </w:rPr>
              <w:t>(5,606)</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9"/>
              <w:jc w:val="right"/>
              <w:rPr>
                <w:rFonts w:ascii="Arial" w:hAnsi="Arial" w:cs="Arial" w:eastAsia="Arial" w:hint="default"/>
                <w:sz w:val="21"/>
                <w:szCs w:val="21"/>
              </w:rPr>
            </w:pPr>
            <w:r>
              <w:rPr>
                <w:rFonts w:ascii="Arial"/>
                <w:spacing w:val="-1"/>
                <w:sz w:val="21"/>
              </w:rPr>
              <w:t>107,930</w:t>
            </w:r>
            <w:r>
              <w:rPr>
                <w:rFonts w:ascii="Arial"/>
                <w:sz w:val="21"/>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21"/>
                <w:szCs w:val="21"/>
              </w:rPr>
            </w:pPr>
            <w:r>
              <w:rPr>
                <w:rFonts w:ascii="Arial"/>
                <w:spacing w:val="-1"/>
                <w:w w:val="95"/>
                <w:sz w:val="21"/>
              </w:rPr>
              <w:t>94.4%</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9"/>
              <w:jc w:val="right"/>
              <w:rPr>
                <w:rFonts w:ascii="Arial" w:hAnsi="Arial" w:cs="Arial" w:eastAsia="Arial" w:hint="default"/>
                <w:sz w:val="21"/>
                <w:szCs w:val="21"/>
              </w:rPr>
            </w:pPr>
            <w:r>
              <w:rPr>
                <w:rFonts w:ascii="Arial"/>
                <w:spacing w:val="-1"/>
                <w:w w:val="95"/>
                <w:sz w:val="21"/>
              </w:rPr>
              <w:t>(5,396)</w:t>
            </w:r>
            <w:r>
              <w:rPr>
                <w:rFonts w:ascii="Arial"/>
                <w:sz w:val="21"/>
              </w:rPr>
            </w:r>
          </w:p>
        </w:tc>
      </w:tr>
      <w:tr>
        <w:trPr>
          <w:trHeight w:val="273"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5"/>
              <w:jc w:val="right"/>
              <w:rPr>
                <w:rFonts w:ascii="Arial" w:hAnsi="Arial" w:cs="Arial" w:eastAsia="Arial" w:hint="default"/>
                <w:sz w:val="21"/>
                <w:szCs w:val="21"/>
              </w:rPr>
            </w:pPr>
            <w:r>
              <w:rPr>
                <w:rFonts w:ascii="Arial"/>
                <w:spacing w:val="-1"/>
                <w:w w:val="95"/>
                <w:sz w:val="21"/>
              </w:rPr>
              <w:t>9,318</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7.9%</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3"/>
              <w:jc w:val="right"/>
              <w:rPr>
                <w:rFonts w:ascii="Arial" w:hAnsi="Arial" w:cs="Arial" w:eastAsia="Arial" w:hint="default"/>
                <w:sz w:val="21"/>
                <w:szCs w:val="21"/>
              </w:rPr>
            </w:pPr>
            <w:r>
              <w:rPr>
                <w:rFonts w:ascii="Arial"/>
                <w:spacing w:val="-1"/>
                <w:w w:val="95"/>
                <w:sz w:val="21"/>
              </w:rPr>
              <w:t>(962)</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0"/>
              <w:jc w:val="right"/>
              <w:rPr>
                <w:rFonts w:ascii="Arial" w:hAnsi="Arial" w:cs="Arial" w:eastAsia="Arial" w:hint="default"/>
                <w:sz w:val="21"/>
                <w:szCs w:val="21"/>
              </w:rPr>
            </w:pPr>
            <w:r>
              <w:rPr>
                <w:rFonts w:ascii="Arial"/>
                <w:spacing w:val="-1"/>
                <w:w w:val="95"/>
                <w:sz w:val="21"/>
              </w:rPr>
              <w:t>4,048</w:t>
            </w:r>
            <w:r>
              <w:rPr>
                <w:rFonts w:ascii="Arial"/>
                <w:sz w:val="21"/>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3.5%</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(405)</w:t>
            </w:r>
            <w:r>
              <w:rPr>
                <w:rFonts w:ascii="Arial"/>
                <w:sz w:val="21"/>
              </w:rPr>
            </w:r>
          </w:p>
        </w:tc>
      </w:tr>
      <w:tr>
        <w:trPr>
          <w:trHeight w:val="273"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5"/>
              <w:jc w:val="right"/>
              <w:rPr>
                <w:rFonts w:ascii="Arial" w:hAnsi="Arial" w:cs="Arial" w:eastAsia="Arial" w:hint="default"/>
                <w:sz w:val="21"/>
                <w:szCs w:val="21"/>
              </w:rPr>
            </w:pPr>
            <w:r>
              <w:rPr>
                <w:rFonts w:ascii="Arial"/>
                <w:spacing w:val="-1"/>
                <w:w w:val="95"/>
                <w:sz w:val="21"/>
              </w:rPr>
              <w:t>2,227</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1.9%</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
              <w:jc w:val="right"/>
              <w:rPr>
                <w:rFonts w:ascii="Arial" w:hAnsi="Arial" w:cs="Arial" w:eastAsia="Arial" w:hint="default"/>
                <w:sz w:val="21"/>
                <w:szCs w:val="21"/>
              </w:rPr>
            </w:pPr>
            <w:r>
              <w:rPr>
                <w:rFonts w:ascii="Arial"/>
                <w:spacing w:val="-1"/>
                <w:w w:val="95"/>
                <w:sz w:val="21"/>
              </w:rPr>
              <w:t>(445)</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0"/>
              <w:jc w:val="right"/>
              <w:rPr>
                <w:rFonts w:ascii="Arial" w:hAnsi="Arial" w:cs="Arial" w:eastAsia="Arial" w:hint="default"/>
                <w:sz w:val="21"/>
                <w:szCs w:val="21"/>
              </w:rPr>
            </w:pPr>
            <w:r>
              <w:rPr>
                <w:rFonts w:ascii="Arial"/>
                <w:spacing w:val="-1"/>
                <w:w w:val="95"/>
                <w:sz w:val="21"/>
              </w:rPr>
              <w:t>1,352</w:t>
            </w:r>
            <w:r>
              <w:rPr>
                <w:rFonts w:ascii="Arial"/>
                <w:sz w:val="21"/>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1.2%</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(270)</w:t>
            </w:r>
            <w:r>
              <w:rPr>
                <w:rFonts w:ascii="Arial"/>
                <w:sz w:val="21"/>
              </w:rPr>
            </w:r>
          </w:p>
        </w:tc>
      </w:tr>
      <w:tr>
        <w:trPr>
          <w:trHeight w:val="273"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5"/>
              <w:jc w:val="right"/>
              <w:rPr>
                <w:rFonts w:ascii="Arial" w:hAnsi="Arial" w:cs="Arial" w:eastAsia="Arial" w:hint="default"/>
                <w:sz w:val="21"/>
                <w:szCs w:val="21"/>
              </w:rPr>
            </w:pPr>
            <w:r>
              <w:rPr>
                <w:rFonts w:ascii="Arial"/>
                <w:spacing w:val="-1"/>
                <w:w w:val="95"/>
                <w:sz w:val="21"/>
              </w:rPr>
              <w:t>1,140</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1.0%</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3"/>
              <w:jc w:val="right"/>
              <w:rPr>
                <w:rFonts w:ascii="Arial" w:hAnsi="Arial" w:cs="Arial" w:eastAsia="Arial" w:hint="default"/>
                <w:sz w:val="21"/>
                <w:szCs w:val="21"/>
              </w:rPr>
            </w:pPr>
            <w:r>
              <w:rPr>
                <w:rFonts w:ascii="Arial"/>
                <w:spacing w:val="-1"/>
                <w:w w:val="95"/>
                <w:sz w:val="21"/>
              </w:rPr>
              <w:t>(359)</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0"/>
              <w:jc w:val="right"/>
              <w:rPr>
                <w:rFonts w:ascii="Arial" w:hAnsi="Arial" w:cs="Arial" w:eastAsia="Arial" w:hint="default"/>
                <w:sz w:val="21"/>
                <w:szCs w:val="21"/>
              </w:rPr>
            </w:pPr>
            <w:r>
              <w:rPr>
                <w:rFonts w:ascii="Arial"/>
                <w:spacing w:val="-1"/>
                <w:w w:val="95"/>
                <w:sz w:val="21"/>
              </w:rPr>
              <w:t>683</w:t>
            </w:r>
            <w:r>
              <w:rPr>
                <w:rFonts w:ascii="Arial"/>
                <w:sz w:val="21"/>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0.6%</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(205)</w:t>
            </w:r>
            <w:r>
              <w:rPr>
                <w:rFonts w:ascii="Arial"/>
                <w:sz w:val="21"/>
              </w:rPr>
            </w:r>
          </w:p>
        </w:tc>
      </w:tr>
      <w:tr>
        <w:trPr>
          <w:trHeight w:val="273"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5"/>
              <w:jc w:val="right"/>
              <w:rPr>
                <w:rFonts w:ascii="Arial" w:hAnsi="Arial" w:cs="Arial" w:eastAsia="Arial" w:hint="default"/>
                <w:sz w:val="21"/>
                <w:szCs w:val="21"/>
              </w:rPr>
            </w:pPr>
            <w:r>
              <w:rPr>
                <w:rFonts w:ascii="Arial"/>
                <w:spacing w:val="-1"/>
                <w:w w:val="95"/>
                <w:sz w:val="21"/>
              </w:rPr>
              <w:t>673</w:t>
            </w:r>
            <w:r>
              <w:rPr>
                <w:rFonts w:ascii="Arial"/>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0.6%</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
              <w:jc w:val="right"/>
              <w:rPr>
                <w:rFonts w:ascii="Arial" w:hAnsi="Arial" w:cs="Arial" w:eastAsia="Arial" w:hint="default"/>
                <w:sz w:val="21"/>
                <w:szCs w:val="21"/>
              </w:rPr>
            </w:pPr>
            <w:r>
              <w:rPr>
                <w:rFonts w:ascii="Arial"/>
                <w:spacing w:val="-1"/>
                <w:w w:val="95"/>
                <w:sz w:val="21"/>
              </w:rPr>
              <w:t>(404)</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0"/>
              <w:jc w:val="right"/>
              <w:rPr>
                <w:rFonts w:ascii="Arial" w:hAnsi="Arial" w:cs="Arial" w:eastAsia="Arial" w:hint="default"/>
                <w:sz w:val="21"/>
                <w:szCs w:val="21"/>
              </w:rPr>
            </w:pPr>
            <w:r>
              <w:rPr>
                <w:rFonts w:ascii="Arial"/>
                <w:spacing w:val="-1"/>
                <w:w w:val="95"/>
                <w:sz w:val="21"/>
              </w:rPr>
              <w:t>268</w:t>
            </w:r>
            <w:r>
              <w:rPr>
                <w:rFonts w:ascii="Arial"/>
                <w:sz w:val="21"/>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0.2%</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(161)</w:t>
            </w:r>
            <w:r>
              <w:rPr>
                <w:rFonts w:ascii="Arial"/>
                <w:sz w:val="21"/>
              </w:rPr>
            </w:r>
          </w:p>
        </w:tc>
      </w:tr>
      <w:tr>
        <w:trPr>
          <w:trHeight w:val="281"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5"/>
              <w:jc w:val="right"/>
              <w:rPr>
                <w:rFonts w:ascii="Arial" w:hAnsi="Arial" w:cs="Arial" w:eastAsia="Arial" w:hint="default"/>
                <w:sz w:val="21"/>
                <w:szCs w:val="21"/>
              </w:rPr>
            </w:pPr>
            <w:r>
              <w:rPr>
                <w:rFonts w:ascii="Arial"/>
                <w:spacing w:val="-1"/>
                <w:w w:val="95"/>
                <w:sz w:val="21"/>
              </w:rPr>
              <w:t>243</w:t>
            </w:r>
            <w:r>
              <w:rPr>
                <w:rFonts w:ascii="Arial"/>
                <w:sz w:val="21"/>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0.1%</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53"/>
              <w:jc w:val="right"/>
              <w:rPr>
                <w:rFonts w:ascii="Arial" w:hAnsi="Arial" w:cs="Arial" w:eastAsia="Arial" w:hint="default"/>
                <w:sz w:val="21"/>
                <w:szCs w:val="21"/>
              </w:rPr>
            </w:pPr>
            <w:r>
              <w:rPr>
                <w:rFonts w:ascii="Arial"/>
                <w:spacing w:val="-1"/>
                <w:w w:val="95"/>
                <w:sz w:val="21"/>
              </w:rPr>
              <w:t>(243)</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9"/>
              <w:jc w:val="right"/>
              <w:rPr>
                <w:rFonts w:ascii="Arial" w:hAnsi="Arial" w:cs="Arial" w:eastAsia="Arial" w:hint="default"/>
                <w:sz w:val="21"/>
                <w:szCs w:val="21"/>
              </w:rPr>
            </w:pPr>
            <w:r>
              <w:rPr>
                <w:rFonts w:ascii="Arial"/>
                <w:spacing w:val="-1"/>
                <w:w w:val="95"/>
                <w:sz w:val="21"/>
              </w:rPr>
              <w:t>74</w:t>
            </w:r>
            <w:r>
              <w:rPr>
                <w:rFonts w:ascii="Arial"/>
                <w:sz w:val="21"/>
              </w:rPr>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0.1%</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(74)</w:t>
            </w:r>
            <w:r>
              <w:rPr>
                <w:rFonts w:ascii="Arial"/>
                <w:sz w:val="21"/>
              </w:rPr>
            </w:r>
          </w:p>
        </w:tc>
      </w:tr>
      <w:tr>
        <w:trPr>
          <w:trHeight w:val="261" w:hRule="exact"/>
        </w:trPr>
        <w:tc>
          <w:tcPr>
            <w:tcW w:w="1197" w:type="dxa"/>
            <w:tcBorders>
              <w:top w:val="nil" w:sz="6" w:space="0" w:color="auto"/>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65"/>
              <w:jc w:val="right"/>
              <w:rPr>
                <w:rFonts w:ascii="Arial" w:hAnsi="Arial" w:cs="Arial" w:eastAsia="Arial" w:hint="default"/>
                <w:sz w:val="21"/>
                <w:szCs w:val="21"/>
              </w:rPr>
            </w:pPr>
            <w:r>
              <w:rPr>
                <w:rFonts w:ascii="Arial"/>
                <w:spacing w:val="-4"/>
                <w:sz w:val="21"/>
              </w:rPr>
              <w:t>118,146</w:t>
            </w:r>
            <w:r>
              <w:rPr>
                <w:rFonts w:ascii="Arial"/>
                <w:sz w:val="21"/>
              </w:rPr>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100.0%</w:t>
            </w:r>
            <w:r>
              <w:rPr>
                <w:rFonts w:ascii="Arial"/>
                <w:sz w:val="21"/>
              </w:rPr>
            </w:r>
          </w:p>
        </w:tc>
        <w:tc>
          <w:tcPr>
            <w:tcW w:w="282"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53"/>
              <w:jc w:val="right"/>
              <w:rPr>
                <w:rFonts w:ascii="Arial" w:hAnsi="Arial" w:cs="Arial" w:eastAsia="Arial" w:hint="default"/>
                <w:sz w:val="21"/>
                <w:szCs w:val="21"/>
              </w:rPr>
            </w:pPr>
            <w:r>
              <w:rPr>
                <w:rFonts w:ascii="Arial"/>
                <w:spacing w:val="-1"/>
                <w:w w:val="95"/>
                <w:sz w:val="21"/>
              </w:rPr>
              <w:t>(8,019)</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50"/>
              <w:jc w:val="right"/>
              <w:rPr>
                <w:rFonts w:ascii="Arial" w:hAnsi="Arial" w:cs="Arial" w:eastAsia="Arial" w:hint="default"/>
                <w:sz w:val="21"/>
                <w:szCs w:val="21"/>
              </w:rPr>
            </w:pPr>
            <w:r>
              <w:rPr>
                <w:rFonts w:ascii="Arial"/>
                <w:spacing w:val="-4"/>
                <w:sz w:val="21"/>
              </w:rPr>
              <w:t>114,355</w:t>
            </w:r>
            <w:r>
              <w:rPr>
                <w:rFonts w:ascii="Arial"/>
                <w:sz w:val="21"/>
              </w:rPr>
            </w:r>
          </w:p>
        </w:tc>
        <w:tc>
          <w:tcPr>
            <w:tcW w:w="90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100.0%</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49"/>
              <w:jc w:val="right"/>
              <w:rPr>
                <w:rFonts w:ascii="Arial" w:hAnsi="Arial" w:cs="Arial" w:eastAsia="Arial" w:hint="default"/>
                <w:sz w:val="21"/>
                <w:szCs w:val="21"/>
              </w:rPr>
            </w:pPr>
            <w:r>
              <w:rPr>
                <w:rFonts w:ascii="Arial"/>
                <w:spacing w:val="-3"/>
                <w:w w:val="95"/>
                <w:sz w:val="21"/>
              </w:rPr>
              <w:t>(6,511)</w:t>
            </w:r>
            <w:r>
              <w:rPr>
                <w:rFonts w:ascii="Arial"/>
                <w:spacing w:val="-3"/>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12" w:lineRule="exact"/>
        <w:ind w:left="811" w:right="259"/>
        <w:jc w:val="left"/>
      </w:pPr>
      <w:r>
        <w:rPr/>
        <w:t>于</w:t>
      </w:r>
      <w:r>
        <w:rPr>
          <w:spacing w:val="-60"/>
        </w:rPr>
        <w:t> </w:t>
      </w:r>
      <w:r>
        <w:rPr>
          <w:rFonts w:ascii="Arial" w:hAnsi="Arial" w:cs="Arial" w:eastAsia="Arial" w:hint="default"/>
        </w:rPr>
        <w:t>2008</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日及</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日，应收账款余额无单项金额重大或单项金 额不重大，但组合后信用风险重大的余额。</w:t>
      </w:r>
    </w:p>
    <w:p>
      <w:pPr>
        <w:spacing w:after="0" w:line="312" w:lineRule="exact"/>
        <w:jc w:val="left"/>
        <w:sectPr>
          <w:type w:val="continuous"/>
          <w:pgSz w:w="11910" w:h="16840"/>
          <w:pgMar w:top="1600" w:bottom="280" w:left="940" w:right="780"/>
        </w:sectPr>
      </w:pPr>
    </w:p>
    <w:p>
      <w:pPr>
        <w:spacing w:line="240" w:lineRule="auto" w:before="7"/>
        <w:rPr>
          <w:rFonts w:ascii="宋体" w:hAnsi="宋体" w:cs="宋体" w:eastAsia="宋体" w:hint="default"/>
          <w:sz w:val="24"/>
          <w:szCs w:val="24"/>
        </w:rPr>
      </w:pPr>
    </w:p>
    <w:p>
      <w:pPr>
        <w:pStyle w:val="Heading2"/>
        <w:tabs>
          <w:tab w:pos="791" w:val="left" w:leader="none"/>
        </w:tabs>
        <w:spacing w:line="240" w:lineRule="auto"/>
        <w:ind w:right="96"/>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809" w:val="left" w:leader="none"/>
        </w:tabs>
        <w:spacing w:line="240" w:lineRule="auto" w:before="0"/>
        <w:ind w:right="96"/>
        <w:jc w:val="left"/>
        <w:rPr>
          <w:rFonts w:ascii="Arial" w:hAnsi="Arial" w:cs="Arial" w:eastAsia="Arial" w:hint="default"/>
          <w:b w:val="0"/>
          <w:bCs w:val="0"/>
        </w:rPr>
      </w:pPr>
      <w:r>
        <w:rPr>
          <w:rFonts w:ascii="Arial" w:hAnsi="Arial" w:cs="Arial" w:eastAsia="Arial" w:hint="default"/>
          <w:b w:val="0"/>
          <w:bCs w:val="0"/>
          <w:w w:val="95"/>
          <w:position w:val="2"/>
        </w:rPr>
        <w:t>(3)</w:t>
        <w:tab/>
      </w:r>
      <w:r>
        <w:rPr/>
        <w:t>应收账款、其他应收款及长期应收款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09" w:val="left" w:leader="none"/>
        </w:tabs>
        <w:spacing w:line="240" w:lineRule="auto"/>
        <w:ind w:left="102" w:right="96"/>
        <w:jc w:val="left"/>
        <w:rPr>
          <w:rFonts w:ascii="Arial" w:hAnsi="Arial" w:cs="Arial" w:eastAsia="Arial" w:hint="default"/>
        </w:rPr>
      </w:pPr>
      <w:r>
        <w:rPr>
          <w:rFonts w:ascii="Arial" w:hAnsi="Arial" w:cs="Arial" w:eastAsia="Arial" w:hint="default"/>
          <w:w w:val="95"/>
          <w:position w:val="2"/>
        </w:rPr>
        <w:t>(a)</w:t>
        <w:tab/>
      </w:r>
      <w:r>
        <w:rPr/>
        <w:t>应收账款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09" w:right="96"/>
        <w:jc w:val="left"/>
        <w:rPr>
          <w:rFonts w:ascii="Arial" w:hAnsi="Arial" w:cs="Arial" w:eastAsia="Arial" w:hint="default"/>
        </w:rPr>
      </w:pPr>
      <w:r>
        <w:rPr/>
        <w:t>于</w:t>
      </w:r>
      <w:r>
        <w:rPr>
          <w:spacing w:val="-62"/>
        </w:rPr>
        <w:t> </w:t>
      </w:r>
      <w:r>
        <w:rPr>
          <w:rFonts w:ascii="Arial" w:hAnsi="Arial" w:cs="Arial" w:eastAsia="Arial" w:hint="default"/>
        </w:rPr>
        <w:t>2008</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日及</w:t>
      </w:r>
      <w:r>
        <w:rPr>
          <w:spacing w:val="-62"/>
        </w:rPr>
        <w:t> </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日，应收账款中无持有本公司</w:t>
      </w:r>
      <w:r>
        <w:rPr>
          <w:spacing w:val="-63"/>
        </w:rPr>
        <w:t> </w:t>
      </w:r>
      <w:r>
        <w:rPr>
          <w:rFonts w:ascii="Arial" w:hAnsi="Arial" w:cs="Arial" w:eastAsia="Arial" w:hint="default"/>
        </w:rPr>
        <w:t>5%(</w:t>
      </w:r>
      <w:r>
        <w:rPr/>
        <w:t>含</w:t>
      </w:r>
      <w:r>
        <w:rPr>
          <w:spacing w:val="-62"/>
        </w:rPr>
        <w:t> </w:t>
      </w:r>
      <w:r>
        <w:rPr>
          <w:rFonts w:ascii="Arial" w:hAnsi="Arial" w:cs="Arial" w:eastAsia="Arial" w:hint="default"/>
        </w:rPr>
        <w:t>5%)</w:t>
      </w:r>
    </w:p>
    <w:p>
      <w:pPr>
        <w:pStyle w:val="BodyText"/>
        <w:spacing w:line="304" w:lineRule="exact"/>
        <w:ind w:left="809" w:right="96"/>
        <w:jc w:val="left"/>
      </w:pPr>
      <w:r>
        <w:rPr/>
        <w:t>以上表决权股份的股东的欠款。</w:t>
      </w:r>
    </w:p>
    <w:p>
      <w:pPr>
        <w:spacing w:line="240" w:lineRule="auto" w:before="12"/>
        <w:rPr>
          <w:rFonts w:ascii="宋体" w:hAnsi="宋体" w:cs="宋体" w:eastAsia="宋体" w:hint="default"/>
          <w:sz w:val="20"/>
          <w:szCs w:val="20"/>
        </w:rPr>
      </w:pPr>
    </w:p>
    <w:p>
      <w:pPr>
        <w:pStyle w:val="BodyText"/>
        <w:spacing w:line="322" w:lineRule="exact"/>
        <w:ind w:left="809" w:right="96"/>
        <w:jc w:val="left"/>
      </w:pPr>
      <w:r>
        <w:rPr/>
        <w:t>于</w:t>
      </w:r>
      <w:r>
        <w:rPr>
          <w:spacing w:val="-63"/>
        </w:rPr>
        <w:t> </w:t>
      </w:r>
      <w:r>
        <w:rPr>
          <w:rFonts w:ascii="Arial" w:hAnsi="Arial" w:cs="Arial" w:eastAsia="Arial" w:hint="default"/>
        </w:rPr>
        <w:t>2008</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日，应收账款前五名债务人欠款金额合计约为人民币</w:t>
      </w:r>
      <w:r>
        <w:rPr>
          <w:spacing w:val="-64"/>
        </w:rPr>
        <w:t> </w:t>
      </w:r>
      <w:r>
        <w:rPr>
          <w:rFonts w:ascii="Arial" w:hAnsi="Arial" w:cs="Arial" w:eastAsia="Arial" w:hint="default"/>
        </w:rPr>
        <w:t>2,081</w:t>
      </w:r>
      <w:r>
        <w:rPr>
          <w:rFonts w:ascii="Arial" w:hAnsi="Arial" w:cs="Arial" w:eastAsia="Arial" w:hint="default"/>
          <w:spacing w:val="-10"/>
        </w:rPr>
        <w:t> </w:t>
      </w:r>
      <w:r>
        <w:rPr/>
        <w:t>万元</w:t>
      </w:r>
    </w:p>
    <w:p>
      <w:pPr>
        <w:pStyle w:val="BodyText"/>
        <w:spacing w:line="312" w:lineRule="exact"/>
        <w:ind w:left="809" w:right="96"/>
        <w:jc w:val="left"/>
      </w:pPr>
      <w:r>
        <w:rPr>
          <w:rFonts w:ascii="Arial" w:hAnsi="Arial" w:cs="Arial" w:eastAsia="Arial" w:hint="default"/>
        </w:rPr>
        <w:t>(2007</w:t>
      </w:r>
      <w:r>
        <w:rPr>
          <w:rFonts w:ascii="Arial" w:hAnsi="Arial" w:cs="Arial" w:eastAsia="Arial" w:hint="default"/>
          <w:spacing w:val="-11"/>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spacing w:val="-3"/>
        </w:rPr>
        <w:t>日：约人民币</w:t>
      </w:r>
      <w:r>
        <w:rPr>
          <w:spacing w:val="-65"/>
        </w:rPr>
        <w:t> </w:t>
      </w:r>
      <w:r>
        <w:rPr>
          <w:rFonts w:ascii="Arial" w:hAnsi="Arial" w:cs="Arial" w:eastAsia="Arial" w:hint="default"/>
        </w:rPr>
        <w:t>2,557</w:t>
      </w:r>
      <w:r>
        <w:rPr>
          <w:rFonts w:ascii="Arial" w:hAnsi="Arial" w:cs="Arial" w:eastAsia="Arial" w:hint="default"/>
          <w:spacing w:val="-11"/>
        </w:rPr>
        <w:t> </w:t>
      </w:r>
      <w:r>
        <w:rPr/>
        <w:t>万元</w:t>
      </w:r>
      <w:r>
        <w:rPr>
          <w:rFonts w:ascii="Arial" w:hAnsi="Arial" w:cs="Arial" w:eastAsia="Arial" w:hint="default"/>
        </w:rPr>
        <w:t>)</w:t>
      </w:r>
      <w:r>
        <w:rPr/>
        <w:t>，占应收账款总额的</w:t>
      </w:r>
      <w:r>
        <w:rPr>
          <w:spacing w:val="-65"/>
        </w:rPr>
        <w:t> </w:t>
      </w:r>
      <w:r>
        <w:rPr>
          <w:rFonts w:ascii="Arial" w:hAnsi="Arial" w:cs="Arial" w:eastAsia="Arial" w:hint="default"/>
        </w:rPr>
        <w:t>18%(2007</w:t>
      </w:r>
      <w:r>
        <w:rPr>
          <w:rFonts w:ascii="Arial" w:hAnsi="Arial" w:cs="Arial" w:eastAsia="Arial" w:hint="default"/>
          <w:spacing w:val="-11"/>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p>
    <w:p>
      <w:pPr>
        <w:pStyle w:val="BodyText"/>
        <w:spacing w:line="312" w:lineRule="exact" w:before="21"/>
        <w:ind w:left="809" w:right="213"/>
        <w:jc w:val="left"/>
      </w:pP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22%)</w:t>
      </w:r>
      <w:r>
        <w:rPr/>
        <w:t>，其中约人民币</w:t>
      </w:r>
      <w:r>
        <w:rPr>
          <w:spacing w:val="-61"/>
        </w:rPr>
        <w:t> </w:t>
      </w:r>
      <w:r>
        <w:rPr>
          <w:rFonts w:ascii="Arial" w:hAnsi="Arial" w:cs="Arial" w:eastAsia="Arial" w:hint="default"/>
        </w:rPr>
        <w:t>1,499</w:t>
      </w:r>
      <w:r>
        <w:rPr>
          <w:rFonts w:ascii="Arial" w:hAnsi="Arial" w:cs="Arial" w:eastAsia="Arial" w:hint="default"/>
          <w:spacing w:val="-8"/>
        </w:rPr>
        <w:t> </w:t>
      </w:r>
      <w:r>
        <w:rPr/>
        <w:t>万元账龄为一年以内，约人民币</w:t>
      </w:r>
      <w:r>
        <w:rPr>
          <w:spacing w:val="-61"/>
        </w:rPr>
        <w:t> </w:t>
      </w:r>
      <w:r>
        <w:rPr>
          <w:rFonts w:ascii="Arial" w:hAnsi="Arial" w:cs="Arial" w:eastAsia="Arial" w:hint="default"/>
        </w:rPr>
        <w:t>582</w:t>
      </w:r>
      <w:r>
        <w:rPr>
          <w:rFonts w:ascii="Arial" w:hAnsi="Arial" w:cs="Arial" w:eastAsia="Arial" w:hint="default"/>
          <w:spacing w:val="-8"/>
        </w:rPr>
        <w:t> </w:t>
      </w:r>
      <w:r>
        <w:rPr/>
        <w:t>万元账龄为 一到二年。</w:t>
      </w:r>
    </w:p>
    <w:p>
      <w:pPr>
        <w:spacing w:line="240" w:lineRule="auto" w:before="10"/>
        <w:rPr>
          <w:rFonts w:ascii="宋体" w:hAnsi="宋体" w:cs="宋体" w:eastAsia="宋体" w:hint="default"/>
          <w:sz w:val="18"/>
          <w:szCs w:val="18"/>
        </w:rPr>
      </w:pPr>
    </w:p>
    <w:p>
      <w:pPr>
        <w:pStyle w:val="BodyText"/>
        <w:spacing w:line="240" w:lineRule="auto"/>
        <w:ind w:left="809" w:right="96"/>
        <w:jc w:val="left"/>
      </w:pPr>
      <w:r>
        <w:rPr/>
        <w:t>本集团的应收账款均为人民币余额。</w:t>
      </w:r>
    </w:p>
    <w:p>
      <w:pPr>
        <w:spacing w:line="240" w:lineRule="auto" w:before="12"/>
        <w:rPr>
          <w:rFonts w:ascii="宋体" w:hAnsi="宋体" w:cs="宋体" w:eastAsia="宋体" w:hint="default"/>
          <w:sz w:val="20"/>
          <w:szCs w:val="20"/>
        </w:rPr>
      </w:pPr>
    </w:p>
    <w:p>
      <w:pPr>
        <w:pStyle w:val="BodyText"/>
        <w:tabs>
          <w:tab w:pos="791" w:val="left" w:leader="none"/>
        </w:tabs>
        <w:spacing w:line="240" w:lineRule="auto"/>
        <w:ind w:left="102" w:right="96"/>
        <w:jc w:val="left"/>
      </w:pPr>
      <w:r>
        <w:rPr>
          <w:rFonts w:ascii="Arial" w:hAnsi="Arial" w:cs="Arial" w:eastAsia="Arial" w:hint="default"/>
          <w:w w:val="95"/>
          <w:position w:val="2"/>
        </w:rPr>
        <w:t>(b)</w:t>
        <w:tab/>
      </w:r>
      <w:r>
        <w:rPr/>
        <w:t>其他应收款及长期应收款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26" w:footer="894" w:top="1100" w:bottom="1080" w:left="940" w:right="1080"/>
        </w:sectPr>
      </w:pPr>
    </w:p>
    <w:p>
      <w:pPr>
        <w:pStyle w:val="BodyText"/>
        <w:spacing w:line="322" w:lineRule="exact" w:before="26"/>
        <w:ind w:left="0" w:right="0"/>
        <w:jc w:val="right"/>
      </w:pP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75"/>
        <w:jc w:val="righ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0" w:right="276"/>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940" w:right="1080"/>
          <w:cols w:num="2" w:equalWidth="0">
            <w:col w:w="4567" w:space="473"/>
            <w:col w:w="4850"/>
          </w:cols>
        </w:sectPr>
      </w:pPr>
    </w:p>
    <w:p>
      <w:pPr>
        <w:pStyle w:val="BodyText"/>
        <w:tabs>
          <w:tab w:pos="8090" w:val="left" w:leader="none"/>
        </w:tabs>
        <w:spacing w:line="312" w:lineRule="exact"/>
        <w:ind w:left="3046"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3792" w:val="left" w:leader="none"/>
          <w:tab w:pos="8711" w:val="left" w:leader="none"/>
        </w:tabs>
        <w:spacing w:line="313" w:lineRule="exact"/>
        <w:ind w:left="809" w:right="96"/>
        <w:jc w:val="left"/>
        <w:rPr>
          <w:rFonts w:ascii="Arial" w:hAnsi="Arial" w:cs="Arial" w:eastAsia="Arial" w:hint="default"/>
        </w:rPr>
      </w:pPr>
      <w:r>
        <w:rPr/>
        <w:t>押金及保证金</w:t>
        <w:tab/>
      </w:r>
      <w:r>
        <w:rPr>
          <w:rFonts w:ascii="Arial" w:hAnsi="Arial" w:cs="Arial" w:eastAsia="Arial" w:hint="default"/>
          <w:spacing w:val="-1"/>
          <w:position w:val="2"/>
        </w:rPr>
        <w:t>65,070</w:t>
        <w:tab/>
        <w:t>122,226</w:t>
      </w:r>
      <w:r>
        <w:rPr>
          <w:rFonts w:ascii="Arial" w:hAnsi="Arial" w:cs="Arial" w:eastAsia="Arial" w:hint="default"/>
        </w:rPr>
      </w:r>
    </w:p>
    <w:p>
      <w:pPr>
        <w:pStyle w:val="BodyText"/>
        <w:tabs>
          <w:tab w:pos="3810" w:val="left" w:leader="none"/>
          <w:tab w:pos="8977" w:val="left" w:leader="none"/>
        </w:tabs>
        <w:spacing w:line="312" w:lineRule="exact"/>
        <w:ind w:left="809" w:right="96"/>
        <w:jc w:val="left"/>
        <w:rPr>
          <w:rFonts w:ascii="Arial" w:hAnsi="Arial" w:cs="Arial" w:eastAsia="Arial" w:hint="default"/>
        </w:rPr>
      </w:pPr>
      <w:r>
        <w:rPr/>
        <w:t>员工借款</w:t>
        <w:tab/>
      </w:r>
      <w:r>
        <w:rPr>
          <w:rFonts w:ascii="Arial" w:hAnsi="Arial" w:cs="Arial" w:eastAsia="Arial" w:hint="default"/>
          <w:spacing w:val="-4"/>
          <w:position w:val="2"/>
        </w:rPr>
        <w:t>11,793</w:t>
        <w:tab/>
      </w:r>
      <w:r>
        <w:rPr>
          <w:rFonts w:ascii="Arial" w:hAnsi="Arial" w:cs="Arial" w:eastAsia="Arial" w:hint="default"/>
          <w:position w:val="2"/>
        </w:rPr>
        <w:t>9,247</w:t>
      </w:r>
      <w:r>
        <w:rPr>
          <w:rFonts w:ascii="Arial" w:hAnsi="Arial" w:cs="Arial" w:eastAsia="Arial" w:hint="default"/>
        </w:rPr>
      </w:r>
    </w:p>
    <w:p>
      <w:pPr>
        <w:pStyle w:val="BodyText"/>
        <w:tabs>
          <w:tab w:pos="3943" w:val="left" w:leader="none"/>
          <w:tab w:pos="8977" w:val="left" w:leader="none"/>
        </w:tabs>
        <w:spacing w:line="312" w:lineRule="exact"/>
        <w:ind w:left="809" w:right="96"/>
        <w:jc w:val="left"/>
        <w:rPr>
          <w:rFonts w:ascii="Arial" w:hAnsi="Arial" w:cs="Arial" w:eastAsia="Arial" w:hint="default"/>
        </w:rPr>
      </w:pPr>
      <w:r>
        <w:rPr/>
        <w:t>代垫水电费</w:t>
        <w:tab/>
      </w:r>
      <w:r>
        <w:rPr>
          <w:rFonts w:ascii="Arial" w:hAnsi="Arial" w:cs="Arial" w:eastAsia="Arial" w:hint="default"/>
          <w:spacing w:val="-5"/>
          <w:position w:val="2"/>
        </w:rPr>
        <w:t>2,811</w:t>
        <w:tab/>
      </w:r>
      <w:r>
        <w:rPr>
          <w:rFonts w:ascii="Arial" w:hAnsi="Arial" w:cs="Arial" w:eastAsia="Arial" w:hint="default"/>
          <w:position w:val="2"/>
        </w:rPr>
        <w:t>6,463</w:t>
      </w:r>
      <w:r>
        <w:rPr>
          <w:rFonts w:ascii="Arial" w:hAnsi="Arial" w:cs="Arial" w:eastAsia="Arial" w:hint="default"/>
        </w:rPr>
      </w:r>
    </w:p>
    <w:p>
      <w:pPr>
        <w:pStyle w:val="BodyText"/>
        <w:tabs>
          <w:tab w:pos="3792" w:val="left" w:leader="none"/>
          <w:tab w:pos="8844" w:val="left" w:leader="none"/>
        </w:tabs>
        <w:spacing w:line="313" w:lineRule="exact"/>
        <w:ind w:left="809" w:right="96"/>
        <w:jc w:val="left"/>
        <w:rPr>
          <w:rFonts w:ascii="Arial" w:hAnsi="Arial" w:cs="Arial" w:eastAsia="Arial" w:hint="default"/>
        </w:rPr>
      </w:pPr>
      <w:r>
        <w:rPr/>
        <w:t>其它</w:t>
        <w:tab/>
      </w:r>
      <w:r>
        <w:rPr>
          <w:rFonts w:ascii="Arial" w:hAnsi="Arial" w:cs="Arial" w:eastAsia="Arial" w:hint="default"/>
          <w:spacing w:val="-1"/>
          <w:position w:val="2"/>
        </w:rPr>
        <w:t>21,264</w:t>
        <w:tab/>
        <w:t>40,779</w:t>
      </w:r>
      <w:r>
        <w:rPr>
          <w:rFonts w:ascii="Arial" w:hAnsi="Arial" w:cs="Arial" w:eastAsia="Arial" w:hint="default"/>
        </w:rPr>
      </w:r>
    </w:p>
    <w:p>
      <w:pPr>
        <w:spacing w:line="240" w:lineRule="auto" w:before="3"/>
        <w:rPr>
          <w:rFonts w:ascii="Arial" w:hAnsi="Arial" w:cs="Arial" w:eastAsia="Arial" w:hint="default"/>
          <w:sz w:val="3"/>
          <w:szCs w:val="3"/>
        </w:rPr>
      </w:pPr>
    </w:p>
    <w:p>
      <w:pPr>
        <w:tabs>
          <w:tab w:pos="8099" w:val="left" w:leader="none"/>
        </w:tabs>
        <w:spacing w:line="20" w:lineRule="exact"/>
        <w:ind w:left="3004" w:right="0" w:firstLine="0"/>
        <w:rPr>
          <w:rFonts w:ascii="Arial" w:hAnsi="Arial" w:cs="Arial" w:eastAsia="Arial" w:hint="default"/>
          <w:sz w:val="2"/>
          <w:szCs w:val="2"/>
        </w:rPr>
      </w:pPr>
      <w:r>
        <w:rPr>
          <w:rFonts w:ascii="Arial"/>
          <w:sz w:val="2"/>
        </w:rPr>
        <w:pict>
          <v:group style="width:83.35pt;height:.5pt;mso-position-horizontal-relative:char;mso-position-vertical-relative:line" coordorigin="0,0" coordsize="1667,10">
            <v:group style="position:absolute;left:5;top:5;width:1658;height:2" coordorigin="5,5" coordsize="1658,2">
              <v:shape style="position:absolute;left:5;top:5;width:1658;height:2" coordorigin="5,5" coordsize="1658,0" path="m5,5l1662,5e" filled="false" stroked="true" strokeweight=".48001pt" strokecolor="#000000">
                <v:path arrowok="t"/>
              </v:shape>
            </v:group>
          </v:group>
        </w:pict>
      </w:r>
      <w:r>
        <w:rPr>
          <w:rFonts w:ascii="Arial"/>
          <w:sz w:val="2"/>
        </w:rPr>
      </w:r>
      <w:r>
        <w:rPr>
          <w:rFonts w:ascii="Arial"/>
          <w:sz w:val="2"/>
        </w:rPr>
        <w:tab/>
      </w:r>
      <w:r>
        <w:rPr>
          <w:rFonts w:ascii="Arial"/>
          <w:sz w:val="2"/>
        </w:rPr>
        <w:pict>
          <v:group style="width:83.7pt;height:.5pt;mso-position-horizontal-relative:char;mso-position-vertical-relative:line" coordorigin="0,0" coordsize="1674,10">
            <v:group style="position:absolute;left:5;top:5;width:1665;height:2" coordorigin="5,5" coordsize="1665,2">
              <v:shape style="position:absolute;left:5;top:5;width:1665;height:2" coordorigin="5,5" coordsize="1665,0" path="m5,5l1669,5e" filled="false" stroked="true" strokeweight=".48001pt" strokecolor="#000000">
                <v:path arrowok="t"/>
              </v:shape>
            </v:group>
          </v:group>
        </w:pict>
      </w:r>
      <w:r>
        <w:rPr>
          <w:rFonts w:ascii="Arial"/>
          <w:sz w:val="2"/>
        </w:rPr>
      </w:r>
    </w:p>
    <w:p>
      <w:pPr>
        <w:pStyle w:val="BodyText"/>
        <w:tabs>
          <w:tab w:pos="8405" w:val="left" w:leader="none"/>
        </w:tabs>
        <w:spacing w:line="245" w:lineRule="exact"/>
        <w:ind w:left="3354" w:right="0"/>
        <w:jc w:val="center"/>
        <w:rPr>
          <w:rFonts w:ascii="Arial" w:hAnsi="Arial" w:cs="Arial" w:eastAsia="Arial" w:hint="default"/>
        </w:rPr>
      </w:pPr>
      <w:r>
        <w:rPr>
          <w:rFonts w:ascii="Arial"/>
          <w:spacing w:val="-1"/>
        </w:rPr>
        <w:t>100,938</w:t>
        <w:tab/>
        <w:t>178,715</w:t>
      </w:r>
      <w:r>
        <w:rPr>
          <w:rFonts w:ascii="Arial"/>
        </w:rPr>
      </w:r>
    </w:p>
    <w:p>
      <w:pPr>
        <w:pStyle w:val="BodyText"/>
        <w:tabs>
          <w:tab w:pos="4577" w:val="left" w:leader="none"/>
        </w:tabs>
        <w:spacing w:line="295" w:lineRule="exact"/>
        <w:ind w:left="3017" w:right="0"/>
        <w:jc w:val="center"/>
      </w:pPr>
      <w:r>
        <w:rPr/>
        <w:t>本年增加</w:t>
        <w:tab/>
        <w:t>本年减少</w:t>
      </w:r>
    </w:p>
    <w:p>
      <w:pPr>
        <w:pStyle w:val="BodyText"/>
        <w:spacing w:line="330" w:lineRule="exact"/>
        <w:ind w:left="2848"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3009" w:val="left" w:leader="none"/>
          <w:tab w:pos="3845" w:val="left" w:leader="none"/>
          <w:tab w:pos="4907" w:val="left" w:leader="none"/>
          <w:tab w:pos="5389" w:val="left" w:leader="none"/>
          <w:tab w:pos="6544" w:val="left" w:leader="none"/>
          <w:tab w:pos="7630" w:val="left" w:leader="none"/>
          <w:tab w:pos="8104" w:val="left" w:leader="none"/>
          <w:tab w:pos="8763" w:val="left" w:leader="none"/>
          <w:tab w:pos="9768" w:val="left" w:leader="none"/>
        </w:tabs>
        <w:spacing w:line="240" w:lineRule="auto"/>
        <w:ind w:left="809" w:right="96"/>
        <w:jc w:val="left"/>
        <w:rPr>
          <w:rFonts w:ascii="Arial" w:hAnsi="Arial" w:cs="Arial" w:eastAsia="Arial" w:hint="default"/>
        </w:rPr>
      </w:pPr>
      <w:r>
        <w:rPr>
          <w:position w:val="2"/>
        </w:rPr>
        <w:t>减：坏账准备</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(7,200)</w:t>
      </w:r>
      <w:r>
        <w:rPr>
          <w:rFonts w:ascii="Arial" w:hAnsi="Arial" w:cs="Arial" w:eastAsia="Arial" w:hint="default"/>
          <w:spacing w:val="-1"/>
        </w:rPr>
        <w:tab/>
      </w:r>
      <w:r>
        <w:rPr>
          <w:rFonts w:ascii="Arial" w:hAnsi="Arial" w:cs="Arial" w:eastAsia="Arial" w:hint="default"/>
          <w:spacing w:val="-1"/>
          <w:u w:val="single" w:color="000000"/>
        </w:rPr>
        <w:t> </w:t>
        <w:tab/>
        <w:t>(8,032)</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tab/>
      </w:r>
      <w:r>
        <w:rPr>
          <w:rFonts w:ascii="Arial" w:hAnsi="Arial" w:cs="Arial" w:eastAsia="Arial" w:hint="default"/>
          <w:u w:val="single" w:color="000000"/>
        </w:rPr>
        <w:t> </w:t>
        <w:tab/>
      </w:r>
      <w:r>
        <w:rPr>
          <w:rFonts w:ascii="Arial" w:hAnsi="Arial" w:cs="Arial" w:eastAsia="Arial" w:hint="default"/>
          <w:spacing w:val="-1"/>
          <w:u w:val="single" w:color="000000"/>
        </w:rPr>
        <w:t>(15,232)</w:t>
        <w:tab/>
      </w:r>
      <w:r>
        <w:rPr>
          <w:rFonts w:ascii="Arial" w:hAnsi="Arial" w:cs="Arial" w:eastAsia="Arial" w:hint="default"/>
          <w:spacing w:val="-1"/>
        </w:rPr>
      </w:r>
    </w:p>
    <w:p>
      <w:pPr>
        <w:pStyle w:val="BodyText"/>
        <w:tabs>
          <w:tab w:pos="8404" w:val="left" w:leader="none"/>
        </w:tabs>
        <w:spacing w:line="240" w:lineRule="auto" w:before="9"/>
        <w:ind w:left="3486" w:right="0"/>
        <w:jc w:val="center"/>
        <w:rPr>
          <w:rFonts w:ascii="Arial" w:hAnsi="Arial" w:cs="Arial" w:eastAsia="Arial" w:hint="default"/>
        </w:rPr>
      </w:pPr>
      <w:r>
        <w:rPr>
          <w:rFonts w:ascii="Arial"/>
          <w:spacing w:val="-1"/>
        </w:rPr>
        <w:t>93,738</w:t>
        <w:tab/>
        <w:t>163,483</w:t>
      </w:r>
      <w:r>
        <w:rPr>
          <w:rFonts w:ascii="Arial"/>
        </w:rPr>
      </w:r>
    </w:p>
    <w:p>
      <w:pPr>
        <w:pStyle w:val="BodyText"/>
        <w:spacing w:line="284" w:lineRule="exact"/>
        <w:ind w:left="1332" w:right="96" w:hanging="524"/>
        <w:jc w:val="left"/>
      </w:pPr>
      <w:r>
        <w:rPr>
          <w:spacing w:val="10"/>
        </w:rPr>
        <w:t>减：长期应收款</w:t>
      </w:r>
      <w:r>
        <w:rPr>
          <w:rFonts w:ascii="Arial" w:hAnsi="Arial" w:cs="Arial" w:eastAsia="Arial" w:hint="default"/>
          <w:spacing w:val="10"/>
        </w:rPr>
        <w:t>-</w:t>
      </w:r>
      <w:r>
        <w:rPr>
          <w:spacing w:val="10"/>
        </w:rPr>
        <w:t>一</w:t>
      </w:r>
    </w:p>
    <w:p>
      <w:pPr>
        <w:pStyle w:val="BodyText"/>
        <w:spacing w:line="302" w:lineRule="exact"/>
        <w:ind w:left="1332" w:right="96"/>
        <w:jc w:val="left"/>
      </w:pPr>
      <w:r>
        <w:rPr>
          <w:spacing w:val="22"/>
        </w:rPr>
        <w:t>年以上到期的</w:t>
      </w:r>
      <w:r>
        <w:rPr>
          <w:spacing w:val="-93"/>
        </w:rPr>
        <w:t> </w:t>
      </w:r>
      <w:r>
        <w:rPr/>
      </w:r>
    </w:p>
    <w:p>
      <w:pPr>
        <w:pStyle w:val="BodyText"/>
        <w:tabs>
          <w:tab w:pos="3009" w:val="left" w:leader="none"/>
          <w:tab w:pos="3712" w:val="left" w:leader="none"/>
          <w:tab w:pos="8104" w:val="left" w:leader="none"/>
          <w:tab w:pos="8764" w:val="left" w:leader="none"/>
          <w:tab w:pos="9768" w:val="left" w:leader="none"/>
        </w:tabs>
        <w:spacing w:line="349" w:lineRule="exact"/>
        <w:ind w:left="1332" w:right="96"/>
        <w:jc w:val="left"/>
        <w:rPr>
          <w:rFonts w:ascii="Arial" w:hAnsi="Arial" w:cs="Arial" w:eastAsia="Arial" w:hint="default"/>
        </w:rPr>
      </w:pPr>
      <w:r>
        <w:rPr>
          <w:position w:val="2"/>
        </w:rPr>
        <w:t>押金</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(24,662)</w:t>
      </w:r>
      <w:r>
        <w:rPr>
          <w:rFonts w:ascii="Arial" w:hAnsi="Arial" w:cs="Arial" w:eastAsia="Arial" w:hint="default"/>
          <w:spacing w:val="-1"/>
        </w:rPr>
        <w:tab/>
      </w:r>
      <w:r>
        <w:rPr>
          <w:rFonts w:ascii="Arial" w:hAnsi="Arial" w:cs="Arial" w:eastAsia="Arial" w:hint="default"/>
          <w:spacing w:val="-1"/>
          <w:u w:val="single" w:color="000000"/>
        </w:rPr>
        <w:t> </w:t>
        <w:tab/>
        <w:t>(69,091)</w:t>
        <w:tab/>
      </w:r>
      <w:r>
        <w:rPr>
          <w:rFonts w:ascii="Arial" w:hAnsi="Arial" w:cs="Arial" w:eastAsia="Arial" w:hint="default"/>
          <w:spacing w:val="-1"/>
        </w:rPr>
      </w:r>
    </w:p>
    <w:p>
      <w:pPr>
        <w:pStyle w:val="BodyText"/>
        <w:tabs>
          <w:tab w:pos="3792" w:val="left" w:leader="none"/>
          <w:tab w:pos="8104" w:val="left" w:leader="none"/>
          <w:tab w:pos="8844" w:val="left" w:leader="none"/>
          <w:tab w:pos="9768" w:val="left" w:leader="none"/>
        </w:tabs>
        <w:spacing w:line="240" w:lineRule="auto" w:before="9"/>
        <w:ind w:left="3009" w:right="96"/>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69,076</w:t>
      </w:r>
      <w:r>
        <w:rPr>
          <w:rFonts w:ascii="Arial"/>
          <w:spacing w:val="-1"/>
        </w:rPr>
        <w:tab/>
      </w:r>
      <w:r>
        <w:rPr>
          <w:rFonts w:ascii="Arial"/>
          <w:spacing w:val="-1"/>
          <w:u w:val="thick" w:color="000000"/>
        </w:rPr>
        <w:t> </w:t>
        <w:tab/>
        <w:t>94,392</w:t>
        <w:tab/>
      </w:r>
      <w:r>
        <w:rPr>
          <w:rFonts w:ascii="Arial"/>
          <w:spacing w:val="-1"/>
        </w:rPr>
      </w:r>
    </w:p>
    <w:p>
      <w:pPr>
        <w:spacing w:after="0" w:line="240" w:lineRule="auto"/>
        <w:jc w:val="left"/>
        <w:rPr>
          <w:rFonts w:ascii="Arial" w:hAnsi="Arial" w:cs="Arial" w:eastAsia="Arial" w:hint="default"/>
        </w:rPr>
        <w:sectPr>
          <w:type w:val="continuous"/>
          <w:pgSz w:w="11910" w:h="16840"/>
          <w:pgMar w:top="1600" w:bottom="280" w:left="940" w:right="1080"/>
        </w:sectPr>
      </w:pPr>
    </w:p>
    <w:p>
      <w:pPr>
        <w:spacing w:line="240" w:lineRule="auto" w:before="11"/>
        <w:rPr>
          <w:rFonts w:ascii="Arial" w:hAnsi="Arial" w:cs="Arial" w:eastAsia="Arial" w:hint="default"/>
          <w:sz w:val="27"/>
          <w:szCs w:val="27"/>
        </w:rPr>
      </w:pPr>
    </w:p>
    <w:p>
      <w:pPr>
        <w:pStyle w:val="Heading2"/>
        <w:tabs>
          <w:tab w:pos="789" w:val="left" w:leader="none"/>
        </w:tabs>
        <w:spacing w:line="240" w:lineRule="auto"/>
        <w:ind w:right="3753"/>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807" w:val="left" w:leader="none"/>
        </w:tabs>
        <w:spacing w:line="240" w:lineRule="auto" w:before="0"/>
        <w:ind w:right="3753"/>
        <w:jc w:val="left"/>
        <w:rPr>
          <w:rFonts w:ascii="Arial" w:hAnsi="Arial" w:cs="Arial" w:eastAsia="Arial" w:hint="default"/>
          <w:b w:val="0"/>
          <w:bCs w:val="0"/>
        </w:rPr>
      </w:pPr>
      <w:r>
        <w:rPr>
          <w:rFonts w:ascii="Arial" w:hAnsi="Arial" w:cs="Arial" w:eastAsia="Arial" w:hint="default"/>
          <w:b w:val="0"/>
          <w:bCs w:val="0"/>
          <w:w w:val="95"/>
          <w:position w:val="2"/>
        </w:rPr>
        <w:t>(3)</w:t>
        <w:tab/>
      </w:r>
      <w:r>
        <w:rPr/>
        <w:t>应收账款、其他应收款及长期应收款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789" w:val="left" w:leader="none"/>
        </w:tabs>
        <w:spacing w:line="427" w:lineRule="auto"/>
        <w:ind w:left="789" w:right="3753" w:hanging="687"/>
        <w:jc w:val="left"/>
      </w:pPr>
      <w:r>
        <w:rPr>
          <w:rFonts w:ascii="Arial" w:hAnsi="Arial" w:cs="Arial" w:eastAsia="Arial" w:hint="default"/>
          <w:w w:val="95"/>
          <w:position w:val="2"/>
        </w:rPr>
        <w:t>(b)</w:t>
        <w:tab/>
      </w:r>
      <w:r>
        <w:rPr/>
        <w:t>其他应收款及长期应收款</w:t>
      </w:r>
      <w:r>
        <w:rPr>
          <w:rFonts w:ascii="Arial" w:hAnsi="Arial" w:cs="Arial" w:eastAsia="Arial" w:hint="default"/>
        </w:rPr>
        <w:t>(</w:t>
      </w:r>
      <w:r>
        <w:rPr/>
        <w:t>续</w:t>
      </w:r>
      <w:r>
        <w:rPr>
          <w:rFonts w:ascii="Arial" w:hAnsi="Arial" w:cs="Arial" w:eastAsia="Arial" w:hint="default"/>
        </w:rPr>
        <w:t>) </w:t>
      </w:r>
      <w:r>
        <w:rPr/>
        <w:t>其他应收款和长期应收款及相应的坏账准备分析如下：</w:t>
      </w:r>
    </w:p>
    <w:p>
      <w:pPr>
        <w:tabs>
          <w:tab w:pos="7236" w:val="left" w:leader="none"/>
        </w:tabs>
        <w:spacing w:before="91"/>
        <w:ind w:left="3076" w:right="0" w:firstLine="0"/>
        <w:jc w:val="left"/>
        <w:rPr>
          <w:rFonts w:ascii="宋体" w:hAnsi="宋体" w:cs="宋体" w:eastAsia="宋体" w:hint="default"/>
          <w:sz w:val="21"/>
          <w:szCs w:val="21"/>
        </w:rPr>
      </w:pPr>
      <w:r>
        <w:rPr/>
        <w:pict>
          <v:group style="position:absolute;margin-left:138.539993pt;margin-top:20.683674pt;width:203.4pt;height:.1pt;mso-position-horizontal-relative:page;mso-position-vertical-relative:paragraph;z-index:1624" coordorigin="2771,414" coordsize="4068,2">
            <v:shape style="position:absolute;left:2771;top:414;width:4068;height:2" coordorigin="2771,414" coordsize="4068,0" path="m2771,414l6839,414e" filled="false" stroked="true" strokeweight="1.5pt" strokecolor="#000000">
              <v:path arrowok="t"/>
            </v:shape>
            <w10:wrap type="none"/>
          </v:group>
        </w:pict>
      </w:r>
      <w:r>
        <w:rPr/>
        <w:pict>
          <v:group style="position:absolute;margin-left:353.76001pt;margin-top:20.683674pt;width:200.8pt;height:.1pt;mso-position-horizontal-relative:page;mso-position-vertical-relative:paragraph;z-index:-671200" coordorigin="7075,414" coordsize="4016,2">
            <v:shape style="position:absolute;left:7075;top:414;width:4016;height:2" coordorigin="7075,414" coordsize="4016,0" path="m7075,414l11090,414e" filled="false" stroked="true" strokeweight="1.5pt" strokecolor="#000000">
              <v:path arrowok="t"/>
            </v:shape>
            <w10:wrap type="none"/>
          </v:group>
        </w:pict>
      </w: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826" w:footer="894" w:top="1100" w:bottom="1080" w:left="940" w:right="660"/>
        </w:sectPr>
      </w:pPr>
    </w:p>
    <w:p>
      <w:pPr>
        <w:tabs>
          <w:tab w:pos="3459" w:val="left" w:leader="none"/>
        </w:tabs>
        <w:spacing w:line="272" w:lineRule="exact" w:before="41"/>
        <w:ind w:left="4089" w:right="0" w:hanging="1444"/>
        <w:jc w:val="right"/>
        <w:rPr>
          <w:rFonts w:ascii="宋体" w:hAnsi="宋体" w:cs="宋体" w:eastAsia="宋体" w:hint="default"/>
          <w:sz w:val="21"/>
          <w:szCs w:val="21"/>
        </w:rPr>
      </w:pPr>
      <w:r>
        <w:rPr>
          <w:rFonts w:ascii="宋体" w:hAnsi="宋体" w:cs="宋体" w:eastAsia="宋体" w:hint="default"/>
          <w:sz w:val="21"/>
          <w:szCs w:val="21"/>
        </w:rPr>
        <w:t>金额</w:t>
        <w:tab/>
        <w:t>占总额比 例</w:t>
      </w:r>
    </w:p>
    <w:p>
      <w:pPr>
        <w:tabs>
          <w:tab w:pos="2526" w:val="left" w:leader="none"/>
          <w:tab w:pos="3196" w:val="left" w:leader="none"/>
        </w:tabs>
        <w:spacing w:line="272" w:lineRule="exact" w:before="41"/>
        <w:ind w:left="3196" w:right="0" w:hanging="2548"/>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tab/>
        <w:t>金额</w:t>
        <w:tab/>
      </w:r>
      <w:r>
        <w:rPr>
          <w:rFonts w:ascii="宋体" w:hAnsi="宋体" w:cs="宋体" w:eastAsia="宋体" w:hint="default"/>
          <w:spacing w:val="45"/>
          <w:sz w:val="21"/>
          <w:szCs w:val="21"/>
        </w:rPr>
        <w:t>占总额比</w:t>
      </w:r>
      <w:r>
        <w:rPr>
          <w:rFonts w:ascii="宋体" w:hAnsi="宋体" w:cs="宋体" w:eastAsia="宋体" w:hint="default"/>
          <w:spacing w:val="-45"/>
          <w:sz w:val="21"/>
          <w:szCs w:val="21"/>
        </w:rPr>
        <w:t> </w:t>
      </w:r>
      <w:r>
        <w:rPr>
          <w:rFonts w:ascii="宋体" w:hAnsi="宋体" w:cs="宋体" w:eastAsia="宋体" w:hint="default"/>
          <w:sz w:val="21"/>
          <w:szCs w:val="21"/>
        </w:rPr>
        <w:t>例</w:t>
      </w:r>
    </w:p>
    <w:p>
      <w:pPr>
        <w:spacing w:before="14"/>
        <w:ind w:left="55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10" w:h="16840"/>
          <w:pgMar w:top="1600" w:bottom="280" w:left="940" w:right="660"/>
          <w:cols w:num="3" w:equalWidth="0">
            <w:col w:w="4300" w:space="40"/>
            <w:col w:w="4277" w:space="40"/>
            <w:col w:w="1653"/>
          </w:cols>
        </w:sectPr>
      </w:pPr>
    </w:p>
    <w:p>
      <w:pPr>
        <w:tabs>
          <w:tab w:pos="4713" w:val="left" w:leader="none"/>
          <w:tab w:pos="6443" w:val="left" w:leader="none"/>
          <w:tab w:pos="8958" w:val="left" w:leader="none"/>
        </w:tabs>
        <w:spacing w:line="264" w:lineRule="exact" w:before="0"/>
        <w:ind w:left="1964" w:right="0" w:firstLine="0"/>
        <w:jc w:val="lef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tab/>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tab/>
        <w:t>(</w:t>
      </w:r>
      <w:r>
        <w:rPr>
          <w:rFonts w:ascii="宋体" w:hAnsi="宋体" w:cs="宋体" w:eastAsia="宋体" w:hint="default"/>
          <w:spacing w:val="-1"/>
          <w:sz w:val="21"/>
          <w:szCs w:val="21"/>
        </w:rPr>
        <w:t>人民币千</w:t>
        <w:tab/>
      </w: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tbl>
      <w:tblPr>
        <w:tblW w:w="0" w:type="auto"/>
        <w:jc w:val="left"/>
        <w:tblInd w:w="772" w:type="dxa"/>
        <w:tblLayout w:type="fixed"/>
        <w:tblCellMar>
          <w:top w:w="0" w:type="dxa"/>
          <w:left w:w="0" w:type="dxa"/>
          <w:bottom w:w="0" w:type="dxa"/>
          <w:right w:w="0" w:type="dxa"/>
        </w:tblCellMar>
        <w:tblLook w:val="01E0"/>
      </w:tblPr>
      <w:tblGrid>
        <w:gridCol w:w="1059"/>
        <w:gridCol w:w="1471"/>
        <w:gridCol w:w="1048"/>
        <w:gridCol w:w="248"/>
        <w:gridCol w:w="1301"/>
        <w:gridCol w:w="236"/>
        <w:gridCol w:w="1439"/>
        <w:gridCol w:w="1034"/>
        <w:gridCol w:w="235"/>
        <w:gridCol w:w="1307"/>
      </w:tblGrid>
      <w:tr>
        <w:trPr>
          <w:trHeight w:val="779"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234"/>
              <w:jc w:val="right"/>
              <w:rPr>
                <w:rFonts w:ascii="Arial" w:hAnsi="Arial" w:cs="Arial" w:eastAsia="Arial" w:hint="default"/>
                <w:sz w:val="21"/>
                <w:szCs w:val="21"/>
              </w:rPr>
            </w:pPr>
            <w:r>
              <w:rPr>
                <w:rFonts w:ascii="Arial"/>
                <w:spacing w:val="-1"/>
                <w:w w:val="95"/>
                <w:sz w:val="21"/>
              </w:rPr>
              <w:t>148,077</w:t>
            </w:r>
            <w:r>
              <w:rPr>
                <w:rFonts w:ascii="Arial"/>
                <w:sz w:val="21"/>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82.9%</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(7,405)</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50" w:lineRule="exact"/>
              <w:ind w:left="543" w:right="0" w:firstLine="394"/>
              <w:jc w:val="left"/>
              <w:rPr>
                <w:rFonts w:ascii="Arial" w:hAnsi="Arial" w:cs="Arial" w:eastAsia="Arial"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p>
          <w:p>
            <w:pPr>
              <w:pStyle w:val="TableParagraph"/>
              <w:spacing w:line="240" w:lineRule="auto" w:before="6"/>
              <w:ind w:right="0"/>
              <w:jc w:val="left"/>
              <w:rPr>
                <w:rFonts w:ascii="Arial" w:hAnsi="Arial" w:cs="Arial" w:eastAsia="Arial" w:hint="default"/>
                <w:sz w:val="22"/>
                <w:szCs w:val="22"/>
              </w:rPr>
            </w:pPr>
          </w:p>
          <w:p>
            <w:pPr>
              <w:pStyle w:val="TableParagraph"/>
              <w:spacing w:line="240" w:lineRule="auto"/>
              <w:ind w:left="543" w:right="0"/>
              <w:jc w:val="left"/>
              <w:rPr>
                <w:rFonts w:ascii="Arial" w:hAnsi="Arial" w:cs="Arial" w:eastAsia="Arial" w:hint="default"/>
                <w:sz w:val="21"/>
                <w:szCs w:val="21"/>
              </w:rPr>
            </w:pPr>
            <w:r>
              <w:rPr>
                <w:rFonts w:ascii="Arial"/>
                <w:sz w:val="21"/>
              </w:rPr>
              <w:t>89,475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88.6%</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49"/>
              <w:jc w:val="right"/>
              <w:rPr>
                <w:rFonts w:ascii="Arial" w:hAnsi="Arial" w:cs="Arial" w:eastAsia="Arial" w:hint="default"/>
                <w:sz w:val="21"/>
                <w:szCs w:val="21"/>
              </w:rPr>
            </w:pPr>
            <w:r>
              <w:rPr>
                <w:rFonts w:ascii="Arial"/>
                <w:spacing w:val="-1"/>
                <w:w w:val="95"/>
                <w:sz w:val="21"/>
              </w:rPr>
              <w:t>(4,474)</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33"/>
              <w:jc w:val="right"/>
              <w:rPr>
                <w:rFonts w:ascii="Arial" w:hAnsi="Arial" w:cs="Arial" w:eastAsia="Arial" w:hint="default"/>
                <w:sz w:val="21"/>
                <w:szCs w:val="21"/>
              </w:rPr>
            </w:pPr>
            <w:r>
              <w:rPr>
                <w:rFonts w:ascii="Arial"/>
                <w:spacing w:val="-1"/>
                <w:w w:val="95"/>
                <w:sz w:val="21"/>
              </w:rPr>
              <w:t>19,832</w:t>
            </w:r>
            <w:r>
              <w:rPr>
                <w:rFonts w:ascii="Arial"/>
                <w:sz w:val="21"/>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4"/>
                <w:w w:val="95"/>
                <w:sz w:val="21"/>
              </w:rPr>
              <w:t>11.1%</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
              <w:jc w:val="right"/>
              <w:rPr>
                <w:rFonts w:ascii="Arial" w:hAnsi="Arial" w:cs="Arial" w:eastAsia="Arial" w:hint="default"/>
                <w:sz w:val="21"/>
                <w:szCs w:val="21"/>
              </w:rPr>
            </w:pPr>
            <w:r>
              <w:rPr>
                <w:rFonts w:ascii="Arial"/>
                <w:spacing w:val="-1"/>
                <w:w w:val="95"/>
                <w:sz w:val="21"/>
              </w:rPr>
              <w:t>(2,716)</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1"/>
              <w:jc w:val="right"/>
              <w:rPr>
                <w:rFonts w:ascii="Arial" w:hAnsi="Arial" w:cs="Arial" w:eastAsia="Arial" w:hint="default"/>
                <w:sz w:val="21"/>
                <w:szCs w:val="21"/>
              </w:rPr>
            </w:pPr>
            <w:r>
              <w:rPr>
                <w:rFonts w:ascii="Arial"/>
                <w:spacing w:val="-1"/>
                <w:w w:val="95"/>
                <w:sz w:val="21"/>
              </w:rPr>
              <w:t>7,060</w:t>
            </w:r>
            <w:r>
              <w:rPr>
                <w:rFonts w:ascii="Arial"/>
                <w:sz w:val="21"/>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7.0%</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(706)</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4"/>
              <w:jc w:val="right"/>
              <w:rPr>
                <w:rFonts w:ascii="Arial" w:hAnsi="Arial" w:cs="Arial" w:eastAsia="Arial" w:hint="default"/>
                <w:sz w:val="21"/>
                <w:szCs w:val="21"/>
              </w:rPr>
            </w:pPr>
            <w:r>
              <w:rPr>
                <w:rFonts w:ascii="Arial"/>
                <w:spacing w:val="-1"/>
                <w:w w:val="95"/>
                <w:sz w:val="21"/>
              </w:rPr>
              <w:t>6,495</w:t>
            </w:r>
            <w:r>
              <w:rPr>
                <w:rFonts w:ascii="Arial"/>
                <w:sz w:val="21"/>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3.6%</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Arial" w:hAnsi="Arial" w:cs="Arial" w:eastAsia="Arial" w:hint="default"/>
                <w:sz w:val="21"/>
                <w:szCs w:val="21"/>
              </w:rPr>
            </w:pPr>
            <w:r>
              <w:rPr>
                <w:rFonts w:ascii="Arial"/>
                <w:spacing w:val="-1"/>
                <w:w w:val="95"/>
                <w:sz w:val="21"/>
              </w:rPr>
              <w:t>(1,699)</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2"/>
              <w:jc w:val="right"/>
              <w:rPr>
                <w:rFonts w:ascii="Arial" w:hAnsi="Arial" w:cs="Arial" w:eastAsia="Arial" w:hint="default"/>
                <w:sz w:val="21"/>
                <w:szCs w:val="21"/>
              </w:rPr>
            </w:pPr>
            <w:r>
              <w:rPr>
                <w:rFonts w:ascii="Arial"/>
                <w:spacing w:val="-1"/>
                <w:w w:val="95"/>
                <w:sz w:val="21"/>
              </w:rPr>
              <w:t>1,230</w:t>
            </w:r>
            <w:r>
              <w:rPr>
                <w:rFonts w:ascii="Arial"/>
                <w:sz w:val="21"/>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1"/>
                <w:szCs w:val="21"/>
              </w:rPr>
            </w:pPr>
            <w:r>
              <w:rPr>
                <w:rFonts w:ascii="Arial"/>
                <w:spacing w:val="-1"/>
                <w:w w:val="95"/>
                <w:sz w:val="21"/>
              </w:rPr>
              <w:t>1.2%</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(246)</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33"/>
              <w:jc w:val="right"/>
              <w:rPr>
                <w:rFonts w:ascii="Arial" w:hAnsi="Arial" w:cs="Arial" w:eastAsia="Arial" w:hint="default"/>
                <w:sz w:val="21"/>
                <w:szCs w:val="21"/>
              </w:rPr>
            </w:pPr>
            <w:r>
              <w:rPr>
                <w:rFonts w:ascii="Arial"/>
                <w:spacing w:val="-1"/>
                <w:w w:val="95"/>
                <w:sz w:val="21"/>
              </w:rPr>
              <w:t>1,228</w:t>
            </w:r>
            <w:r>
              <w:rPr>
                <w:rFonts w:ascii="Arial"/>
                <w:sz w:val="21"/>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0.7%</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
              <w:jc w:val="right"/>
              <w:rPr>
                <w:rFonts w:ascii="Arial" w:hAnsi="Arial" w:cs="Arial" w:eastAsia="Arial" w:hint="default"/>
                <w:sz w:val="21"/>
                <w:szCs w:val="21"/>
              </w:rPr>
            </w:pPr>
            <w:r>
              <w:rPr>
                <w:rFonts w:ascii="Arial"/>
                <w:spacing w:val="-1"/>
                <w:w w:val="95"/>
                <w:sz w:val="21"/>
              </w:rPr>
              <w:t>(568)</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1"/>
              <w:jc w:val="right"/>
              <w:rPr>
                <w:rFonts w:ascii="Arial" w:hAnsi="Arial" w:cs="Arial" w:eastAsia="Arial" w:hint="default"/>
                <w:sz w:val="21"/>
                <w:szCs w:val="21"/>
              </w:rPr>
            </w:pPr>
            <w:r>
              <w:rPr>
                <w:rFonts w:ascii="Arial"/>
                <w:spacing w:val="-4"/>
                <w:sz w:val="21"/>
              </w:rPr>
              <w:t>1,211</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1.2%</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(363)</w:t>
            </w:r>
            <w:r>
              <w:rPr>
                <w:rFonts w:ascii="Arial"/>
                <w:sz w:val="21"/>
              </w:rPr>
            </w:r>
          </w:p>
        </w:tc>
      </w:tr>
      <w:tr>
        <w:trPr>
          <w:trHeight w:val="273"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4"/>
              <w:jc w:val="right"/>
              <w:rPr>
                <w:rFonts w:ascii="Arial" w:hAnsi="Arial" w:cs="Arial" w:eastAsia="Arial" w:hint="default"/>
                <w:sz w:val="21"/>
                <w:szCs w:val="21"/>
              </w:rPr>
            </w:pPr>
            <w:r>
              <w:rPr>
                <w:rFonts w:ascii="Arial"/>
                <w:spacing w:val="-1"/>
                <w:w w:val="95"/>
                <w:sz w:val="21"/>
              </w:rPr>
              <w:t>1,182</w:t>
            </w:r>
            <w:r>
              <w:rPr>
                <w:rFonts w:ascii="Arial"/>
                <w:sz w:val="21"/>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1"/>
                <w:szCs w:val="21"/>
              </w:rPr>
            </w:pPr>
            <w:r>
              <w:rPr>
                <w:rFonts w:ascii="Arial"/>
                <w:spacing w:val="-1"/>
                <w:w w:val="95"/>
                <w:sz w:val="21"/>
              </w:rPr>
              <w:t>0.7%</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
              <w:jc w:val="right"/>
              <w:rPr>
                <w:rFonts w:ascii="Arial" w:hAnsi="Arial" w:cs="Arial" w:eastAsia="Arial" w:hint="default"/>
                <w:sz w:val="21"/>
                <w:szCs w:val="21"/>
              </w:rPr>
            </w:pPr>
            <w:r>
              <w:rPr>
                <w:rFonts w:ascii="Arial"/>
                <w:spacing w:val="-1"/>
                <w:w w:val="95"/>
                <w:sz w:val="21"/>
              </w:rPr>
              <w:t>(943)</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1"/>
              <w:jc w:val="right"/>
              <w:rPr>
                <w:rFonts w:ascii="Arial" w:hAnsi="Arial" w:cs="Arial" w:eastAsia="Arial" w:hint="default"/>
                <w:sz w:val="21"/>
                <w:szCs w:val="21"/>
              </w:rPr>
            </w:pPr>
            <w:r>
              <w:rPr>
                <w:rFonts w:ascii="Arial"/>
                <w:spacing w:val="-1"/>
                <w:w w:val="95"/>
                <w:sz w:val="21"/>
              </w:rPr>
              <w:t>1,377</w:t>
            </w:r>
            <w:r>
              <w:rPr>
                <w:rFonts w:ascii="Arial"/>
                <w:sz w:val="21"/>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1.4%</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
              <w:jc w:val="right"/>
              <w:rPr>
                <w:rFonts w:ascii="Arial" w:hAnsi="Arial" w:cs="Arial" w:eastAsia="Arial" w:hint="default"/>
                <w:sz w:val="21"/>
                <w:szCs w:val="21"/>
              </w:rPr>
            </w:pPr>
            <w:r>
              <w:rPr>
                <w:rFonts w:ascii="Arial"/>
                <w:spacing w:val="-1"/>
                <w:w w:val="95"/>
                <w:sz w:val="21"/>
              </w:rPr>
              <w:t>(826)</w:t>
            </w:r>
            <w:r>
              <w:rPr>
                <w:rFonts w:ascii="Arial"/>
                <w:sz w:val="21"/>
              </w:rPr>
            </w:r>
          </w:p>
        </w:tc>
      </w:tr>
      <w:tr>
        <w:trPr>
          <w:trHeight w:val="281"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34"/>
              <w:jc w:val="right"/>
              <w:rPr>
                <w:rFonts w:ascii="Arial" w:hAnsi="Arial" w:cs="Arial" w:eastAsia="Arial" w:hint="default"/>
                <w:sz w:val="21"/>
                <w:szCs w:val="21"/>
              </w:rPr>
            </w:pPr>
            <w:r>
              <w:rPr>
                <w:rFonts w:ascii="Arial"/>
                <w:spacing w:val="-1"/>
                <w:w w:val="95"/>
                <w:sz w:val="21"/>
              </w:rPr>
              <w:t>1,901</w:t>
            </w:r>
            <w:r>
              <w:rPr>
                <w:rFonts w:ascii="Arial"/>
                <w:sz w:val="21"/>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1.0%</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1"/>
              <w:jc w:val="right"/>
              <w:rPr>
                <w:rFonts w:ascii="Arial" w:hAnsi="Arial" w:cs="Arial" w:eastAsia="Arial" w:hint="default"/>
                <w:sz w:val="21"/>
                <w:szCs w:val="21"/>
              </w:rPr>
            </w:pPr>
            <w:r>
              <w:rPr>
                <w:rFonts w:ascii="Arial"/>
                <w:spacing w:val="-1"/>
                <w:w w:val="95"/>
                <w:sz w:val="21"/>
              </w:rPr>
              <w:t>(1,901)</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51"/>
              <w:jc w:val="right"/>
              <w:rPr>
                <w:rFonts w:ascii="Arial" w:hAnsi="Arial" w:cs="Arial" w:eastAsia="Arial" w:hint="default"/>
                <w:sz w:val="21"/>
                <w:szCs w:val="21"/>
              </w:rPr>
            </w:pPr>
            <w:r>
              <w:rPr>
                <w:rFonts w:ascii="Arial"/>
                <w:spacing w:val="-1"/>
                <w:w w:val="95"/>
                <w:sz w:val="21"/>
              </w:rPr>
              <w:t>585</w:t>
            </w:r>
            <w:r>
              <w:rPr>
                <w:rFonts w:ascii="Arial"/>
                <w:sz w:val="21"/>
              </w:rPr>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0.6%</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9"/>
              <w:jc w:val="right"/>
              <w:rPr>
                <w:rFonts w:ascii="Arial" w:hAnsi="Arial" w:cs="Arial" w:eastAsia="Arial" w:hint="default"/>
                <w:sz w:val="21"/>
                <w:szCs w:val="21"/>
              </w:rPr>
            </w:pPr>
            <w:r>
              <w:rPr>
                <w:rFonts w:ascii="Arial"/>
                <w:spacing w:val="-1"/>
                <w:w w:val="95"/>
                <w:sz w:val="21"/>
              </w:rPr>
              <w:t>(585)</w:t>
            </w:r>
            <w:r>
              <w:rPr>
                <w:rFonts w:ascii="Arial"/>
                <w:sz w:val="21"/>
              </w:rPr>
            </w:r>
          </w:p>
        </w:tc>
      </w:tr>
      <w:tr>
        <w:trPr>
          <w:trHeight w:val="262" w:hRule="exact"/>
        </w:trPr>
        <w:tc>
          <w:tcPr>
            <w:tcW w:w="105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33"/>
              <w:jc w:val="right"/>
              <w:rPr>
                <w:rFonts w:ascii="Arial" w:hAnsi="Arial" w:cs="Arial" w:eastAsia="Arial" w:hint="default"/>
                <w:sz w:val="21"/>
                <w:szCs w:val="21"/>
              </w:rPr>
            </w:pPr>
            <w:r>
              <w:rPr>
                <w:rFonts w:ascii="Arial"/>
                <w:spacing w:val="-1"/>
                <w:w w:val="95"/>
                <w:sz w:val="21"/>
              </w:rPr>
              <w:t>178,715</w:t>
            </w:r>
            <w:r>
              <w:rPr>
                <w:rFonts w:ascii="Arial"/>
                <w:sz w:val="21"/>
              </w:rPr>
            </w:r>
          </w:p>
        </w:tc>
        <w:tc>
          <w:tcPr>
            <w:tcW w:w="104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100.0%</w:t>
            </w:r>
            <w:r>
              <w:rPr>
                <w:rFonts w:ascii="Arial"/>
                <w:sz w:val="21"/>
              </w:rPr>
            </w:r>
          </w:p>
        </w:tc>
        <w:tc>
          <w:tcPr>
            <w:tcW w:w="248"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0"/>
              <w:jc w:val="right"/>
              <w:rPr>
                <w:rFonts w:ascii="Arial" w:hAnsi="Arial" w:cs="Arial" w:eastAsia="Arial" w:hint="default"/>
                <w:sz w:val="21"/>
                <w:szCs w:val="21"/>
              </w:rPr>
            </w:pPr>
            <w:r>
              <w:rPr>
                <w:rFonts w:ascii="Arial"/>
                <w:spacing w:val="-1"/>
                <w:sz w:val="21"/>
              </w:rPr>
              <w:t>(15,232)</w:t>
            </w:r>
          </w:p>
        </w:tc>
        <w:tc>
          <w:tcPr>
            <w:tcW w:w="236"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51"/>
              <w:jc w:val="right"/>
              <w:rPr>
                <w:rFonts w:ascii="Arial" w:hAnsi="Arial" w:cs="Arial" w:eastAsia="Arial" w:hint="default"/>
                <w:sz w:val="21"/>
                <w:szCs w:val="21"/>
              </w:rPr>
            </w:pPr>
            <w:r>
              <w:rPr>
                <w:rFonts w:ascii="Arial"/>
                <w:spacing w:val="-1"/>
                <w:w w:val="95"/>
                <w:sz w:val="21"/>
              </w:rPr>
              <w:t>100,938</w:t>
            </w:r>
            <w:r>
              <w:rPr>
                <w:rFonts w:ascii="Arial"/>
                <w:sz w:val="21"/>
              </w:rPr>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100.0%</w:t>
            </w:r>
            <w:r>
              <w:rPr>
                <w:rFonts w:ascii="Arial"/>
                <w:sz w:val="21"/>
              </w:rPr>
            </w:r>
          </w:p>
        </w:tc>
        <w:tc>
          <w:tcPr>
            <w:tcW w:w="235"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49"/>
              <w:jc w:val="right"/>
              <w:rPr>
                <w:rFonts w:ascii="Arial" w:hAnsi="Arial" w:cs="Arial" w:eastAsia="Arial" w:hint="default"/>
                <w:sz w:val="21"/>
                <w:szCs w:val="21"/>
              </w:rPr>
            </w:pPr>
            <w:r>
              <w:rPr>
                <w:rFonts w:ascii="Arial"/>
                <w:spacing w:val="-1"/>
                <w:w w:val="95"/>
                <w:sz w:val="21"/>
              </w:rPr>
              <w:t>(7,200)</w:t>
            </w:r>
            <w:r>
              <w:rPr>
                <w:rFonts w:ascii="Arial"/>
                <w:sz w:val="21"/>
              </w:rPr>
            </w:r>
          </w:p>
        </w:tc>
      </w:tr>
    </w:tbl>
    <w:p>
      <w:pPr>
        <w:spacing w:line="240" w:lineRule="auto" w:before="11"/>
        <w:rPr>
          <w:rFonts w:ascii="Arial" w:hAnsi="Arial" w:cs="Arial" w:eastAsia="Arial" w:hint="default"/>
          <w:sz w:val="18"/>
          <w:szCs w:val="18"/>
        </w:rPr>
      </w:pPr>
    </w:p>
    <w:p>
      <w:pPr>
        <w:pStyle w:val="BodyText"/>
        <w:spacing w:line="312" w:lineRule="exact" w:before="56"/>
        <w:ind w:left="807" w:right="0"/>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5"/>
        </w:rPr>
        <w:t>日，其他应收款及长期应收款余额无单项金额</w:t>
      </w:r>
      <w:r>
        <w:rPr/>
        <w:t> 重大或单项金额不重大，但组合后信用风险重大的余额。</w:t>
      </w:r>
    </w:p>
    <w:p>
      <w:pPr>
        <w:spacing w:line="240" w:lineRule="auto" w:before="10"/>
        <w:rPr>
          <w:rFonts w:ascii="宋体" w:hAnsi="宋体" w:cs="宋体" w:eastAsia="宋体" w:hint="default"/>
          <w:sz w:val="18"/>
          <w:szCs w:val="18"/>
        </w:rPr>
      </w:pPr>
    </w:p>
    <w:p>
      <w:pPr>
        <w:pStyle w:val="BodyText"/>
        <w:spacing w:line="322" w:lineRule="exact"/>
        <w:ind w:left="807" w:right="0"/>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5"/>
        </w:rPr>
        <w:t>日，其他应收款及长期应收款中无持有本公司</w:t>
      </w:r>
    </w:p>
    <w:p>
      <w:pPr>
        <w:pStyle w:val="BodyText"/>
        <w:spacing w:line="322" w:lineRule="exact"/>
        <w:ind w:left="807" w:right="3753"/>
        <w:jc w:val="left"/>
      </w:pPr>
      <w:r>
        <w:rPr>
          <w:rFonts w:ascii="Arial" w:hAnsi="Arial" w:cs="Arial" w:eastAsia="Arial" w:hint="default"/>
        </w:rPr>
        <w:t>5%(</w:t>
      </w:r>
      <w:r>
        <w:rPr/>
        <w:t>含</w:t>
      </w:r>
      <w:r>
        <w:rPr>
          <w:spacing w:val="-66"/>
        </w:rPr>
        <w:t> </w:t>
      </w:r>
      <w:r>
        <w:rPr>
          <w:rFonts w:ascii="Arial" w:hAnsi="Arial" w:cs="Arial" w:eastAsia="Arial" w:hint="default"/>
        </w:rPr>
        <w:t>5%)</w:t>
      </w:r>
      <w:r>
        <w:rPr/>
        <w:t>以上表决权股份的股东的欠款。</w:t>
      </w:r>
    </w:p>
    <w:p>
      <w:pPr>
        <w:spacing w:line="240" w:lineRule="auto" w:before="8"/>
        <w:rPr>
          <w:rFonts w:ascii="宋体" w:hAnsi="宋体" w:cs="宋体" w:eastAsia="宋体" w:hint="default"/>
          <w:sz w:val="19"/>
          <w:szCs w:val="19"/>
        </w:rPr>
      </w:pPr>
    </w:p>
    <w:p>
      <w:pPr>
        <w:pStyle w:val="BodyText"/>
        <w:spacing w:line="322" w:lineRule="exact"/>
        <w:ind w:left="807" w:right="0"/>
        <w:jc w:val="left"/>
      </w:pPr>
      <w:r>
        <w:rPr/>
        <w:t>于</w:t>
      </w:r>
      <w:r>
        <w:rPr>
          <w:spacing w:val="-39"/>
        </w:rPr>
        <w:t> </w:t>
      </w:r>
      <w:r>
        <w:rPr>
          <w:rFonts w:ascii="Arial" w:hAnsi="Arial" w:cs="Arial" w:eastAsia="Arial" w:hint="default"/>
        </w:rPr>
        <w:t>2008</w:t>
      </w:r>
      <w:r>
        <w:rPr>
          <w:rFonts w:ascii="Arial" w:hAnsi="Arial" w:cs="Arial" w:eastAsia="Arial" w:hint="default"/>
          <w:spacing w:val="15"/>
        </w:rPr>
        <w:t> </w:t>
      </w:r>
      <w:r>
        <w:rPr/>
        <w:t>年</w:t>
      </w:r>
      <w:r>
        <w:rPr>
          <w:spacing w:val="-39"/>
        </w:rPr>
        <w:t> </w:t>
      </w:r>
      <w:r>
        <w:rPr>
          <w:rFonts w:ascii="Arial" w:hAnsi="Arial" w:cs="Arial" w:eastAsia="Arial" w:hint="default"/>
        </w:rPr>
        <w:t>12</w:t>
      </w:r>
      <w:r>
        <w:rPr>
          <w:rFonts w:ascii="Arial" w:hAnsi="Arial" w:cs="Arial" w:eastAsia="Arial" w:hint="default"/>
          <w:spacing w:val="14"/>
        </w:rPr>
        <w:t> </w:t>
      </w:r>
      <w:r>
        <w:rPr/>
        <w:t>月</w:t>
      </w:r>
      <w:r>
        <w:rPr>
          <w:spacing w:val="-39"/>
        </w:rPr>
        <w:t> </w:t>
      </w:r>
      <w:r>
        <w:rPr>
          <w:rFonts w:ascii="Arial" w:hAnsi="Arial" w:cs="Arial" w:eastAsia="Arial" w:hint="default"/>
        </w:rPr>
        <w:t>31</w:t>
      </w:r>
      <w:r>
        <w:rPr>
          <w:rFonts w:ascii="Arial" w:hAnsi="Arial" w:cs="Arial" w:eastAsia="Arial" w:hint="default"/>
          <w:spacing w:val="14"/>
        </w:rPr>
        <w:t> </w:t>
      </w:r>
      <w:r>
        <w:rPr/>
        <w:t>日，其他应收款及长期应收款前五名债务人欠款金额合计约人民币</w:t>
      </w:r>
    </w:p>
    <w:p>
      <w:pPr>
        <w:pStyle w:val="BodyText"/>
        <w:spacing w:line="312" w:lineRule="exact"/>
        <w:ind w:left="807" w:right="0"/>
        <w:jc w:val="left"/>
      </w:pPr>
      <w:r>
        <w:rPr>
          <w:rFonts w:ascii="Arial" w:hAnsi="Arial" w:cs="Arial" w:eastAsia="Arial" w:hint="default"/>
        </w:rPr>
        <w:t>2,552</w:t>
      </w:r>
      <w:r>
        <w:rPr>
          <w:rFonts w:ascii="Arial" w:hAnsi="Arial" w:cs="Arial" w:eastAsia="Arial" w:hint="default"/>
          <w:spacing w:val="3"/>
        </w:rPr>
        <w:t> </w:t>
      </w:r>
      <w:r>
        <w:rPr/>
        <w:t>万元</w:t>
      </w: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0"/>
        </w:rPr>
        <w:t> </w:t>
      </w:r>
      <w:r>
        <w:rPr>
          <w:rFonts w:ascii="Arial" w:hAnsi="Arial" w:cs="Arial" w:eastAsia="Arial" w:hint="default"/>
        </w:rPr>
        <w:t>31</w:t>
      </w:r>
      <w:r>
        <w:rPr>
          <w:rFonts w:ascii="Arial" w:hAnsi="Arial" w:cs="Arial" w:eastAsia="Arial" w:hint="default"/>
          <w:spacing w:val="3"/>
        </w:rPr>
        <w:t> </w:t>
      </w:r>
      <w:r>
        <w:rPr/>
        <w:t>日：约人民币</w:t>
      </w:r>
      <w:r>
        <w:rPr>
          <w:spacing w:val="-50"/>
        </w:rPr>
        <w:t> </w:t>
      </w:r>
      <w:r>
        <w:rPr>
          <w:rFonts w:ascii="Arial" w:hAnsi="Arial" w:cs="Arial" w:eastAsia="Arial" w:hint="default"/>
        </w:rPr>
        <w:t>1,264</w:t>
      </w:r>
      <w:r>
        <w:rPr>
          <w:rFonts w:ascii="Arial" w:hAnsi="Arial" w:cs="Arial" w:eastAsia="Arial" w:hint="default"/>
          <w:spacing w:val="3"/>
        </w:rPr>
        <w:t> </w:t>
      </w:r>
      <w:r>
        <w:rPr/>
        <w:t>万元</w:t>
      </w:r>
      <w:r>
        <w:rPr>
          <w:rFonts w:ascii="Arial" w:hAnsi="Arial" w:cs="Arial" w:eastAsia="Arial" w:hint="default"/>
        </w:rPr>
        <w:t>)</w:t>
      </w:r>
      <w:r>
        <w:rPr/>
        <w:t>，占其他应收款及长期应收款总</w:t>
      </w:r>
    </w:p>
    <w:p>
      <w:pPr>
        <w:pStyle w:val="BodyText"/>
        <w:spacing w:line="312" w:lineRule="exact"/>
        <w:ind w:left="807" w:right="0"/>
        <w:jc w:val="left"/>
      </w:pPr>
      <w:r>
        <w:rPr/>
        <w:t>额的</w:t>
      </w:r>
      <w:r>
        <w:rPr>
          <w:spacing w:val="-66"/>
        </w:rPr>
        <w:t> </w:t>
      </w:r>
      <w:r>
        <w:rPr>
          <w:rFonts w:ascii="Arial" w:hAnsi="Arial" w:cs="Arial" w:eastAsia="Arial" w:hint="default"/>
        </w:rPr>
        <w:t>14%(2007</w:t>
      </w:r>
      <w:r>
        <w:rPr>
          <w:rFonts w:ascii="Arial" w:hAnsi="Arial" w:cs="Arial" w:eastAsia="Arial" w:hint="default"/>
          <w:spacing w:val="-13"/>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w:t>
      </w:r>
      <w:r>
        <w:rPr>
          <w:rFonts w:ascii="Arial" w:hAnsi="Arial" w:cs="Arial" w:eastAsia="Arial" w:hint="default"/>
        </w:rPr>
        <w:t>13%)</w:t>
      </w:r>
      <w:r>
        <w:rPr/>
        <w:t>，其中约人民币</w:t>
      </w:r>
      <w:r>
        <w:rPr>
          <w:spacing w:val="-66"/>
        </w:rPr>
        <w:t> </w:t>
      </w:r>
      <w:r>
        <w:rPr>
          <w:rFonts w:ascii="Arial" w:hAnsi="Arial" w:cs="Arial" w:eastAsia="Arial" w:hint="default"/>
        </w:rPr>
        <w:t>2,052</w:t>
      </w:r>
      <w:r>
        <w:rPr>
          <w:rFonts w:ascii="Arial" w:hAnsi="Arial" w:cs="Arial" w:eastAsia="Arial" w:hint="default"/>
          <w:spacing w:val="-13"/>
        </w:rPr>
        <w:t> </w:t>
      </w:r>
      <w:r>
        <w:rPr/>
        <w:t>万元账龄为一年以内，约人</w:t>
      </w:r>
    </w:p>
    <w:p>
      <w:pPr>
        <w:pStyle w:val="BodyText"/>
        <w:spacing w:line="427" w:lineRule="auto"/>
        <w:ind w:left="807" w:right="3957"/>
        <w:jc w:val="left"/>
      </w:pPr>
      <w:r>
        <w:rPr/>
        <w:t>民币</w:t>
      </w:r>
      <w:r>
        <w:rPr>
          <w:spacing w:val="-61"/>
        </w:rPr>
        <w:t> </w:t>
      </w:r>
      <w:r>
        <w:rPr>
          <w:rFonts w:ascii="Arial" w:hAnsi="Arial" w:cs="Arial" w:eastAsia="Arial" w:hint="default"/>
        </w:rPr>
        <w:t>500</w:t>
      </w:r>
      <w:r>
        <w:rPr>
          <w:rFonts w:ascii="Arial" w:hAnsi="Arial" w:cs="Arial" w:eastAsia="Arial" w:hint="default"/>
          <w:spacing w:val="-7"/>
        </w:rPr>
        <w:t> </w:t>
      </w:r>
      <w:r>
        <w:rPr/>
        <w:t>万元账龄为一到二年。 本集团的其他应收款及长期应收款均为人民币余额。</w:t>
      </w:r>
    </w:p>
    <w:p>
      <w:pPr>
        <w:tabs>
          <w:tab w:pos="807" w:val="left" w:leader="none"/>
        </w:tabs>
        <w:spacing w:before="86"/>
        <w:ind w:left="102" w:right="3753" w:firstLine="0"/>
        <w:jc w:val="left"/>
        <w:rPr>
          <w:rFonts w:ascii="宋体" w:hAnsi="宋体" w:cs="宋体" w:eastAsia="宋体"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预付款项</w:t>
      </w:r>
      <w:r>
        <w:rPr>
          <w:rFonts w:ascii="宋体" w:hAnsi="宋体" w:cs="宋体" w:eastAsia="宋体" w:hint="default"/>
          <w:sz w:val="24"/>
          <w:szCs w:val="24"/>
        </w:rPr>
      </w:r>
    </w:p>
    <w:p>
      <w:pPr>
        <w:spacing w:line="240" w:lineRule="auto" w:before="4"/>
        <w:rPr>
          <w:rFonts w:ascii="宋体" w:hAnsi="宋体" w:cs="宋体" w:eastAsia="宋体" w:hint="default"/>
          <w:b/>
          <w:bCs/>
          <w:sz w:val="18"/>
          <w:szCs w:val="18"/>
        </w:rPr>
      </w:pPr>
    </w:p>
    <w:p>
      <w:pPr>
        <w:pStyle w:val="BodyText"/>
        <w:tabs>
          <w:tab w:pos="8007" w:val="left" w:leader="none"/>
        </w:tabs>
        <w:spacing w:line="322" w:lineRule="exact"/>
        <w:ind w:left="4060"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4947" w:val="left" w:leader="none"/>
          <w:tab w:pos="7797" w:val="left" w:leader="none"/>
          <w:tab w:pos="8893" w:val="left" w:leader="none"/>
        </w:tabs>
        <w:spacing w:line="304" w:lineRule="exact"/>
        <w:ind w:left="3709" w:right="0"/>
        <w:jc w:val="left"/>
      </w:pPr>
      <w:r>
        <w:rPr/>
        <w:t>金额</w:t>
        <w:tab/>
        <w:t>占总额比例</w:t>
        <w:tab/>
        <w:t>金额</w:t>
        <w:tab/>
        <w:t>占总额比例</w:t>
      </w:r>
    </w:p>
    <w:p>
      <w:pPr>
        <w:spacing w:line="240" w:lineRule="auto" w:before="1"/>
        <w:rPr>
          <w:rFonts w:ascii="宋体" w:hAnsi="宋体" w:cs="宋体" w:eastAsia="宋体"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1900"/>
        <w:gridCol w:w="1738"/>
        <w:gridCol w:w="293"/>
        <w:gridCol w:w="1550"/>
        <w:gridCol w:w="407"/>
        <w:gridCol w:w="1718"/>
        <w:gridCol w:w="266"/>
        <w:gridCol w:w="1556"/>
      </w:tblGrid>
      <w:tr>
        <w:trPr>
          <w:trHeight w:val="462" w:hRule="exact"/>
        </w:trPr>
        <w:tc>
          <w:tcPr>
            <w:tcW w:w="1900"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302" w:lineRule="exact"/>
              <w:ind w:left="23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9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302" w:lineRule="exact"/>
              <w:ind w:right="0"/>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1822" w:type="dxa"/>
            <w:gridSpan w:val="2"/>
            <w:tcBorders>
              <w:top w:val="nil" w:sz="6" w:space="0" w:color="auto"/>
              <w:left w:val="nil" w:sz="6" w:space="0" w:color="auto"/>
              <w:bottom w:val="nil" w:sz="6" w:space="0" w:color="auto"/>
              <w:right w:val="nil" w:sz="6" w:space="0" w:color="auto"/>
            </w:tcBorders>
          </w:tcPr>
          <w:p>
            <w:pPr/>
          </w:p>
        </w:tc>
      </w:tr>
      <w:tr>
        <w:trPr>
          <w:trHeight w:val="46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738"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475" w:right="0"/>
              <w:jc w:val="left"/>
              <w:rPr>
                <w:rFonts w:ascii="Arial" w:hAnsi="Arial" w:cs="Arial" w:eastAsia="Arial" w:hint="default"/>
                <w:sz w:val="24"/>
                <w:szCs w:val="24"/>
              </w:rPr>
            </w:pPr>
            <w:r>
              <w:rPr>
                <w:rFonts w:ascii="Arial"/>
                <w:sz w:val="24"/>
              </w:rPr>
              <w:t>1,081,882</w:t>
            </w:r>
          </w:p>
        </w:tc>
        <w:tc>
          <w:tcPr>
            <w:tcW w:w="29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828" w:right="0"/>
              <w:jc w:val="left"/>
              <w:rPr>
                <w:rFonts w:ascii="Arial" w:hAnsi="Arial" w:cs="Arial" w:eastAsia="Arial" w:hint="default"/>
                <w:sz w:val="24"/>
                <w:szCs w:val="24"/>
              </w:rPr>
            </w:pPr>
            <w:r>
              <w:rPr>
                <w:rFonts w:ascii="Arial"/>
                <w:sz w:val="24"/>
              </w:rPr>
              <w:t>100%</w:t>
            </w:r>
          </w:p>
        </w:tc>
        <w:tc>
          <w:tcPr>
            <w:tcW w:w="40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108"/>
              <w:jc w:val="right"/>
              <w:rPr>
                <w:rFonts w:ascii="Arial" w:hAnsi="Arial" w:cs="Arial" w:eastAsia="Arial" w:hint="default"/>
                <w:sz w:val="24"/>
                <w:szCs w:val="24"/>
              </w:rPr>
            </w:pPr>
            <w:r>
              <w:rPr>
                <w:rFonts w:ascii="Arial"/>
                <w:spacing w:val="-1"/>
                <w:w w:val="95"/>
                <w:sz w:val="24"/>
              </w:rPr>
              <w:t>1,021,992</w:t>
            </w:r>
            <w:r>
              <w:rPr>
                <w:rFonts w:ascii="Arial"/>
                <w:sz w:val="24"/>
              </w:rPr>
            </w:r>
          </w:p>
        </w:tc>
        <w:tc>
          <w:tcPr>
            <w:tcW w:w="266"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left="834" w:right="0"/>
              <w:jc w:val="left"/>
              <w:rPr>
                <w:rFonts w:ascii="Arial" w:hAnsi="Arial" w:cs="Arial" w:eastAsia="Arial" w:hint="default"/>
                <w:sz w:val="24"/>
                <w:szCs w:val="24"/>
              </w:rPr>
            </w:pPr>
            <w:r>
              <w:rPr>
                <w:rFonts w:ascii="Arial"/>
                <w:sz w:val="24"/>
              </w:rPr>
              <w:t>100%</w:t>
            </w:r>
          </w:p>
        </w:tc>
      </w:tr>
    </w:tbl>
    <w:p>
      <w:pPr>
        <w:spacing w:after="0" w:line="240" w:lineRule="auto"/>
        <w:jc w:val="left"/>
        <w:rPr>
          <w:rFonts w:ascii="Arial" w:hAnsi="Arial" w:cs="Arial" w:eastAsia="Arial" w:hint="default"/>
          <w:sz w:val="24"/>
          <w:szCs w:val="24"/>
        </w:rPr>
        <w:sectPr>
          <w:type w:val="continuous"/>
          <w:pgSz w:w="11910" w:h="16840"/>
          <w:pgMar w:top="1600" w:bottom="280" w:left="940" w:right="660"/>
        </w:sectPr>
      </w:pPr>
    </w:p>
    <w:p>
      <w:pPr>
        <w:spacing w:line="240" w:lineRule="auto" w:before="7"/>
        <w:rPr>
          <w:rFonts w:ascii="宋体" w:hAnsi="宋体" w:cs="宋体" w:eastAsia="宋体" w:hint="default"/>
          <w:sz w:val="24"/>
          <w:szCs w:val="24"/>
        </w:rPr>
      </w:pPr>
    </w:p>
    <w:p>
      <w:pPr>
        <w:pStyle w:val="Heading2"/>
        <w:tabs>
          <w:tab w:pos="791" w:val="left" w:leader="none"/>
        </w:tabs>
        <w:spacing w:line="240" w:lineRule="auto"/>
        <w:ind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98" w:val="left" w:leader="none"/>
        </w:tabs>
        <w:spacing w:before="0"/>
        <w:ind w:left="102" w:right="0" w:firstLine="0"/>
        <w:jc w:val="left"/>
        <w:rPr>
          <w:rFonts w:ascii="Arial" w:hAnsi="Arial" w:cs="Arial" w:eastAsia="Arial"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预付款项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322" w:lineRule="exact"/>
        <w:ind w:left="798" w:right="0"/>
        <w:jc w:val="left"/>
        <w:rPr>
          <w:rFonts w:ascii="Arial" w:hAnsi="Arial" w:cs="Arial" w:eastAsia="Arial" w:hint="default"/>
        </w:rPr>
      </w:pPr>
      <w:r>
        <w:rPr/>
        <w:t>于</w:t>
      </w:r>
      <w:r>
        <w:rPr>
          <w:spacing w:val="-56"/>
        </w:rPr>
        <w:t> </w:t>
      </w:r>
      <w:r>
        <w:rPr>
          <w:rFonts w:ascii="Arial" w:hAnsi="Arial" w:cs="Arial" w:eastAsia="Arial" w:hint="default"/>
        </w:rPr>
        <w:t>2008</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6"/>
        </w:rPr>
        <w:t> </w:t>
      </w:r>
      <w:r>
        <w:rPr>
          <w:rFonts w:ascii="Arial" w:hAnsi="Arial" w:cs="Arial" w:eastAsia="Arial" w:hint="default"/>
        </w:rPr>
        <w:t>31</w:t>
      </w:r>
      <w:r>
        <w:rPr>
          <w:rFonts w:ascii="Arial" w:hAnsi="Arial" w:cs="Arial" w:eastAsia="Arial" w:hint="default"/>
          <w:spacing w:val="-3"/>
        </w:rPr>
        <w:t> </w:t>
      </w:r>
      <w:r>
        <w:rPr/>
        <w:t>日及</w:t>
      </w:r>
      <w:r>
        <w:rPr>
          <w:spacing w:val="-56"/>
        </w:rPr>
        <w:t> </w:t>
      </w: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6"/>
        </w:rPr>
        <w:t> </w:t>
      </w:r>
      <w:r>
        <w:rPr>
          <w:rFonts w:ascii="Arial" w:hAnsi="Arial" w:cs="Arial" w:eastAsia="Arial" w:hint="default"/>
        </w:rPr>
        <w:t>31</w:t>
      </w:r>
      <w:r>
        <w:rPr>
          <w:rFonts w:ascii="Arial" w:hAnsi="Arial" w:cs="Arial" w:eastAsia="Arial" w:hint="default"/>
          <w:spacing w:val="-3"/>
        </w:rPr>
        <w:t> </w:t>
      </w:r>
      <w:r>
        <w:rPr/>
        <w:t>日，预付款项中无预付持有本公司</w:t>
      </w:r>
      <w:r>
        <w:rPr>
          <w:spacing w:val="-56"/>
        </w:rPr>
        <w:t> </w:t>
      </w:r>
      <w:r>
        <w:rPr>
          <w:rFonts w:ascii="Arial" w:hAnsi="Arial" w:cs="Arial" w:eastAsia="Arial" w:hint="default"/>
        </w:rPr>
        <w:t>5%(</w:t>
      </w:r>
      <w:r>
        <w:rPr/>
        <w:t>含</w:t>
      </w:r>
      <w:r>
        <w:rPr>
          <w:spacing w:val="-56"/>
        </w:rPr>
        <w:t> </w:t>
      </w:r>
      <w:r>
        <w:rPr>
          <w:rFonts w:ascii="Arial" w:hAnsi="Arial" w:cs="Arial" w:eastAsia="Arial" w:hint="default"/>
        </w:rPr>
        <w:t>5%)</w:t>
      </w:r>
    </w:p>
    <w:p>
      <w:pPr>
        <w:pStyle w:val="BodyText"/>
        <w:spacing w:line="448" w:lineRule="auto"/>
        <w:ind w:left="798" w:right="5806"/>
        <w:jc w:val="left"/>
      </w:pPr>
      <w:r>
        <w:rPr/>
        <w:t>以上表决权股份的股东的款项。 本集团的预付款项均为人民币余额。</w:t>
      </w:r>
    </w:p>
    <w:p>
      <w:pPr>
        <w:spacing w:after="0" w:line="448" w:lineRule="auto"/>
        <w:jc w:val="left"/>
        <w:sectPr>
          <w:pgSz w:w="11910" w:h="16840"/>
          <w:pgMar w:header="826" w:footer="894" w:top="1100" w:bottom="1080" w:left="940" w:right="500"/>
        </w:sectPr>
      </w:pPr>
    </w:p>
    <w:p>
      <w:pPr>
        <w:tabs>
          <w:tab w:pos="798" w:val="left" w:leader="none"/>
        </w:tabs>
        <w:spacing w:before="65"/>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w w:val="95"/>
          <w:sz w:val="24"/>
          <w:szCs w:val="24"/>
        </w:rPr>
        <w:t>存货</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r>
        <w:rPr/>
        <w:br w:type="column"/>
      </w:r>
      <w:r>
        <w:rPr>
          <w:rFonts w:ascii="宋体"/>
          <w:b/>
          <w:sz w:val="28"/>
        </w:rPr>
      </w:r>
    </w:p>
    <w:p>
      <w:pPr>
        <w:pStyle w:val="BodyText"/>
        <w:spacing w:line="322" w:lineRule="exact"/>
        <w:ind w:left="464" w:right="-17"/>
        <w:jc w:val="left"/>
      </w:pP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102" w:right="-16"/>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line="240" w:lineRule="auto" w:before="11"/>
        <w:rPr>
          <w:rFonts w:ascii="宋体" w:hAnsi="宋体" w:cs="宋体" w:eastAsia="宋体" w:hint="default"/>
          <w:sz w:val="28"/>
          <w:szCs w:val="28"/>
        </w:rPr>
      </w:pPr>
      <w:r>
        <w:rPr/>
        <w:br w:type="column"/>
      </w:r>
      <w:r>
        <w:rPr>
          <w:rFonts w:ascii="宋体"/>
          <w:sz w:val="28"/>
        </w:rPr>
      </w:r>
    </w:p>
    <w:p>
      <w:pPr>
        <w:pStyle w:val="BodyText"/>
        <w:spacing w:line="322" w:lineRule="exact"/>
        <w:ind w:left="464" w:right="0"/>
        <w:jc w:val="left"/>
      </w:pP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102"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940" w:right="500"/>
          <w:cols w:num="3" w:equalWidth="0">
            <w:col w:w="1279" w:space="1879"/>
            <w:col w:w="1297" w:space="4489"/>
            <w:col w:w="1526"/>
          </w:cols>
        </w:sectPr>
      </w:pPr>
    </w:p>
    <w:p>
      <w:pPr>
        <w:pStyle w:val="BodyText"/>
        <w:tabs>
          <w:tab w:pos="8949" w:val="left" w:leader="none"/>
        </w:tabs>
        <w:spacing w:line="312" w:lineRule="exact"/>
        <w:ind w:left="3094"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9"/>
          <w:szCs w:val="29"/>
        </w:rPr>
      </w:pPr>
    </w:p>
    <w:p>
      <w:pPr>
        <w:pStyle w:val="BodyText"/>
        <w:spacing w:line="240" w:lineRule="auto" w:before="26"/>
        <w:ind w:left="798" w:right="0"/>
        <w:jc w:val="left"/>
        <w:rPr>
          <w:rFonts w:ascii="Arial" w:hAnsi="Arial" w:cs="Arial" w:eastAsia="Arial" w:hint="default"/>
        </w:rPr>
      </w:pPr>
      <w:r>
        <w:rPr/>
        <w:t>成本 </w:t>
      </w:r>
      <w:r>
        <w:rPr>
          <w:rFonts w:ascii="Arial" w:hAnsi="Arial" w:cs="Arial" w:eastAsia="Arial" w:hint="default"/>
        </w:rPr>
        <w:t>-</w:t>
      </w:r>
    </w:p>
    <w:p>
      <w:pPr>
        <w:spacing w:line="240" w:lineRule="auto" w:before="1"/>
        <w:rPr>
          <w:rFonts w:ascii="Arial" w:hAnsi="Arial" w:cs="Arial" w:eastAsia="Arial" w:hint="default"/>
          <w:sz w:val="33"/>
          <w:szCs w:val="33"/>
        </w:rPr>
      </w:pPr>
    </w:p>
    <w:p>
      <w:pPr>
        <w:pStyle w:val="BodyText"/>
        <w:tabs>
          <w:tab w:pos="3321" w:val="left" w:leader="none"/>
          <w:tab w:pos="9133" w:val="left" w:leader="none"/>
        </w:tabs>
        <w:spacing w:line="332" w:lineRule="exact"/>
        <w:ind w:left="975" w:right="0"/>
        <w:jc w:val="left"/>
        <w:rPr>
          <w:rFonts w:ascii="Arial" w:hAnsi="Arial" w:cs="Arial" w:eastAsia="Arial" w:hint="default"/>
        </w:rPr>
      </w:pPr>
      <w:r>
        <w:rPr>
          <w:position w:val="2"/>
        </w:rPr>
        <w:t>库存商品</w:t>
        <w:tab/>
      </w:r>
      <w:r>
        <w:rPr>
          <w:rFonts w:ascii="Arial" w:hAnsi="Arial" w:cs="Arial" w:eastAsia="Arial" w:hint="default"/>
          <w:spacing w:val="-1"/>
        </w:rPr>
        <w:t>4,549,939</w:t>
        <w:tab/>
        <w:t>4,929,978</w:t>
      </w:r>
      <w:r>
        <w:rPr>
          <w:rFonts w:ascii="Arial" w:hAnsi="Arial" w:cs="Arial" w:eastAsia="Arial" w:hint="default"/>
        </w:rPr>
      </w:r>
    </w:p>
    <w:p>
      <w:pPr>
        <w:pStyle w:val="BodyText"/>
        <w:tabs>
          <w:tab w:pos="3655" w:val="left" w:leader="none"/>
          <w:tab w:pos="8395" w:val="left" w:leader="none"/>
          <w:tab w:pos="9468" w:val="left" w:leader="none"/>
          <w:tab w:pos="10342" w:val="left" w:leader="none"/>
        </w:tabs>
        <w:spacing w:line="332" w:lineRule="exact"/>
        <w:ind w:left="975" w:right="0"/>
        <w:jc w:val="left"/>
        <w:rPr>
          <w:rFonts w:ascii="Arial" w:hAnsi="Arial" w:cs="Arial" w:eastAsia="Arial" w:hint="default"/>
        </w:rPr>
      </w:pPr>
      <w:r>
        <w:rPr>
          <w:position w:val="2"/>
        </w:rPr>
        <w:t>安装维修用备件</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14,098</w:t>
      </w:r>
      <w:r>
        <w:rPr>
          <w:rFonts w:ascii="Arial" w:hAnsi="Arial" w:cs="Arial" w:eastAsia="Arial" w:hint="default"/>
          <w:spacing w:val="-1"/>
        </w:rPr>
        <w:tab/>
      </w:r>
      <w:r>
        <w:rPr>
          <w:rFonts w:ascii="Arial" w:hAnsi="Arial" w:cs="Arial" w:eastAsia="Arial" w:hint="default"/>
          <w:spacing w:val="-1"/>
          <w:u w:val="single" w:color="000000"/>
        </w:rPr>
        <w:t> </w:t>
        <w:tab/>
        <w:t>22,728</w:t>
        <w:tab/>
      </w:r>
      <w:r>
        <w:rPr>
          <w:rFonts w:ascii="Arial" w:hAnsi="Arial" w:cs="Arial" w:eastAsia="Arial" w:hint="default"/>
          <w:spacing w:val="-1"/>
        </w:rPr>
      </w:r>
    </w:p>
    <w:p>
      <w:pPr>
        <w:pStyle w:val="BodyText"/>
        <w:tabs>
          <w:tab w:pos="3321" w:val="left" w:leader="none"/>
          <w:tab w:pos="8395" w:val="left" w:leader="none"/>
          <w:tab w:pos="9133" w:val="left" w:leader="none"/>
          <w:tab w:pos="10342" w:val="left" w:leader="none"/>
        </w:tabs>
        <w:spacing w:line="240" w:lineRule="auto" w:before="9"/>
        <w:ind w:left="2740" w:right="0"/>
        <w:jc w:val="left"/>
        <w:rPr>
          <w:rFonts w:ascii="Arial" w:hAnsi="Arial" w:cs="Arial" w:eastAsia="Arial" w:hint="default"/>
        </w:rPr>
      </w:pPr>
      <w:r>
        <w:rPr>
          <w:rFonts w:ascii="Arial"/>
          <w:w w:val="100"/>
        </w:rPr>
      </w:r>
      <w:r>
        <w:rPr>
          <w:rFonts w:ascii="Arial"/>
          <w:w w:val="100"/>
          <w:u w:val="single" w:color="000000"/>
        </w:rPr>
        <w:t> </w:t>
      </w:r>
      <w:r>
        <w:rPr>
          <w:rFonts w:ascii="Arial"/>
          <w:u w:val="single" w:color="000000"/>
        </w:rPr>
        <w:tab/>
      </w:r>
      <w:r>
        <w:rPr>
          <w:rFonts w:ascii="Arial"/>
          <w:spacing w:val="-1"/>
          <w:u w:val="single" w:color="000000"/>
        </w:rPr>
        <w:t>4,564,037</w:t>
      </w:r>
      <w:r>
        <w:rPr>
          <w:rFonts w:ascii="Arial"/>
          <w:spacing w:val="-1"/>
        </w:rPr>
        <w:tab/>
      </w:r>
      <w:r>
        <w:rPr>
          <w:rFonts w:ascii="Arial"/>
          <w:spacing w:val="-1"/>
          <w:u w:val="single" w:color="000000"/>
        </w:rPr>
        <w:t> </w:t>
        <w:tab/>
        <w:t>4,952,706</w:t>
        <w:tab/>
      </w:r>
      <w:r>
        <w:rPr>
          <w:rFonts w:ascii="Arial"/>
          <w:spacing w:val="-1"/>
        </w:rPr>
      </w:r>
    </w:p>
    <w:p>
      <w:pPr>
        <w:spacing w:line="240" w:lineRule="auto" w:before="4"/>
        <w:rPr>
          <w:rFonts w:ascii="Arial" w:hAnsi="Arial" w:cs="Arial" w:eastAsia="Arial" w:hint="default"/>
          <w:sz w:val="19"/>
          <w:szCs w:val="19"/>
        </w:rPr>
      </w:pPr>
    </w:p>
    <w:p>
      <w:pPr>
        <w:spacing w:after="0" w:line="240" w:lineRule="auto"/>
        <w:rPr>
          <w:rFonts w:ascii="Arial" w:hAnsi="Arial" w:cs="Arial" w:eastAsia="Arial" w:hint="default"/>
          <w:sz w:val="19"/>
          <w:szCs w:val="19"/>
        </w:rPr>
        <w:sectPr>
          <w:type w:val="continuous"/>
          <w:pgSz w:w="11910" w:h="16840"/>
          <w:pgMar w:top="1600" w:bottom="280" w:left="940" w:right="500"/>
        </w:sectPr>
      </w:pPr>
    </w:p>
    <w:p>
      <w:pPr>
        <w:pStyle w:val="BodyText"/>
        <w:spacing w:line="240" w:lineRule="auto" w:before="26"/>
        <w:ind w:left="798" w:right="-20"/>
        <w:jc w:val="left"/>
        <w:rPr>
          <w:rFonts w:ascii="Arial" w:hAnsi="Arial" w:cs="Arial" w:eastAsia="Arial" w:hint="default"/>
        </w:rPr>
      </w:pPr>
      <w:r>
        <w:rPr/>
        <w:t>减：存货跌价准备 </w:t>
      </w:r>
      <w:r>
        <w:rPr>
          <w:rFonts w:ascii="Arial" w:hAnsi="Arial" w:cs="Arial" w:eastAsia="Arial" w:hint="default"/>
        </w:rPr>
        <w:t>-</w:t>
      </w:r>
    </w:p>
    <w:p>
      <w:pPr>
        <w:spacing w:line="240" w:lineRule="auto" w:before="11"/>
        <w:rPr>
          <w:rFonts w:ascii="Arial" w:hAnsi="Arial" w:cs="Arial" w:eastAsia="Arial" w:hint="default"/>
          <w:sz w:val="32"/>
          <w:szCs w:val="32"/>
        </w:rPr>
      </w:pPr>
      <w:r>
        <w:rPr/>
        <w:br w:type="column"/>
      </w:r>
      <w:r>
        <w:rPr>
          <w:rFonts w:ascii="Arial"/>
          <w:sz w:val="32"/>
        </w:rPr>
      </w:r>
    </w:p>
    <w:p>
      <w:pPr>
        <w:pStyle w:val="BodyText"/>
        <w:tabs>
          <w:tab w:pos="1931" w:val="left" w:leader="none"/>
        </w:tabs>
        <w:spacing w:line="240" w:lineRule="auto"/>
        <w:ind w:left="0" w:right="1680"/>
        <w:jc w:val="center"/>
      </w:pPr>
      <w:r>
        <w:rPr/>
        <w:t>本年增加</w:t>
        <w:tab/>
        <w:t>本年实现</w:t>
      </w:r>
    </w:p>
    <w:p>
      <w:pPr>
        <w:pStyle w:val="BodyText"/>
        <w:spacing w:line="240" w:lineRule="auto" w:before="18"/>
        <w:ind w:left="0" w:right="1786"/>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after="0" w:line="240" w:lineRule="auto"/>
        <w:jc w:val="center"/>
        <w:rPr>
          <w:rFonts w:ascii="Arial" w:hAnsi="Arial" w:cs="Arial" w:eastAsia="Arial" w:hint="default"/>
        </w:rPr>
        <w:sectPr>
          <w:type w:val="continuous"/>
          <w:pgSz w:w="11910" w:h="16840"/>
          <w:pgMar w:top="1600" w:bottom="280" w:left="940" w:right="500"/>
          <w:cols w:num="2" w:equalWidth="0">
            <w:col w:w="2919" w:space="1373"/>
            <w:col w:w="6178"/>
          </w:cols>
        </w:sectPr>
      </w:pPr>
    </w:p>
    <w:p>
      <w:pPr>
        <w:spacing w:line="240" w:lineRule="auto" w:before="10"/>
        <w:rPr>
          <w:rFonts w:ascii="Arial" w:hAnsi="Arial" w:cs="Arial" w:eastAsia="Arial" w:hint="default"/>
          <w:sz w:val="24"/>
          <w:szCs w:val="24"/>
        </w:rPr>
      </w:pPr>
    </w:p>
    <w:p>
      <w:pPr>
        <w:pStyle w:val="BodyText"/>
        <w:tabs>
          <w:tab w:pos="2740" w:val="left" w:leader="none"/>
          <w:tab w:pos="3593" w:val="left" w:leader="none"/>
          <w:tab w:pos="4798" w:val="left" w:leader="none"/>
          <w:tab w:pos="5237" w:val="left" w:leader="none"/>
          <w:tab w:pos="6339" w:val="left" w:leader="none"/>
          <w:tab w:pos="6576" w:val="left" w:leader="none"/>
          <w:tab w:pos="7382" w:val="left" w:leader="none"/>
          <w:tab w:pos="8395" w:val="left" w:leader="none"/>
          <w:tab w:pos="9387" w:val="left" w:leader="none"/>
        </w:tabs>
        <w:spacing w:line="240" w:lineRule="auto" w:before="24"/>
        <w:ind w:left="1308" w:right="0"/>
        <w:jc w:val="left"/>
        <w:rPr>
          <w:rFonts w:ascii="Arial" w:hAnsi="Arial" w:cs="Arial" w:eastAsia="Arial" w:hint="default"/>
        </w:rPr>
      </w:pPr>
      <w:r>
        <w:rPr>
          <w:position w:val="4"/>
        </w:rPr>
        <w:t>库存商品</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4"/>
          <w:u w:val="single" w:color="000000"/>
        </w:rPr>
        <w:t>(11,494)</w:t>
      </w:r>
      <w:r>
        <w:rPr>
          <w:rFonts w:ascii="Arial" w:hAnsi="Arial" w:cs="Arial" w:eastAsia="Arial" w:hint="default"/>
          <w:spacing w:val="-4"/>
        </w:rPr>
        <w:tab/>
      </w:r>
      <w:r>
        <w:rPr>
          <w:rFonts w:ascii="Arial" w:hAnsi="Arial" w:cs="Arial" w:eastAsia="Arial" w:hint="default"/>
          <w:spacing w:val="-4"/>
          <w:u w:val="single" w:color="000000"/>
        </w:rPr>
        <w:t> </w:t>
        <w:tab/>
      </w:r>
      <w:r>
        <w:rPr>
          <w:rFonts w:ascii="Arial" w:hAnsi="Arial" w:cs="Arial" w:eastAsia="Arial" w:hint="default"/>
          <w:spacing w:val="-1"/>
          <w:u w:val="single" w:color="000000"/>
        </w:rPr>
        <w:t>(42,849)</w:t>
        <w:tab/>
      </w:r>
      <w:r>
        <w:rPr>
          <w:rFonts w:ascii="Arial" w:hAnsi="Arial" w:cs="Arial" w:eastAsia="Arial" w:hint="default"/>
          <w:spacing w:val="-1"/>
        </w:rPr>
        <w:tab/>
      </w:r>
      <w:r>
        <w:rPr>
          <w:rFonts w:ascii="Arial" w:hAnsi="Arial" w:cs="Arial" w:eastAsia="Arial" w:hint="default"/>
          <w:spacing w:val="-1"/>
          <w:u w:val="single" w:color="000000"/>
        </w:rPr>
        <w:t> </w:t>
        <w:tab/>
        <w:t>9,848</w:t>
      </w:r>
      <w:r>
        <w:rPr>
          <w:rFonts w:ascii="Arial" w:hAnsi="Arial" w:cs="Arial" w:eastAsia="Arial" w:hint="default"/>
          <w:spacing w:val="-1"/>
        </w:rPr>
        <w:tab/>
      </w:r>
      <w:r>
        <w:rPr>
          <w:rFonts w:ascii="Arial" w:hAnsi="Arial" w:cs="Arial" w:eastAsia="Arial" w:hint="default"/>
          <w:spacing w:val="-1"/>
          <w:u w:val="single" w:color="000000"/>
        </w:rPr>
        <w:t> </w:t>
        <w:tab/>
        <w:t>(44,495)</w:t>
      </w:r>
      <w:r>
        <w:rPr>
          <w:rFonts w:ascii="Arial" w:hAnsi="Arial" w:cs="Arial" w:eastAsia="Arial" w:hint="default"/>
          <w:spacing w:val="-1"/>
        </w:rPr>
      </w:r>
      <w:r>
        <w:rPr>
          <w:rFonts w:ascii="Arial" w:hAnsi="Arial" w:cs="Arial" w:eastAsia="Arial" w:hint="default"/>
        </w:rPr>
      </w:r>
    </w:p>
    <w:p>
      <w:pPr>
        <w:pStyle w:val="BodyText"/>
        <w:tabs>
          <w:tab w:pos="3321" w:val="left" w:leader="none"/>
          <w:tab w:pos="8388" w:val="left" w:leader="none"/>
          <w:tab w:pos="9151" w:val="left" w:leader="none"/>
          <w:tab w:pos="10349" w:val="left" w:leader="none"/>
        </w:tabs>
        <w:spacing w:line="240" w:lineRule="auto" w:before="66"/>
        <w:ind w:left="2733"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4,552,543</w:t>
      </w:r>
      <w:r>
        <w:rPr>
          <w:rFonts w:ascii="Arial"/>
          <w:spacing w:val="-1"/>
        </w:rPr>
        <w:tab/>
      </w:r>
      <w:r>
        <w:rPr>
          <w:rFonts w:ascii="Arial"/>
          <w:spacing w:val="-1"/>
          <w:u w:val="thick" w:color="000000"/>
        </w:rPr>
        <w:t> </w:t>
        <w:tab/>
      </w:r>
      <w:r>
        <w:rPr>
          <w:rFonts w:ascii="Arial"/>
          <w:spacing w:val="-3"/>
          <w:u w:val="thick" w:color="000000"/>
        </w:rPr>
        <w:t>4,908,211</w:t>
        <w:tab/>
      </w:r>
      <w:r>
        <w:rPr>
          <w:rFonts w:ascii="Arial"/>
          <w:spacing w:val="-3"/>
        </w:rPr>
      </w:r>
    </w:p>
    <w:p>
      <w:pPr>
        <w:spacing w:line="240" w:lineRule="auto" w:before="6"/>
        <w:rPr>
          <w:rFonts w:ascii="Arial" w:hAnsi="Arial" w:cs="Arial" w:eastAsia="Arial" w:hint="default"/>
          <w:sz w:val="17"/>
          <w:szCs w:val="17"/>
        </w:rPr>
      </w:pPr>
    </w:p>
    <w:p>
      <w:pPr>
        <w:tabs>
          <w:tab w:pos="807" w:val="left" w:leader="none"/>
        </w:tabs>
        <w:spacing w:before="32"/>
        <w:ind w:left="100"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其他流动资产</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919" w:val="left" w:leader="none"/>
        </w:tabs>
        <w:spacing w:line="322" w:lineRule="exact" w:before="26"/>
        <w:ind w:left="4548" w:right="0"/>
        <w:jc w:val="center"/>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959" w:val="left" w:leader="none"/>
        </w:tabs>
        <w:spacing w:line="322" w:lineRule="exact"/>
        <w:ind w:left="5558"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5953" w:val="left" w:leader="none"/>
          <w:tab w:pos="9342" w:val="left" w:leader="none"/>
        </w:tabs>
        <w:spacing w:line="332" w:lineRule="exact"/>
        <w:ind w:left="807" w:right="0"/>
        <w:jc w:val="left"/>
        <w:rPr>
          <w:rFonts w:ascii="Arial" w:hAnsi="Arial" w:cs="Arial" w:eastAsia="Arial" w:hint="default"/>
        </w:rPr>
      </w:pPr>
      <w:r>
        <w:rPr>
          <w:position w:val="2"/>
        </w:rPr>
        <w:t>待摊的房屋租赁费</w:t>
        <w:tab/>
      </w:r>
      <w:r>
        <w:rPr>
          <w:rFonts w:ascii="Arial" w:hAnsi="Arial" w:cs="Arial" w:eastAsia="Arial" w:hint="default"/>
          <w:spacing w:val="-1"/>
        </w:rPr>
        <w:t>389,870</w:t>
        <w:tab/>
        <w:t>327,401</w:t>
      </w:r>
      <w:r>
        <w:rPr>
          <w:rFonts w:ascii="Arial" w:hAnsi="Arial" w:cs="Arial" w:eastAsia="Arial" w:hint="default"/>
        </w:rPr>
      </w:r>
    </w:p>
    <w:p>
      <w:pPr>
        <w:pStyle w:val="BodyText"/>
        <w:tabs>
          <w:tab w:pos="4482" w:val="left" w:leader="none"/>
          <w:tab w:pos="6220" w:val="left" w:leader="none"/>
          <w:tab w:pos="7919" w:val="left" w:leader="none"/>
          <w:tab w:pos="9609" w:val="left" w:leader="none"/>
          <w:tab w:pos="10336" w:val="left" w:leader="none"/>
        </w:tabs>
        <w:spacing w:line="332" w:lineRule="exact"/>
        <w:ind w:left="807" w:right="0"/>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1,050</w:t>
      </w:r>
      <w:r>
        <w:rPr>
          <w:rFonts w:ascii="Arial" w:hAnsi="Arial" w:cs="Arial" w:eastAsia="Arial" w:hint="default"/>
          <w:spacing w:val="-1"/>
        </w:rPr>
        <w:tab/>
      </w:r>
      <w:r>
        <w:rPr>
          <w:rFonts w:ascii="Arial" w:hAnsi="Arial" w:cs="Arial" w:eastAsia="Arial" w:hint="default"/>
          <w:spacing w:val="-1"/>
          <w:u w:val="single" w:color="000000"/>
        </w:rPr>
        <w:t> </w:t>
        <w:tab/>
        <w:t>3,793</w:t>
        <w:tab/>
      </w:r>
      <w:r>
        <w:rPr>
          <w:rFonts w:ascii="Arial" w:hAnsi="Arial" w:cs="Arial" w:eastAsia="Arial" w:hint="default"/>
          <w:spacing w:val="-1"/>
        </w:rPr>
      </w:r>
    </w:p>
    <w:p>
      <w:pPr>
        <w:pStyle w:val="BodyText"/>
        <w:tabs>
          <w:tab w:pos="5833" w:val="left" w:leader="none"/>
          <w:tab w:pos="7791" w:val="left" w:leader="none"/>
          <w:tab w:pos="9221" w:val="left" w:leader="none"/>
          <w:tab w:pos="10222" w:val="left" w:leader="none"/>
        </w:tabs>
        <w:spacing w:line="240" w:lineRule="auto" w:before="9"/>
        <w:ind w:left="4354"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390,920</w:t>
      </w:r>
      <w:r>
        <w:rPr>
          <w:rFonts w:ascii="Arial"/>
          <w:spacing w:val="-1"/>
        </w:rPr>
        <w:tab/>
      </w:r>
      <w:r>
        <w:rPr>
          <w:rFonts w:ascii="Arial"/>
          <w:spacing w:val="-1"/>
          <w:u w:val="thick" w:color="000000"/>
        </w:rPr>
        <w:t> </w:t>
        <w:tab/>
        <w:t>331,194</w:t>
        <w:tab/>
      </w:r>
      <w:r>
        <w:rPr>
          <w:rFonts w:ascii="Arial"/>
          <w:spacing w:val="-1"/>
        </w:rPr>
      </w:r>
    </w:p>
    <w:p>
      <w:pPr>
        <w:spacing w:after="0" w:line="240" w:lineRule="auto"/>
        <w:jc w:val="center"/>
        <w:rPr>
          <w:rFonts w:ascii="Arial" w:hAnsi="Arial" w:cs="Arial" w:eastAsia="Arial" w:hint="default"/>
        </w:rPr>
        <w:sectPr>
          <w:type w:val="continuous"/>
          <w:pgSz w:w="11910" w:h="16840"/>
          <w:pgMar w:top="1600" w:bottom="280" w:left="940" w:right="500"/>
        </w:sectPr>
      </w:pPr>
    </w:p>
    <w:p>
      <w:pPr>
        <w:spacing w:line="240" w:lineRule="auto" w:before="11"/>
        <w:rPr>
          <w:rFonts w:ascii="Arial" w:hAnsi="Arial" w:cs="Arial" w:eastAsia="Arial"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90"/>
        <w:gridCol w:w="3749"/>
        <w:gridCol w:w="2332"/>
        <w:gridCol w:w="877"/>
        <w:gridCol w:w="686"/>
        <w:gridCol w:w="1708"/>
      </w:tblGrid>
      <w:tr>
        <w:trPr>
          <w:trHeight w:val="964" w:hRule="exact"/>
        </w:trPr>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(7)</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224"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c>
          <w:tcPr>
            <w:tcW w:w="5603" w:type="dxa"/>
            <w:gridSpan w:val="4"/>
            <w:tcBorders>
              <w:top w:val="nil" w:sz="6" w:space="0" w:color="auto"/>
              <w:left w:val="nil" w:sz="6" w:space="0" w:color="auto"/>
              <w:bottom w:val="nil" w:sz="6" w:space="0" w:color="auto"/>
              <w:right w:val="nil" w:sz="6" w:space="0" w:color="auto"/>
            </w:tcBorders>
          </w:tcPr>
          <w:p>
            <w:pPr/>
          </w:p>
        </w:tc>
      </w:tr>
      <w:tr>
        <w:trPr>
          <w:trHeight w:val="318" w:hRule="exact"/>
        </w:trPr>
        <w:tc>
          <w:tcPr>
            <w:tcW w:w="490"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93" w:lineRule="exact"/>
              <w:ind w:left="143"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877" w:type="dxa"/>
            <w:tcBorders>
              <w:top w:val="nil" w:sz="6" w:space="0" w:color="auto"/>
              <w:left w:val="nil" w:sz="6" w:space="0" w:color="auto"/>
              <w:bottom w:val="nil" w:sz="6" w:space="0" w:color="auto"/>
              <w:right w:val="nil" w:sz="6" w:space="0" w:color="auto"/>
            </w:tcBorders>
          </w:tcPr>
          <w:p>
            <w:pPr/>
          </w:p>
        </w:tc>
        <w:tc>
          <w:tcPr>
            <w:tcW w:w="2394"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205"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7" w:hRule="exact"/>
        </w:trPr>
        <w:tc>
          <w:tcPr>
            <w:tcW w:w="490"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87" w:lineRule="exact"/>
              <w:ind w:right="35"/>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877" w:type="dxa"/>
            <w:tcBorders>
              <w:top w:val="nil" w:sz="6" w:space="0" w:color="auto"/>
              <w:left w:val="nil" w:sz="6" w:space="0" w:color="auto"/>
              <w:bottom w:val="nil" w:sz="6" w:space="0" w:color="auto"/>
              <w:right w:val="nil" w:sz="6" w:space="0" w:color="auto"/>
            </w:tcBorders>
          </w:tcPr>
          <w:p>
            <w:pPr/>
          </w:p>
        </w:tc>
        <w:tc>
          <w:tcPr>
            <w:tcW w:w="2394"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01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0" w:hRule="exact"/>
        </w:trPr>
        <w:tc>
          <w:tcPr>
            <w:tcW w:w="490"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(a)</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6"/>
              <w:jc w:val="right"/>
              <w:rPr>
                <w:rFonts w:ascii="Arial" w:hAnsi="Arial" w:cs="Arial" w:eastAsia="Arial" w:hint="default"/>
                <w:sz w:val="24"/>
                <w:szCs w:val="24"/>
              </w:rPr>
            </w:pPr>
            <w:r>
              <w:rPr>
                <w:rFonts w:ascii="Arial"/>
                <w:spacing w:val="-19"/>
                <w:w w:val="95"/>
                <w:sz w:val="24"/>
              </w:rPr>
              <w:t>11</w:t>
            </w:r>
            <w:r>
              <w:rPr>
                <w:rFonts w:ascii="Arial"/>
                <w:sz w:val="24"/>
              </w:rPr>
            </w:r>
          </w:p>
        </w:tc>
        <w:tc>
          <w:tcPr>
            <w:tcW w:w="877" w:type="dxa"/>
            <w:tcBorders>
              <w:top w:val="nil" w:sz="6" w:space="0" w:color="auto"/>
              <w:left w:val="nil" w:sz="6" w:space="0" w:color="auto"/>
              <w:bottom w:val="nil" w:sz="6" w:space="0" w:color="auto"/>
              <w:right w:val="nil" w:sz="6" w:space="0" w:color="auto"/>
            </w:tcBorders>
          </w:tcPr>
          <w:p>
            <w:pPr/>
          </w:p>
        </w:tc>
        <w:tc>
          <w:tcPr>
            <w:tcW w:w="2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right="118"/>
              <w:jc w:val="right"/>
              <w:rPr>
                <w:rFonts w:ascii="Arial" w:hAnsi="Arial" w:cs="Arial" w:eastAsia="Arial" w:hint="default"/>
                <w:sz w:val="24"/>
                <w:szCs w:val="24"/>
              </w:rPr>
            </w:pPr>
            <w:r>
              <w:rPr>
                <w:rFonts w:ascii="Arial"/>
                <w:spacing w:val="-19"/>
                <w:w w:val="95"/>
                <w:sz w:val="24"/>
              </w:rPr>
              <w:t>11</w:t>
            </w:r>
            <w:r>
              <w:rPr>
                <w:rFonts w:ascii="Arial"/>
                <w:sz w:val="24"/>
              </w:rPr>
            </w:r>
          </w:p>
        </w:tc>
      </w:tr>
      <w:tr>
        <w:trPr>
          <w:trHeight w:val="315" w:hRule="exact"/>
        </w:trPr>
        <w:tc>
          <w:tcPr>
            <w:tcW w:w="490"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90" w:lineRule="exact"/>
              <w:ind w:left="224"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2332" w:type="dxa"/>
            <w:tcBorders>
              <w:top w:val="nil" w:sz="6" w:space="0" w:color="auto"/>
              <w:left w:val="nil" w:sz="6" w:space="0" w:color="auto"/>
              <w:bottom w:val="single" w:sz="4" w:space="0" w:color="000000"/>
              <w:right w:val="nil" w:sz="6" w:space="0" w:color="auto"/>
            </w:tcBorders>
          </w:tcPr>
          <w:p>
            <w:pPr>
              <w:pStyle w:val="TableParagraph"/>
              <w:spacing w:line="272" w:lineRule="exact"/>
              <w:ind w:right="98"/>
              <w:jc w:val="right"/>
              <w:rPr>
                <w:rFonts w:ascii="Arial" w:hAnsi="Arial" w:cs="Arial" w:eastAsia="Arial" w:hint="default"/>
                <w:sz w:val="24"/>
                <w:szCs w:val="24"/>
              </w:rPr>
            </w:pPr>
            <w:r>
              <w:rPr>
                <w:rFonts w:ascii="Arial"/>
                <w:spacing w:val="-1"/>
                <w:w w:val="95"/>
                <w:sz w:val="24"/>
              </w:rPr>
              <w:t>993</w:t>
            </w:r>
            <w:r>
              <w:rPr>
                <w:rFonts w:ascii="Arial"/>
                <w:sz w:val="24"/>
              </w:rPr>
            </w:r>
          </w:p>
        </w:tc>
        <w:tc>
          <w:tcPr>
            <w:tcW w:w="877" w:type="dxa"/>
            <w:tcBorders>
              <w:top w:val="nil" w:sz="6" w:space="0" w:color="auto"/>
              <w:left w:val="nil" w:sz="6" w:space="0" w:color="auto"/>
              <w:bottom w:val="nil" w:sz="6" w:space="0" w:color="auto"/>
              <w:right w:val="nil" w:sz="6" w:space="0" w:color="auto"/>
            </w:tcBorders>
          </w:tcPr>
          <w:p>
            <w:pPr/>
          </w:p>
        </w:tc>
        <w:tc>
          <w:tcPr>
            <w:tcW w:w="2394" w:type="dxa"/>
            <w:gridSpan w:val="2"/>
            <w:tcBorders>
              <w:top w:val="nil" w:sz="6" w:space="0" w:color="auto"/>
              <w:left w:val="nil" w:sz="6" w:space="0" w:color="auto"/>
              <w:bottom w:val="single" w:sz="4" w:space="0" w:color="000000"/>
              <w:right w:val="nil" w:sz="6" w:space="0" w:color="auto"/>
            </w:tcBorders>
          </w:tcPr>
          <w:p>
            <w:pPr>
              <w:pStyle w:val="TableParagraph"/>
              <w:spacing w:line="272" w:lineRule="exact"/>
              <w:ind w:right="100"/>
              <w:jc w:val="right"/>
              <w:rPr>
                <w:rFonts w:ascii="Arial" w:hAnsi="Arial" w:cs="Arial" w:eastAsia="Arial" w:hint="default"/>
                <w:sz w:val="24"/>
                <w:szCs w:val="24"/>
              </w:rPr>
            </w:pPr>
            <w:r>
              <w:rPr>
                <w:rFonts w:ascii="Arial"/>
                <w:spacing w:val="-1"/>
                <w:w w:val="95"/>
                <w:sz w:val="24"/>
              </w:rPr>
              <w:t>993</w:t>
            </w:r>
            <w:r>
              <w:rPr>
                <w:rFonts w:ascii="Arial"/>
                <w:sz w:val="24"/>
              </w:rPr>
            </w:r>
          </w:p>
        </w:tc>
      </w:tr>
      <w:tr>
        <w:trPr>
          <w:trHeight w:val="297" w:hRule="exact"/>
        </w:trPr>
        <w:tc>
          <w:tcPr>
            <w:tcW w:w="490"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33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1,004</w:t>
            </w:r>
            <w:r>
              <w:rPr>
                <w:rFonts w:ascii="Arial"/>
                <w:sz w:val="24"/>
              </w:rPr>
            </w:r>
          </w:p>
        </w:tc>
        <w:tc>
          <w:tcPr>
            <w:tcW w:w="877" w:type="dxa"/>
            <w:tcBorders>
              <w:top w:val="nil" w:sz="6" w:space="0" w:color="auto"/>
              <w:left w:val="nil" w:sz="6" w:space="0" w:color="auto"/>
              <w:bottom w:val="nil" w:sz="6" w:space="0" w:color="auto"/>
              <w:right w:val="nil" w:sz="6" w:space="0" w:color="auto"/>
            </w:tcBorders>
          </w:tcPr>
          <w:p>
            <w:pPr/>
          </w:p>
        </w:tc>
        <w:tc>
          <w:tcPr>
            <w:tcW w:w="2394" w:type="dxa"/>
            <w:gridSpan w:val="2"/>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w w:val="95"/>
                <w:sz w:val="24"/>
              </w:rPr>
              <w:t>1,004</w:t>
            </w:r>
            <w:r>
              <w:rPr>
                <w:rFonts w:ascii="Arial"/>
                <w:sz w:val="24"/>
              </w:rPr>
            </w:r>
          </w:p>
        </w:tc>
      </w:tr>
      <w:tr>
        <w:trPr>
          <w:trHeight w:val="737"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1"/>
                <w:szCs w:val="21"/>
              </w:rPr>
            </w:pPr>
          </w:p>
          <w:p>
            <w:pPr>
              <w:pStyle w:val="TableParagraph"/>
              <w:spacing w:line="240" w:lineRule="auto"/>
              <w:ind w:left="224" w:right="0"/>
              <w:jc w:val="left"/>
              <w:rPr>
                <w:rFonts w:ascii="宋体" w:hAnsi="宋体" w:cs="宋体" w:eastAsia="宋体" w:hint="default"/>
                <w:sz w:val="24"/>
                <w:szCs w:val="24"/>
              </w:rPr>
            </w:pPr>
            <w:r>
              <w:rPr>
                <w:rFonts w:ascii="宋体" w:hAnsi="宋体" w:cs="宋体" w:eastAsia="宋体" w:hint="default"/>
                <w:sz w:val="24"/>
                <w:szCs w:val="24"/>
              </w:rPr>
              <w:t>本集团不存在长期股权投资变现及收益汇回的重大限制。</w:t>
            </w:r>
          </w:p>
        </w:tc>
        <w:tc>
          <w:tcPr>
            <w:tcW w:w="1708" w:type="dxa"/>
            <w:tcBorders>
              <w:top w:val="nil" w:sz="6" w:space="0" w:color="auto"/>
              <w:left w:val="nil" w:sz="6" w:space="0" w:color="auto"/>
              <w:bottom w:val="nil" w:sz="6" w:space="0" w:color="auto"/>
              <w:right w:val="nil" w:sz="6" w:space="0" w:color="auto"/>
            </w:tcBorders>
          </w:tcPr>
          <w:p>
            <w:pPr/>
          </w:p>
        </w:tc>
      </w:tr>
      <w:tr>
        <w:trPr>
          <w:trHeight w:val="585" w:hRule="exact"/>
        </w:trPr>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764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224"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1708" w:type="dxa"/>
            <w:tcBorders>
              <w:top w:val="nil" w:sz="6" w:space="0" w:color="auto"/>
              <w:left w:val="nil" w:sz="6" w:space="0" w:color="auto"/>
              <w:bottom w:val="nil" w:sz="6" w:space="0" w:color="auto"/>
              <w:right w:val="nil" w:sz="6" w:space="0" w:color="auto"/>
            </w:tcBorders>
          </w:tcPr>
          <w:p>
            <w:pPr/>
          </w:p>
        </w:tc>
      </w:tr>
      <w:tr>
        <w:trPr>
          <w:trHeight w:val="356"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8"/>
              <w:ind w:right="254"/>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8"/>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年度</w:t>
            </w:r>
          </w:p>
        </w:tc>
      </w:tr>
      <w:tr>
        <w:trPr>
          <w:trHeight w:val="204"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tabs>
                <w:tab w:pos="3297" w:val="left" w:leader="none"/>
                <w:tab w:pos="4196" w:val="left" w:leader="none"/>
                <w:tab w:pos="5007" w:val="left" w:leader="none"/>
                <w:tab w:pos="6112" w:val="left" w:leader="none"/>
                <w:tab w:pos="7065" w:val="left" w:leader="none"/>
              </w:tabs>
              <w:spacing w:line="180" w:lineRule="exact"/>
              <w:ind w:left="2257" w:right="0"/>
              <w:jc w:val="left"/>
              <w:rPr>
                <w:rFonts w:ascii="宋体" w:hAnsi="宋体" w:cs="宋体" w:eastAsia="宋体" w:hint="default"/>
                <w:sz w:val="16"/>
                <w:szCs w:val="16"/>
              </w:rPr>
            </w:pPr>
            <w:r>
              <w:rPr>
                <w:rFonts w:ascii="宋体" w:hAnsi="宋体" w:cs="宋体" w:eastAsia="宋体" w:hint="default"/>
                <w:w w:val="95"/>
                <w:sz w:val="16"/>
                <w:szCs w:val="16"/>
              </w:rPr>
              <w:t>业务</w:t>
              <w:tab/>
              <w:t>注册</w:t>
              <w:tab/>
              <w:t>持股</w:t>
              <w:tab/>
              <w:t>表决权</w:t>
              <w:tab/>
              <w:t>资产</w:t>
              <w:tab/>
            </w:r>
            <w:r>
              <w:rPr>
                <w:rFonts w:ascii="宋体" w:hAnsi="宋体" w:cs="宋体" w:eastAsia="宋体" w:hint="default"/>
                <w:sz w:val="16"/>
                <w:szCs w:val="16"/>
              </w:rPr>
              <w:t>负债</w:t>
            </w:r>
          </w:p>
        </w:tc>
        <w:tc>
          <w:tcPr>
            <w:tcW w:w="1708"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180" w:lineRule="exact"/>
              <w:ind w:right="33"/>
              <w:jc w:val="right"/>
              <w:rPr>
                <w:rFonts w:ascii="宋体" w:hAnsi="宋体" w:cs="宋体" w:eastAsia="宋体" w:hint="default"/>
                <w:sz w:val="16"/>
                <w:szCs w:val="16"/>
              </w:rPr>
            </w:pPr>
            <w:r>
              <w:rPr>
                <w:rFonts w:ascii="宋体" w:hAnsi="宋体" w:cs="宋体" w:eastAsia="宋体" w:hint="default"/>
                <w:w w:val="95"/>
                <w:sz w:val="16"/>
                <w:szCs w:val="16"/>
              </w:rPr>
              <w:t>营业</w:t>
              <w:tab/>
              <w:t>净</w:t>
            </w:r>
            <w:r>
              <w:rPr>
                <w:rFonts w:ascii="宋体" w:hAnsi="宋体" w:cs="宋体" w:eastAsia="宋体" w:hint="default"/>
                <w:sz w:val="16"/>
                <w:szCs w:val="16"/>
              </w:rPr>
            </w:r>
          </w:p>
        </w:tc>
      </w:tr>
      <w:tr>
        <w:trPr>
          <w:trHeight w:val="208"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tabs>
                <w:tab w:pos="2257" w:val="left" w:leader="none"/>
                <w:tab w:pos="3297" w:val="left" w:leader="none"/>
                <w:tab w:pos="4196" w:val="left" w:leader="none"/>
                <w:tab w:pos="5167" w:val="left" w:leader="none"/>
                <w:tab w:pos="6112" w:val="left" w:leader="none"/>
                <w:tab w:pos="7051" w:val="left" w:leader="none"/>
              </w:tabs>
              <w:spacing w:line="184" w:lineRule="exact"/>
              <w:ind w:left="1281" w:right="0"/>
              <w:jc w:val="left"/>
              <w:rPr>
                <w:rFonts w:ascii="宋体" w:hAnsi="宋体" w:cs="宋体" w:eastAsia="宋体" w:hint="default"/>
                <w:sz w:val="16"/>
                <w:szCs w:val="16"/>
              </w:rPr>
            </w:pPr>
            <w:r>
              <w:rPr>
                <w:rFonts w:ascii="宋体" w:hAnsi="宋体" w:cs="宋体" w:eastAsia="宋体" w:hint="default"/>
                <w:w w:val="95"/>
                <w:sz w:val="16"/>
                <w:szCs w:val="16"/>
              </w:rPr>
              <w:t>注册地</w:t>
              <w:tab/>
              <w:t>性质</w:t>
              <w:tab/>
              <w:t>资本</w:t>
              <w:tab/>
              <w:t>比例</w:t>
              <w:tab/>
              <w:t>比例</w:t>
              <w:tab/>
              <w:t>总额</w:t>
              <w:tab/>
            </w:r>
            <w:r>
              <w:rPr>
                <w:rFonts w:ascii="宋体" w:hAnsi="宋体" w:cs="宋体" w:eastAsia="宋体" w:hint="default"/>
                <w:sz w:val="16"/>
                <w:szCs w:val="16"/>
              </w:rPr>
              <w:t>总额</w:t>
            </w:r>
          </w:p>
        </w:tc>
        <w:tc>
          <w:tcPr>
            <w:tcW w:w="170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184" w:lineRule="exact"/>
              <w:ind w:right="33"/>
              <w:jc w:val="right"/>
              <w:rPr>
                <w:rFonts w:ascii="宋体" w:hAnsi="宋体" w:cs="宋体" w:eastAsia="宋体" w:hint="default"/>
                <w:sz w:val="16"/>
                <w:szCs w:val="16"/>
              </w:rPr>
            </w:pPr>
            <w:r>
              <w:rPr>
                <w:rFonts w:ascii="宋体" w:hAnsi="宋体" w:cs="宋体" w:eastAsia="宋体" w:hint="default"/>
                <w:w w:val="95"/>
                <w:sz w:val="16"/>
                <w:szCs w:val="16"/>
              </w:rPr>
              <w:t>收入</w:t>
              <w:tab/>
              <w:t>利润</w:t>
            </w:r>
            <w:r>
              <w:rPr>
                <w:rFonts w:ascii="宋体" w:hAnsi="宋体" w:cs="宋体" w:eastAsia="宋体" w:hint="default"/>
                <w:sz w:val="16"/>
                <w:szCs w:val="16"/>
              </w:rPr>
            </w:r>
          </w:p>
        </w:tc>
      </w:tr>
      <w:tr>
        <w:trPr>
          <w:trHeight w:val="212"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spacing w:line="196" w:lineRule="exact"/>
              <w:ind w:right="578"/>
              <w:jc w:val="right"/>
              <w:rPr>
                <w:rFonts w:ascii="Arial" w:hAnsi="Arial" w:cs="Arial" w:eastAsia="Arial" w:hint="default"/>
                <w:sz w:val="16"/>
                <w:szCs w:val="16"/>
              </w:rPr>
            </w:pPr>
            <w:r>
              <w:rPr>
                <w:rFonts w:ascii="Arial" w:hAnsi="Arial" w:cs="Arial" w:eastAsia="Arial" w:hint="default"/>
                <w:w w:val="95"/>
                <w:sz w:val="16"/>
                <w:szCs w:val="16"/>
              </w:rPr>
              <w:t>(</w:t>
            </w:r>
            <w:r>
              <w:rPr>
                <w:rFonts w:ascii="宋体" w:hAnsi="宋体" w:cs="宋体" w:eastAsia="宋体" w:hint="default"/>
                <w:w w:val="95"/>
                <w:sz w:val="16"/>
                <w:szCs w:val="16"/>
              </w:rPr>
              <w:t>人民币千元</w:t>
            </w:r>
            <w:r>
              <w:rPr>
                <w:rFonts w:ascii="Arial" w:hAnsi="Arial" w:cs="Arial" w:eastAsia="Arial" w:hint="default"/>
                <w:w w:val="95"/>
                <w:sz w:val="16"/>
                <w:szCs w:val="16"/>
              </w:rPr>
              <w:t>)</w:t>
            </w:r>
            <w:r>
              <w:rPr>
                <w:rFonts w:ascii="Arial" w:hAnsi="Arial" w:cs="Arial" w:eastAsia="Arial" w:hint="default"/>
                <w:sz w:val="16"/>
                <w:szCs w:val="16"/>
              </w:rPr>
            </w:r>
          </w:p>
        </w:tc>
        <w:tc>
          <w:tcPr>
            <w:tcW w:w="1708" w:type="dxa"/>
            <w:tcBorders>
              <w:top w:val="nil" w:sz="6" w:space="0" w:color="auto"/>
              <w:left w:val="nil" w:sz="6" w:space="0" w:color="auto"/>
              <w:bottom w:val="nil" w:sz="6" w:space="0" w:color="auto"/>
              <w:right w:val="nil" w:sz="6" w:space="0" w:color="auto"/>
            </w:tcBorders>
          </w:tcPr>
          <w:p>
            <w:pPr>
              <w:pStyle w:val="TableParagraph"/>
              <w:spacing w:line="196" w:lineRule="exact"/>
              <w:ind w:left="415" w:right="0"/>
              <w:jc w:val="lef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人民币千元</w:t>
            </w:r>
            <w:r>
              <w:rPr>
                <w:rFonts w:ascii="Arial" w:hAnsi="Arial" w:cs="Arial" w:eastAsia="Arial" w:hint="default"/>
                <w:sz w:val="16"/>
                <w:szCs w:val="16"/>
              </w:rPr>
              <w:t>)</w:t>
            </w:r>
          </w:p>
        </w:tc>
      </w:tr>
      <w:tr>
        <w:trPr>
          <w:trHeight w:val="421"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tabs>
                <w:tab w:pos="2975" w:val="left" w:leader="none"/>
              </w:tabs>
              <w:spacing w:line="189" w:lineRule="exact"/>
              <w:ind w:right="3865"/>
              <w:jc w:val="center"/>
              <w:rPr>
                <w:rFonts w:ascii="宋体" w:hAnsi="宋体" w:cs="宋体" w:eastAsia="宋体" w:hint="default"/>
                <w:sz w:val="16"/>
                <w:szCs w:val="16"/>
              </w:rPr>
            </w:pPr>
            <w:r>
              <w:rPr>
                <w:rFonts w:ascii="宋体" w:hAnsi="宋体" w:cs="宋体" w:eastAsia="宋体" w:hint="default"/>
                <w:w w:val="95"/>
                <w:sz w:val="16"/>
                <w:szCs w:val="16"/>
              </w:rPr>
              <w:t>江苏格力空调</w:t>
              <w:tab/>
            </w:r>
            <w:r>
              <w:rPr>
                <w:rFonts w:ascii="宋体" w:hAnsi="宋体" w:cs="宋体" w:eastAsia="宋体" w:hint="default"/>
                <w:position w:val="-1"/>
                <w:sz w:val="16"/>
                <w:szCs w:val="16"/>
              </w:rPr>
              <w:t>人民币</w:t>
            </w:r>
            <w:r>
              <w:rPr>
                <w:rFonts w:ascii="宋体" w:hAnsi="宋体" w:cs="宋体" w:eastAsia="宋体" w:hint="default"/>
                <w:sz w:val="16"/>
                <w:szCs w:val="16"/>
              </w:rPr>
            </w:r>
          </w:p>
          <w:p>
            <w:pPr>
              <w:pStyle w:val="TableParagraph"/>
              <w:tabs>
                <w:tab w:pos="2257" w:val="left" w:leader="none"/>
                <w:tab w:pos="3616" w:val="right" w:leader="none"/>
              </w:tabs>
              <w:spacing w:line="220" w:lineRule="exact"/>
              <w:ind w:left="340" w:right="0"/>
              <w:jc w:val="left"/>
              <w:rPr>
                <w:rFonts w:ascii="Arial" w:hAnsi="Arial" w:cs="Arial" w:eastAsia="Arial" w:hint="default"/>
                <w:sz w:val="16"/>
                <w:szCs w:val="16"/>
              </w:rPr>
            </w:pPr>
            <w:r>
              <w:rPr>
                <w:rFonts w:ascii="宋体" w:hAnsi="宋体" w:cs="宋体" w:eastAsia="宋体" w:hint="default"/>
                <w:w w:val="95"/>
                <w:position w:val="1"/>
                <w:sz w:val="16"/>
                <w:szCs w:val="16"/>
              </w:rPr>
              <w:t>专卖销售</w:t>
              <w:tab/>
            </w:r>
            <w:r>
              <w:rPr>
                <w:rFonts w:ascii="宋体" w:hAnsi="宋体" w:cs="宋体" w:eastAsia="宋体" w:hint="default"/>
                <w:position w:val="1"/>
                <w:sz w:val="16"/>
                <w:szCs w:val="16"/>
              </w:rPr>
              <w:t>空调</w:t>
            </w:r>
            <w:r>
              <w:rPr>
                <w:rFonts w:ascii="Arial" w:hAnsi="Arial" w:cs="Arial" w:eastAsia="Arial" w:hint="default"/>
                <w:sz w:val="16"/>
                <w:szCs w:val="16"/>
              </w:rPr>
              <w:tab/>
              <w:t>200</w:t>
            </w:r>
          </w:p>
        </w:tc>
        <w:tc>
          <w:tcPr>
            <w:tcW w:w="1708" w:type="dxa"/>
            <w:tcBorders>
              <w:top w:val="nil" w:sz="6" w:space="0" w:color="auto"/>
              <w:left w:val="nil" w:sz="6" w:space="0" w:color="auto"/>
              <w:bottom w:val="nil" w:sz="6" w:space="0" w:color="auto"/>
              <w:right w:val="nil" w:sz="6" w:space="0" w:color="auto"/>
            </w:tcBorders>
          </w:tcPr>
          <w:p>
            <w:pPr/>
          </w:p>
        </w:tc>
      </w:tr>
      <w:tr>
        <w:trPr>
          <w:trHeight w:val="294" w:hRule="exact"/>
        </w:trPr>
        <w:tc>
          <w:tcPr>
            <w:tcW w:w="490" w:type="dxa"/>
            <w:tcBorders>
              <w:top w:val="nil" w:sz="6" w:space="0" w:color="auto"/>
              <w:left w:val="nil" w:sz="6" w:space="0" w:color="auto"/>
              <w:bottom w:val="nil" w:sz="6" w:space="0" w:color="auto"/>
              <w:right w:val="nil" w:sz="6" w:space="0" w:color="auto"/>
            </w:tcBorders>
          </w:tcPr>
          <w:p>
            <w:pPr/>
          </w:p>
        </w:tc>
        <w:tc>
          <w:tcPr>
            <w:tcW w:w="7644" w:type="dxa"/>
            <w:gridSpan w:val="4"/>
            <w:tcBorders>
              <w:top w:val="nil" w:sz="6" w:space="0" w:color="auto"/>
              <w:left w:val="nil" w:sz="6" w:space="0" w:color="auto"/>
              <w:bottom w:val="nil" w:sz="6" w:space="0" w:color="auto"/>
              <w:right w:val="nil" w:sz="6" w:space="0" w:color="auto"/>
            </w:tcBorders>
          </w:tcPr>
          <w:p>
            <w:pPr>
              <w:pStyle w:val="TableParagraph"/>
              <w:tabs>
                <w:tab w:pos="1441" w:val="left" w:leader="none"/>
                <w:tab w:pos="2257" w:val="left" w:leader="none"/>
                <w:tab w:pos="3297" w:val="left" w:leader="none"/>
                <w:tab w:pos="4196" w:val="left" w:leader="none"/>
                <w:tab w:pos="5166" w:val="left" w:leader="none"/>
                <w:tab w:pos="6253" w:val="left" w:leader="none"/>
                <w:tab w:pos="7283" w:val="right" w:leader="none"/>
              </w:tabs>
              <w:spacing w:line="198" w:lineRule="exact"/>
              <w:ind w:left="340" w:right="0"/>
              <w:jc w:val="left"/>
              <w:rPr>
                <w:rFonts w:ascii="Arial" w:hAnsi="Arial" w:cs="Arial" w:eastAsia="Arial" w:hint="default"/>
                <w:sz w:val="16"/>
                <w:szCs w:val="16"/>
              </w:rPr>
            </w:pPr>
            <w:r>
              <w:rPr>
                <w:rFonts w:ascii="宋体" w:hAnsi="宋体" w:cs="宋体" w:eastAsia="宋体" w:hint="default"/>
                <w:w w:val="95"/>
                <w:position w:val="1"/>
                <w:sz w:val="16"/>
                <w:szCs w:val="16"/>
              </w:rPr>
              <w:t>有限公司</w:t>
              <w:tab/>
              <w:t>南京</w:t>
              <w:tab/>
              <w:t>销售</w:t>
              <w:tab/>
              <w:t>万元</w:t>
              <w:tab/>
            </w:r>
            <w:r>
              <w:rPr>
                <w:rFonts w:ascii="Arial" w:hAnsi="Arial" w:cs="Arial" w:eastAsia="Arial" w:hint="default"/>
                <w:spacing w:val="-1"/>
                <w:sz w:val="16"/>
                <w:szCs w:val="16"/>
              </w:rPr>
              <w:t>50%</w:t>
              <w:tab/>
              <w:t>50%</w:t>
              <w:tab/>
              <w:t>34</w:t>
              <w:tab/>
              <w:t>12</w:t>
            </w:r>
            <w:r>
              <w:rPr>
                <w:rFonts w:ascii="Arial" w:hAnsi="Arial" w:cs="Arial" w:eastAsia="Arial" w:hint="default"/>
                <w:sz w:val="16"/>
                <w:szCs w:val="16"/>
              </w:rPr>
            </w:r>
          </w:p>
        </w:tc>
        <w:tc>
          <w:tcPr>
            <w:tcW w:w="1708"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3"/>
              <w:ind w:right="107"/>
              <w:jc w:val="right"/>
              <w:rPr>
                <w:rFonts w:ascii="Arial" w:hAnsi="Arial" w:cs="Arial" w:eastAsia="Arial" w:hint="default"/>
                <w:sz w:val="16"/>
                <w:szCs w:val="16"/>
              </w:rPr>
            </w:pPr>
            <w:r>
              <w:rPr>
                <w:rFonts w:ascii="Arial"/>
                <w:w w:val="95"/>
                <w:sz w:val="16"/>
              </w:rPr>
              <w:t>-</w:t>
              <w:tab/>
              <w:t>-</w:t>
            </w:r>
            <w:r>
              <w:rPr>
                <w:rFonts w:ascii="Arial"/>
                <w:sz w:val="16"/>
              </w:rPr>
            </w:r>
          </w:p>
        </w:tc>
      </w:tr>
    </w:tbl>
    <w:p>
      <w:pPr>
        <w:spacing w:line="240" w:lineRule="auto" w:before="2"/>
        <w:rPr>
          <w:rFonts w:ascii="Arial" w:hAnsi="Arial" w:cs="Arial" w:eastAsia="Arial" w:hint="default"/>
          <w:sz w:val="10"/>
          <w:szCs w:val="10"/>
        </w:rPr>
      </w:pPr>
    </w:p>
    <w:p>
      <w:pPr>
        <w:pStyle w:val="BodyText"/>
        <w:spacing w:line="427" w:lineRule="auto" w:before="26"/>
        <w:ind w:left="827" w:right="3547"/>
        <w:jc w:val="left"/>
      </w:pPr>
      <w:r>
        <w:rPr/>
        <w:t>注：合营企业准备歇业，因此于</w:t>
      </w:r>
      <w:r>
        <w:rPr>
          <w:spacing w:val="-62"/>
        </w:rPr>
        <w:t> </w:t>
      </w:r>
      <w:r>
        <w:rPr>
          <w:rFonts w:ascii="Arial" w:hAnsi="Arial" w:cs="Arial" w:eastAsia="Arial" w:hint="default"/>
        </w:rPr>
        <w:t>2008</w:t>
      </w:r>
      <w:r>
        <w:rPr>
          <w:rFonts w:ascii="Arial" w:hAnsi="Arial" w:cs="Arial" w:eastAsia="Arial" w:hint="default"/>
          <w:spacing w:val="-9"/>
        </w:rPr>
        <w:t> </w:t>
      </w:r>
      <w:r>
        <w:rPr/>
        <w:t>年度没有业务。 对合营企业投资列示如下：</w:t>
      </w:r>
    </w:p>
    <w:tbl>
      <w:tblPr>
        <w:tblW w:w="0" w:type="auto"/>
        <w:jc w:val="left"/>
        <w:tblInd w:w="1849" w:type="dxa"/>
        <w:tblLayout w:type="fixed"/>
        <w:tblCellMar>
          <w:top w:w="0" w:type="dxa"/>
          <w:left w:w="0" w:type="dxa"/>
          <w:bottom w:w="0" w:type="dxa"/>
          <w:right w:w="0" w:type="dxa"/>
        </w:tblCellMar>
        <w:tblLook w:val="01E0"/>
      </w:tblPr>
      <w:tblGrid>
        <w:gridCol w:w="925"/>
        <w:gridCol w:w="802"/>
        <w:gridCol w:w="1272"/>
        <w:gridCol w:w="1319"/>
        <w:gridCol w:w="1463"/>
        <w:gridCol w:w="1147"/>
        <w:gridCol w:w="1110"/>
      </w:tblGrid>
      <w:tr>
        <w:trPr>
          <w:trHeight w:val="28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9"/>
              <w:jc w:val="right"/>
              <w:rPr>
                <w:rFonts w:ascii="宋体" w:hAnsi="宋体" w:cs="宋体" w:eastAsia="宋体" w:hint="default"/>
                <w:sz w:val="16"/>
                <w:szCs w:val="16"/>
              </w:rPr>
            </w:pPr>
            <w:r>
              <w:rPr>
                <w:rFonts w:ascii="宋体" w:hAnsi="宋体" w:cs="宋体" w:eastAsia="宋体" w:hint="default"/>
                <w:w w:val="95"/>
                <w:sz w:val="16"/>
                <w:szCs w:val="16"/>
              </w:rPr>
              <w:t>初始投资</w:t>
            </w:r>
            <w:r>
              <w:rPr>
                <w:rFonts w:ascii="宋体" w:hAnsi="宋体" w:cs="宋体" w:eastAsia="宋体" w:hint="default"/>
                <w:sz w:val="16"/>
                <w:szCs w:val="16"/>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 w:right="0"/>
              <w:jc w:val="center"/>
              <w:rPr>
                <w:rFonts w:ascii="宋体" w:hAnsi="宋体" w:cs="宋体" w:eastAsia="宋体" w:hint="default"/>
                <w:sz w:val="16"/>
                <w:szCs w:val="16"/>
              </w:rPr>
            </w:pPr>
            <w:r>
              <w:rPr>
                <w:rFonts w:ascii="宋体" w:hAnsi="宋体" w:cs="宋体" w:eastAsia="宋体" w:hint="default"/>
                <w:sz w:val="16"/>
                <w:szCs w:val="16"/>
              </w:rPr>
              <w:t>追加</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1"/>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center"/>
              <w:rPr>
                <w:rFonts w:ascii="宋体" w:hAnsi="宋体" w:cs="宋体" w:eastAsia="宋体" w:hint="default"/>
                <w:sz w:val="16"/>
                <w:szCs w:val="16"/>
              </w:rPr>
            </w:pPr>
            <w:r>
              <w:rPr>
                <w:rFonts w:ascii="宋体" w:hAnsi="宋体" w:cs="宋体" w:eastAsia="宋体" w:hint="default"/>
                <w:sz w:val="16"/>
                <w:szCs w:val="16"/>
              </w:rPr>
              <w:t>按权益法调</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6"/>
              <w:jc w:val="right"/>
              <w:rPr>
                <w:rFonts w:ascii="宋体" w:hAnsi="宋体" w:cs="宋体" w:eastAsia="宋体" w:hint="default"/>
                <w:sz w:val="16"/>
                <w:szCs w:val="16"/>
              </w:rPr>
            </w:pPr>
            <w:r>
              <w:rPr>
                <w:rFonts w:ascii="宋体" w:hAnsi="宋体" w:cs="宋体" w:eastAsia="宋体" w:hint="default"/>
                <w:w w:val="95"/>
                <w:sz w:val="16"/>
                <w:szCs w:val="16"/>
              </w:rPr>
              <w:t>宣告分派的现</w:t>
            </w:r>
            <w:r>
              <w:rPr>
                <w:rFonts w:ascii="宋体" w:hAnsi="宋体" w:cs="宋体" w:eastAsia="宋体" w:hint="default"/>
                <w:sz w:val="16"/>
                <w:szCs w:val="16"/>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9"/>
              <w:jc w:val="right"/>
              <w:rPr>
                <w:rFonts w:ascii="宋体" w:hAnsi="宋体" w:cs="宋体" w:eastAsia="宋体" w:hint="default"/>
                <w:sz w:val="16"/>
                <w:szCs w:val="16"/>
              </w:rPr>
            </w:pPr>
            <w:r>
              <w:rPr>
                <w:rFonts w:ascii="宋体" w:hAnsi="宋体" w:cs="宋体" w:eastAsia="宋体" w:hint="default"/>
                <w:w w:val="95"/>
                <w:sz w:val="16"/>
                <w:szCs w:val="16"/>
              </w:rPr>
              <w:t>其他权益</w:t>
            </w:r>
            <w:r>
              <w:rPr>
                <w:rFonts w:ascii="宋体" w:hAnsi="宋体" w:cs="宋体" w:eastAsia="宋体" w:hint="default"/>
                <w:sz w:val="16"/>
                <w:szCs w:val="16"/>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r>
      <w:tr>
        <w:trPr>
          <w:trHeight w:val="28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180" w:lineRule="exact"/>
              <w:ind w:right="248"/>
              <w:jc w:val="right"/>
              <w:rPr>
                <w:rFonts w:ascii="宋体" w:hAnsi="宋体" w:cs="宋体" w:eastAsia="宋体" w:hint="default"/>
                <w:sz w:val="16"/>
                <w:szCs w:val="16"/>
              </w:rPr>
            </w:pPr>
            <w:r>
              <w:rPr>
                <w:rFonts w:ascii="宋体" w:hAnsi="宋体" w:cs="宋体" w:eastAsia="宋体" w:hint="default"/>
                <w:w w:val="95"/>
                <w:sz w:val="16"/>
                <w:szCs w:val="16"/>
              </w:rPr>
              <w:t>成本</w:t>
            </w:r>
            <w:r>
              <w:rPr>
                <w:rFonts w:ascii="宋体" w:hAnsi="宋体" w:cs="宋体" w:eastAsia="宋体" w:hint="default"/>
                <w:sz w:val="16"/>
                <w:szCs w:val="16"/>
              </w:rPr>
            </w:r>
          </w:p>
        </w:tc>
        <w:tc>
          <w:tcPr>
            <w:tcW w:w="802" w:type="dxa"/>
            <w:tcBorders>
              <w:top w:val="nil" w:sz="6" w:space="0" w:color="auto"/>
              <w:left w:val="nil" w:sz="6" w:space="0" w:color="auto"/>
              <w:bottom w:val="nil" w:sz="6" w:space="0" w:color="auto"/>
              <w:right w:val="nil" w:sz="6" w:space="0" w:color="auto"/>
            </w:tcBorders>
          </w:tcPr>
          <w:p>
            <w:pPr>
              <w:pStyle w:val="TableParagraph"/>
              <w:spacing w:line="180" w:lineRule="exact"/>
              <w:ind w:left="17" w:right="0"/>
              <w:jc w:val="center"/>
              <w:rPr>
                <w:rFonts w:ascii="宋体" w:hAnsi="宋体" w:cs="宋体" w:eastAsia="宋体" w:hint="default"/>
                <w:sz w:val="16"/>
                <w:szCs w:val="16"/>
              </w:rPr>
            </w:pPr>
            <w:r>
              <w:rPr>
                <w:rFonts w:ascii="宋体" w:hAnsi="宋体" w:cs="宋体" w:eastAsia="宋体" w:hint="default"/>
                <w:sz w:val="16"/>
                <w:szCs w:val="16"/>
              </w:rPr>
              <w:t>投资</w:t>
            </w:r>
          </w:p>
        </w:tc>
        <w:tc>
          <w:tcPr>
            <w:tcW w:w="1272" w:type="dxa"/>
            <w:tcBorders>
              <w:top w:val="nil" w:sz="6" w:space="0" w:color="auto"/>
              <w:left w:val="nil" w:sz="6" w:space="0" w:color="auto"/>
              <w:bottom w:val="nil" w:sz="6" w:space="0" w:color="auto"/>
              <w:right w:val="nil" w:sz="6" w:space="0" w:color="auto"/>
            </w:tcBorders>
          </w:tcPr>
          <w:p>
            <w:pPr>
              <w:pStyle w:val="TableParagraph"/>
              <w:spacing w:line="191" w:lineRule="exact"/>
              <w:ind w:right="242"/>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319" w:type="dxa"/>
            <w:tcBorders>
              <w:top w:val="nil" w:sz="6" w:space="0" w:color="auto"/>
              <w:left w:val="nil" w:sz="6" w:space="0" w:color="auto"/>
              <w:bottom w:val="nil" w:sz="6" w:space="0" w:color="auto"/>
              <w:right w:val="nil" w:sz="6" w:space="0" w:color="auto"/>
            </w:tcBorders>
          </w:tcPr>
          <w:p>
            <w:pPr>
              <w:pStyle w:val="TableParagraph"/>
              <w:spacing w:line="180" w:lineRule="exact"/>
              <w:ind w:right="28"/>
              <w:jc w:val="center"/>
              <w:rPr>
                <w:rFonts w:ascii="宋体" w:hAnsi="宋体" w:cs="宋体" w:eastAsia="宋体" w:hint="default"/>
                <w:sz w:val="16"/>
                <w:szCs w:val="16"/>
              </w:rPr>
            </w:pPr>
            <w:r>
              <w:rPr>
                <w:rFonts w:ascii="宋体" w:hAnsi="宋体" w:cs="宋体" w:eastAsia="宋体" w:hint="default"/>
                <w:sz w:val="16"/>
                <w:szCs w:val="16"/>
              </w:rPr>
              <w:t>整的净损益</w:t>
            </w:r>
          </w:p>
        </w:tc>
        <w:tc>
          <w:tcPr>
            <w:tcW w:w="1463" w:type="dxa"/>
            <w:tcBorders>
              <w:top w:val="nil" w:sz="6" w:space="0" w:color="auto"/>
              <w:left w:val="nil" w:sz="6" w:space="0" w:color="auto"/>
              <w:bottom w:val="nil" w:sz="6" w:space="0" w:color="auto"/>
              <w:right w:val="nil" w:sz="6" w:space="0" w:color="auto"/>
            </w:tcBorders>
          </w:tcPr>
          <w:p>
            <w:pPr>
              <w:pStyle w:val="TableParagraph"/>
              <w:spacing w:line="180" w:lineRule="exact"/>
              <w:ind w:right="225"/>
              <w:jc w:val="right"/>
              <w:rPr>
                <w:rFonts w:ascii="宋体" w:hAnsi="宋体" w:cs="宋体" w:eastAsia="宋体" w:hint="default"/>
                <w:sz w:val="16"/>
                <w:szCs w:val="16"/>
              </w:rPr>
            </w:pPr>
            <w:r>
              <w:rPr>
                <w:rFonts w:ascii="宋体" w:hAnsi="宋体" w:cs="宋体" w:eastAsia="宋体" w:hint="default"/>
                <w:w w:val="95"/>
                <w:sz w:val="16"/>
                <w:szCs w:val="16"/>
              </w:rPr>
              <w:t>金股利</w:t>
            </w:r>
            <w:r>
              <w:rPr>
                <w:rFonts w:ascii="宋体" w:hAnsi="宋体" w:cs="宋体" w:eastAsia="宋体" w:hint="default"/>
                <w:sz w:val="16"/>
                <w:szCs w:val="16"/>
              </w:rPr>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278"/>
              <w:jc w:val="right"/>
              <w:rPr>
                <w:rFonts w:ascii="宋体" w:hAnsi="宋体" w:cs="宋体" w:eastAsia="宋体" w:hint="default"/>
                <w:sz w:val="16"/>
                <w:szCs w:val="16"/>
              </w:rPr>
            </w:pPr>
            <w:r>
              <w:rPr>
                <w:rFonts w:ascii="宋体" w:hAnsi="宋体" w:cs="宋体" w:eastAsia="宋体" w:hint="default"/>
                <w:w w:val="95"/>
                <w:sz w:val="16"/>
                <w:szCs w:val="16"/>
              </w:rPr>
              <w:t>变动</w:t>
            </w:r>
            <w:r>
              <w:rPr>
                <w:rFonts w:ascii="宋体" w:hAnsi="宋体" w:cs="宋体" w:eastAsia="宋体" w:hint="default"/>
                <w:sz w:val="16"/>
                <w:szCs w:val="16"/>
              </w:rPr>
            </w:r>
          </w:p>
        </w:tc>
        <w:tc>
          <w:tcPr>
            <w:tcW w:w="1110"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bl>
    <w:p>
      <w:pPr>
        <w:spacing w:after="0" w:line="191" w:lineRule="exact"/>
        <w:jc w:val="right"/>
        <w:rPr>
          <w:rFonts w:ascii="宋体" w:hAnsi="宋体" w:cs="宋体" w:eastAsia="宋体" w:hint="default"/>
          <w:sz w:val="16"/>
          <w:szCs w:val="16"/>
        </w:rPr>
        <w:sectPr>
          <w:pgSz w:w="11910" w:h="16840"/>
          <w:pgMar w:header="826" w:footer="894" w:top="1100" w:bottom="1080" w:left="880" w:right="940"/>
        </w:sectPr>
      </w:pPr>
    </w:p>
    <w:p>
      <w:pPr>
        <w:spacing w:before="90"/>
        <w:ind w:left="923" w:right="0" w:hanging="180"/>
        <w:jc w:val="left"/>
        <w:rPr>
          <w:rFonts w:ascii="宋体" w:hAnsi="宋体" w:cs="宋体" w:eastAsia="宋体" w:hint="default"/>
          <w:sz w:val="16"/>
          <w:szCs w:val="16"/>
        </w:rPr>
      </w:pPr>
      <w:r>
        <w:rPr>
          <w:rFonts w:ascii="宋体" w:hAnsi="宋体" w:cs="宋体" w:eastAsia="宋体" w:hint="default"/>
          <w:w w:val="95"/>
          <w:sz w:val="16"/>
          <w:szCs w:val="16"/>
        </w:rPr>
        <w:t>江苏格力空调</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rPr>
        <w:t>专卖销售</w:t>
      </w:r>
      <w:r>
        <w:rPr>
          <w:rFonts w:ascii="宋体" w:hAnsi="宋体" w:cs="宋体" w:eastAsia="宋体" w:hint="default"/>
          <w:w w:val="99"/>
          <w:sz w:val="16"/>
          <w:szCs w:val="16"/>
        </w:rPr>
        <w:t> </w:t>
      </w:r>
      <w:r>
        <w:rPr>
          <w:rFonts w:ascii="宋体" w:hAnsi="宋体" w:cs="宋体" w:eastAsia="宋体" w:hint="default"/>
          <w:sz w:val="16"/>
          <w:szCs w:val="16"/>
        </w:rPr>
        <w:t>有限公司</w:t>
      </w:r>
    </w:p>
    <w:p>
      <w:pPr>
        <w:spacing w:line="240" w:lineRule="auto" w:before="10"/>
        <w:rPr>
          <w:rFonts w:ascii="宋体" w:hAnsi="宋体" w:cs="宋体" w:eastAsia="宋体" w:hint="default"/>
          <w:sz w:val="22"/>
          <w:szCs w:val="22"/>
        </w:rPr>
      </w:pPr>
      <w:r>
        <w:rPr/>
        <w:br w:type="column"/>
      </w:r>
      <w:r>
        <w:rPr>
          <w:rFonts w:ascii="宋体"/>
          <w:sz w:val="22"/>
        </w:rPr>
      </w:r>
    </w:p>
    <w:p>
      <w:pPr>
        <w:spacing w:line="215" w:lineRule="exact" w:before="0"/>
        <w:ind w:left="11" w:right="0" w:firstLine="0"/>
        <w:jc w:val="left"/>
        <w:rPr>
          <w:rFonts w:ascii="Arial" w:hAnsi="Arial" w:cs="Arial" w:eastAsia="Arial" w:hint="default"/>
          <w:sz w:val="16"/>
          <w:szCs w:val="16"/>
        </w:rPr>
      </w:pPr>
      <w:r>
        <w:rPr>
          <w:rFonts w:ascii="宋体" w:hAnsi="宋体" w:cs="宋体" w:eastAsia="宋体" w:hint="default"/>
          <w:sz w:val="16"/>
          <w:szCs w:val="16"/>
        </w:rPr>
        <w:t>人民币</w:t>
      </w:r>
      <w:r>
        <w:rPr>
          <w:rFonts w:ascii="宋体" w:hAnsi="宋体" w:cs="宋体" w:eastAsia="宋体" w:hint="default"/>
          <w:spacing w:val="-58"/>
          <w:sz w:val="16"/>
          <w:szCs w:val="16"/>
        </w:rPr>
        <w:t> </w:t>
      </w:r>
      <w:r>
        <w:rPr>
          <w:rFonts w:ascii="Arial" w:hAnsi="Arial" w:cs="Arial" w:eastAsia="Arial" w:hint="default"/>
          <w:sz w:val="16"/>
          <w:szCs w:val="16"/>
        </w:rPr>
        <w:t>100</w:t>
      </w:r>
    </w:p>
    <w:p>
      <w:pPr>
        <w:tabs>
          <w:tab w:pos="1548" w:val="left" w:leader="none"/>
          <w:tab w:pos="2697" w:val="left" w:leader="none"/>
          <w:tab w:pos="4097" w:val="left" w:leader="none"/>
          <w:tab w:pos="5608" w:val="left" w:leader="none"/>
          <w:tab w:pos="6702" w:val="left" w:leader="none"/>
          <w:tab w:pos="8098" w:val="right" w:leader="none"/>
        </w:tabs>
        <w:spacing w:line="225" w:lineRule="exact" w:before="0"/>
        <w:ind w:left="462" w:right="0" w:firstLine="0"/>
        <w:jc w:val="left"/>
        <w:rPr>
          <w:rFonts w:ascii="Arial" w:hAnsi="Arial" w:cs="Arial" w:eastAsia="Arial" w:hint="default"/>
          <w:sz w:val="16"/>
          <w:szCs w:val="16"/>
        </w:rPr>
      </w:pPr>
      <w:r>
        <w:rPr/>
        <w:pict>
          <v:group style="position:absolute;margin-left:130.320007pt;margin-top:12.112346pt;width:45.4pt;height:.1pt;mso-position-horizontal-relative:page;mso-position-vertical-relative:paragraph;z-index:1672" coordorigin="2606,242" coordsize="908,2">
            <v:shape style="position:absolute;left:2606;top:242;width:908;height:2" coordorigin="2606,242" coordsize="908,0" path="m2606,242l3514,242e" filled="false" stroked="true" strokeweight="1.5pt" strokecolor="#000000">
              <v:path arrowok="t"/>
            </v:shape>
            <w10:wrap type="none"/>
          </v:group>
        </w:pict>
      </w:r>
      <w:r>
        <w:rPr/>
        <w:pict>
          <v:group style="position:absolute;margin-left:187.199997pt;margin-top:12.112346pt;width:29.4pt;height:.1pt;mso-position-horizontal-relative:page;mso-position-vertical-relative:paragraph;z-index:1696" coordorigin="3744,242" coordsize="588,2">
            <v:shape style="position:absolute;left:3744;top:242;width:588;height:2" coordorigin="3744,242" coordsize="588,0" path="m3744,242l4332,242e" filled="false" stroked="true" strokeweight="1.5pt" strokecolor="#000000">
              <v:path arrowok="t"/>
            </v:shape>
            <w10:wrap type="none"/>
          </v:group>
        </w:pict>
      </w:r>
      <w:r>
        <w:rPr/>
        <w:pict>
          <v:group style="position:absolute;margin-left:228.360001pt;margin-top:12.112346pt;width:51.25pt;height:.1pt;mso-position-horizontal-relative:page;mso-position-vertical-relative:paragraph;z-index:1720" coordorigin="4567,242" coordsize="1025,2">
            <v:shape style="position:absolute;left:4567;top:242;width:1025;height:2" coordorigin="4567,242" coordsize="1025,0" path="m4567,242l5592,242e" filled="false" stroked="true" strokeweight="1.5pt" strokecolor="#000000">
              <v:path arrowok="t"/>
            </v:shape>
            <w10:wrap type="none"/>
          </v:group>
        </w:pict>
      </w:r>
      <w:r>
        <w:rPr/>
        <w:pict>
          <v:group style="position:absolute;margin-left:290.700012pt;margin-top:12.112346pt;width:53.3pt;height:.1pt;mso-position-horizontal-relative:page;mso-position-vertical-relative:paragraph;z-index:1744" coordorigin="5814,242" coordsize="1066,2">
            <v:shape style="position:absolute;left:5814;top:242;width:1066;height:2" coordorigin="5814,242" coordsize="1066,0" path="m5814,242l6880,242e" filled="false" stroked="true" strokeweight="1.5pt" strokecolor="#000000">
              <v:path arrowok="t"/>
            </v:shape>
            <w10:wrap type="none"/>
          </v:group>
        </w:pict>
      </w:r>
      <w:r>
        <w:rPr/>
        <w:pict>
          <v:group style="position:absolute;margin-left:355.200012pt;margin-top:12.112346pt;width:64.4pt;height:.1pt;mso-position-horizontal-relative:page;mso-position-vertical-relative:paragraph;z-index:1768" coordorigin="7104,242" coordsize="1288,2">
            <v:shape style="position:absolute;left:7104;top:242;width:1288;height:2" coordorigin="7104,242" coordsize="1288,0" path="m7104,242l8392,242e" filled="false" stroked="true" strokeweight="1.5pt" strokecolor="#000000">
              <v:path arrowok="t"/>
            </v:shape>
            <w10:wrap type="none"/>
          </v:group>
        </w:pict>
      </w:r>
      <w:r>
        <w:rPr/>
        <w:pict>
          <v:group style="position:absolute;margin-left:430.73999pt;margin-top:12.112346pt;width:43.6pt;height:.1pt;mso-position-horizontal-relative:page;mso-position-vertical-relative:paragraph;z-index:1792" coordorigin="8615,242" coordsize="872,2">
            <v:shape style="position:absolute;left:8615;top:242;width:872;height:2" coordorigin="8615,242" coordsize="872,0" path="m8615,242l9486,242e" filled="false" stroked="true" strokeweight="1.5pt" strokecolor="#000000">
              <v:path arrowok="t"/>
            </v:shape>
            <w10:wrap type="none"/>
          </v:group>
        </w:pict>
      </w:r>
      <w:r>
        <w:rPr/>
        <w:pict>
          <v:group style="position:absolute;margin-left:485.459991pt;margin-top:12.112346pt;width:56.6pt;height:.1pt;mso-position-horizontal-relative:page;mso-position-vertical-relative:paragraph;z-index:1816" coordorigin="9709,242" coordsize="1132,2">
            <v:shape style="position:absolute;left:9709;top:242;width:1132;height:2" coordorigin="9709,242" coordsize="1132,0" path="m9709,242l10841,242e" filled="false" stroked="true" strokeweight="1.5pt" strokecolor="#000000">
              <v:path arrowok="t"/>
            </v:shape>
            <w10:wrap type="none"/>
          </v:group>
        </w:pict>
      </w:r>
      <w:r>
        <w:rPr>
          <w:rFonts w:ascii="宋体" w:hAnsi="宋体" w:cs="宋体" w:eastAsia="宋体" w:hint="default"/>
          <w:w w:val="95"/>
          <w:position w:val="1"/>
          <w:sz w:val="16"/>
          <w:szCs w:val="16"/>
        </w:rPr>
        <w:t>万元</w:t>
        <w:tab/>
      </w:r>
      <w:r>
        <w:rPr>
          <w:rFonts w:ascii="Arial" w:hAnsi="Arial" w:cs="Arial" w:eastAsia="Arial" w:hint="default"/>
          <w:w w:val="95"/>
          <w:sz w:val="16"/>
          <w:szCs w:val="16"/>
        </w:rPr>
        <w:t>-</w:t>
        <w:tab/>
      </w:r>
      <w:r>
        <w:rPr>
          <w:rFonts w:ascii="Arial" w:hAnsi="Arial" w:cs="Arial" w:eastAsia="Arial" w:hint="default"/>
          <w:spacing w:val="-7"/>
          <w:sz w:val="16"/>
          <w:szCs w:val="16"/>
        </w:rPr>
        <w:t>11</w:t>
        <w:tab/>
      </w:r>
      <w:r>
        <w:rPr>
          <w:rFonts w:ascii="Arial" w:hAnsi="Arial" w:cs="Arial" w:eastAsia="Arial" w:hint="default"/>
          <w:w w:val="95"/>
          <w:sz w:val="16"/>
          <w:szCs w:val="16"/>
        </w:rPr>
        <w:t>-</w:t>
        <w:tab/>
        <w:t>-</w:t>
        <w:tab/>
      </w:r>
      <w:r>
        <w:rPr>
          <w:rFonts w:ascii="Arial" w:hAnsi="Arial" w:cs="Arial" w:eastAsia="Arial" w:hint="default"/>
          <w:sz w:val="16"/>
          <w:szCs w:val="16"/>
        </w:rPr>
        <w:t>-</w:t>
        <w:tab/>
      </w:r>
      <w:r>
        <w:rPr>
          <w:rFonts w:ascii="Arial" w:hAnsi="Arial" w:cs="Arial" w:eastAsia="Arial" w:hint="default"/>
          <w:spacing w:val="-13"/>
          <w:sz w:val="16"/>
          <w:szCs w:val="16"/>
        </w:rPr>
        <w:t>11</w:t>
      </w:r>
      <w:r>
        <w:rPr>
          <w:rFonts w:ascii="Arial" w:hAnsi="Arial" w:cs="Arial" w:eastAsia="Arial" w:hint="default"/>
          <w:sz w:val="16"/>
          <w:szCs w:val="16"/>
        </w:rPr>
      </w:r>
    </w:p>
    <w:p>
      <w:pPr>
        <w:spacing w:after="0" w:line="225" w:lineRule="exact"/>
        <w:jc w:val="left"/>
        <w:rPr>
          <w:rFonts w:ascii="Arial" w:hAnsi="Arial" w:cs="Arial" w:eastAsia="Arial" w:hint="default"/>
          <w:sz w:val="16"/>
          <w:szCs w:val="16"/>
        </w:rPr>
        <w:sectPr>
          <w:type w:val="continuous"/>
          <w:pgSz w:w="11910" w:h="16840"/>
          <w:pgMar w:top="1600" w:bottom="280" w:left="880" w:right="940"/>
          <w:cols w:num="2" w:equalWidth="0">
            <w:col w:w="1703" w:space="40"/>
            <w:col w:w="8347"/>
          </w:cols>
        </w:sectPr>
      </w:pPr>
    </w:p>
    <w:p>
      <w:pPr>
        <w:pStyle w:val="BodyText"/>
        <w:tabs>
          <w:tab w:pos="829" w:val="left" w:leader="none"/>
        </w:tabs>
        <w:spacing w:line="240" w:lineRule="auto" w:before="234"/>
        <w:ind w:left="148" w:right="3547"/>
        <w:jc w:val="left"/>
      </w:pPr>
      <w:r>
        <w:rPr>
          <w:rFonts w:ascii="Arial" w:hAnsi="Arial" w:cs="Arial" w:eastAsia="Arial" w:hint="default"/>
          <w:w w:val="95"/>
          <w:position w:val="2"/>
        </w:rPr>
        <w:t>(b)</w:t>
        <w:tab/>
      </w:r>
      <w:r>
        <w:rPr/>
        <w:t>其他长期股权投资</w:t>
      </w:r>
    </w:p>
    <w:p>
      <w:pPr>
        <w:spacing w:after="0" w:line="240" w:lineRule="auto"/>
        <w:jc w:val="left"/>
        <w:sectPr>
          <w:type w:val="continuous"/>
          <w:pgSz w:w="11910" w:h="16840"/>
          <w:pgMar w:top="1600" w:bottom="280" w:left="880" w:right="940"/>
        </w:sectPr>
      </w:pPr>
    </w:p>
    <w:p>
      <w:pPr>
        <w:spacing w:line="540" w:lineRule="atLeast" w:before="286"/>
        <w:ind w:left="829" w:right="-19" w:firstLine="0"/>
        <w:jc w:val="left"/>
        <w:rPr>
          <w:rFonts w:ascii="宋体" w:hAnsi="宋体" w:cs="宋体" w:eastAsia="宋体" w:hint="default"/>
          <w:sz w:val="21"/>
          <w:szCs w:val="21"/>
        </w:rPr>
      </w:pPr>
      <w:r>
        <w:rPr>
          <w:rFonts w:ascii="宋体" w:hAnsi="宋体" w:cs="宋体" w:eastAsia="宋体" w:hint="default"/>
          <w:sz w:val="21"/>
          <w:szCs w:val="21"/>
        </w:rPr>
        <w:t>被投资公司名称 南京苏宁中央空调工程</w:t>
      </w:r>
    </w:p>
    <w:p>
      <w:pPr>
        <w:spacing w:line="282" w:lineRule="exact" w:before="279"/>
        <w:ind w:left="1145" w:right="-17" w:firstLine="0"/>
        <w:jc w:val="left"/>
        <w:rPr>
          <w:rFonts w:ascii="宋体" w:hAnsi="宋体" w:cs="宋体" w:eastAsia="宋体" w:hint="default"/>
          <w:sz w:val="21"/>
          <w:szCs w:val="21"/>
        </w:rPr>
      </w:pPr>
      <w:r>
        <w:rPr/>
        <w:br w:type="column"/>
      </w: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2" w:lineRule="exact" w:before="0"/>
        <w:ind w:left="829" w:right="-16"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line="240" w:lineRule="auto" w:before="4"/>
        <w:rPr>
          <w:rFonts w:ascii="宋体" w:hAnsi="宋体" w:cs="宋体" w:eastAsia="宋体" w:hint="default"/>
          <w:sz w:val="21"/>
          <w:szCs w:val="21"/>
        </w:rPr>
      </w:pPr>
      <w:r>
        <w:rPr/>
        <w:br w:type="column"/>
      </w:r>
      <w:r>
        <w:rPr>
          <w:rFonts w:ascii="宋体"/>
          <w:sz w:val="21"/>
        </w:rPr>
      </w:r>
    </w:p>
    <w:p>
      <w:pPr>
        <w:tabs>
          <w:tab w:pos="2298" w:val="left" w:leader="none"/>
        </w:tabs>
        <w:spacing w:line="274" w:lineRule="exact" w:before="0"/>
        <w:ind w:left="829" w:right="-20" w:firstLine="0"/>
        <w:jc w:val="left"/>
        <w:rPr>
          <w:rFonts w:ascii="宋体" w:hAnsi="宋体" w:cs="宋体" w:eastAsia="宋体" w:hint="default"/>
          <w:sz w:val="21"/>
          <w:szCs w:val="21"/>
        </w:rPr>
      </w:pPr>
      <w:r>
        <w:rPr>
          <w:rFonts w:ascii="宋体" w:hAnsi="宋体" w:cs="宋体" w:eastAsia="宋体" w:hint="default"/>
          <w:sz w:val="21"/>
          <w:szCs w:val="21"/>
        </w:rPr>
        <w:t>本年</w:t>
        <w:tab/>
        <w:t>本年</w:t>
      </w:r>
    </w:p>
    <w:p>
      <w:pPr>
        <w:tabs>
          <w:tab w:pos="2298" w:val="left" w:leader="none"/>
        </w:tabs>
        <w:spacing w:line="273" w:lineRule="exact" w:before="0"/>
        <w:ind w:left="829" w:right="-20" w:firstLine="0"/>
        <w:jc w:val="left"/>
        <w:rPr>
          <w:rFonts w:ascii="宋体" w:hAnsi="宋体" w:cs="宋体" w:eastAsia="宋体" w:hint="default"/>
          <w:sz w:val="21"/>
          <w:szCs w:val="21"/>
        </w:rPr>
      </w:pPr>
      <w:r>
        <w:rPr>
          <w:rFonts w:ascii="宋体" w:hAnsi="宋体" w:cs="宋体" w:eastAsia="宋体" w:hint="default"/>
          <w:sz w:val="21"/>
          <w:szCs w:val="21"/>
        </w:rPr>
        <w:t>增加</w:t>
        <w:tab/>
        <w:t>减少</w:t>
      </w:r>
    </w:p>
    <w:p>
      <w:pPr>
        <w:spacing w:line="289" w:lineRule="exact" w:before="0"/>
        <w:ind w:left="911" w:right="-2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40" w:lineRule="auto" w:before="3"/>
        <w:rPr>
          <w:rFonts w:ascii="Arial" w:hAnsi="Arial" w:cs="Arial" w:eastAsia="Arial" w:hint="default"/>
          <w:sz w:val="24"/>
          <w:szCs w:val="24"/>
        </w:rPr>
      </w:pPr>
      <w:r>
        <w:rPr/>
        <w:br w:type="column"/>
      </w:r>
      <w:r>
        <w:rPr>
          <w:rFonts w:ascii="Arial"/>
          <w:sz w:val="24"/>
        </w:rPr>
      </w:r>
    </w:p>
    <w:p>
      <w:pPr>
        <w:spacing w:line="282" w:lineRule="exact" w:before="0"/>
        <w:ind w:left="1026" w:right="0"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2" w:lineRule="exact" w:before="0"/>
        <w:ind w:left="711"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line="282" w:lineRule="exact"/>
        <w:jc w:val="left"/>
        <w:rPr>
          <w:rFonts w:ascii="宋体" w:hAnsi="宋体" w:cs="宋体" w:eastAsia="宋体" w:hint="default"/>
          <w:sz w:val="21"/>
          <w:szCs w:val="21"/>
        </w:rPr>
        <w:sectPr>
          <w:type w:val="continuous"/>
          <w:pgSz w:w="11910" w:h="16840"/>
          <w:pgMar w:top="1600" w:bottom="280" w:left="880" w:right="940"/>
          <w:cols w:num="4" w:equalWidth="0">
            <w:col w:w="2930" w:space="446"/>
            <w:col w:w="1874" w:space="87"/>
            <w:col w:w="2719" w:space="40"/>
            <w:col w:w="1994"/>
          </w:cols>
        </w:sectPr>
      </w:pPr>
    </w:p>
    <w:p>
      <w:pPr>
        <w:tabs>
          <w:tab w:pos="3724" w:val="left" w:leader="none"/>
          <w:tab w:pos="4901" w:val="left" w:leader="none"/>
          <w:tab w:pos="5665" w:val="left" w:leader="none"/>
          <w:tab w:pos="6519" w:val="left" w:leader="none"/>
          <w:tab w:pos="6984" w:val="left" w:leader="none"/>
          <w:tab w:pos="7987" w:val="left" w:leader="none"/>
          <w:tab w:pos="8453" w:val="left" w:leader="none"/>
          <w:tab w:pos="9503" w:val="left" w:leader="none"/>
          <w:tab w:pos="9953" w:val="left" w:leader="none"/>
        </w:tabs>
        <w:spacing w:line="375" w:lineRule="exact" w:before="0"/>
        <w:ind w:left="1007" w:right="0" w:firstLine="0"/>
        <w:jc w:val="left"/>
        <w:rPr>
          <w:rFonts w:ascii="Arial" w:hAnsi="Arial" w:cs="Arial" w:eastAsia="Arial" w:hint="default"/>
          <w:sz w:val="21"/>
          <w:szCs w:val="21"/>
        </w:rPr>
      </w:pPr>
      <w:r>
        <w:rPr>
          <w:rFonts w:ascii="宋体" w:hAnsi="宋体" w:cs="宋体" w:eastAsia="宋体" w:hint="default"/>
          <w:position w:val="9"/>
          <w:sz w:val="21"/>
          <w:szCs w:val="21"/>
        </w:rPr>
        <w:t>有限公司</w:t>
        <w:tab/>
      </w:r>
      <w:r>
        <w:rPr>
          <w:rFonts w:ascii="Arial" w:hAnsi="Arial" w:cs="Arial" w:eastAsia="Arial" w:hint="default"/>
          <w:sz w:val="21"/>
          <w:szCs w:val="21"/>
        </w:rPr>
      </w:r>
      <w:r>
        <w:rPr>
          <w:rFonts w:ascii="Arial" w:hAnsi="Arial" w:cs="Arial" w:eastAsia="Arial" w:hint="default"/>
          <w:sz w:val="21"/>
          <w:szCs w:val="21"/>
          <w:u w:val="thick" w:color="000000"/>
        </w:rPr>
        <w:t> </w:t>
        <w:tab/>
      </w:r>
      <w:r>
        <w:rPr>
          <w:rFonts w:ascii="Arial" w:hAnsi="Arial" w:cs="Arial" w:eastAsia="Arial" w:hint="default"/>
          <w:spacing w:val="-1"/>
          <w:sz w:val="21"/>
          <w:szCs w:val="21"/>
          <w:u w:val="thick" w:color="000000"/>
        </w:rPr>
        <w:t>993</w:t>
      </w:r>
      <w:r>
        <w:rPr>
          <w:rFonts w:ascii="Arial" w:hAnsi="Arial" w:cs="Arial" w:eastAsia="Arial" w:hint="default"/>
          <w:spacing w:val="-1"/>
          <w:sz w:val="21"/>
          <w:szCs w:val="21"/>
        </w:rPr>
        <w:tab/>
      </w:r>
      <w:r>
        <w:rPr>
          <w:rFonts w:ascii="Arial" w:hAnsi="Arial" w:cs="Arial" w:eastAsia="Arial" w:hint="default"/>
          <w:spacing w:val="-1"/>
          <w:sz w:val="21"/>
          <w:szCs w:val="21"/>
          <w:u w:val="thick" w:color="000000"/>
        </w:rPr>
        <w:t> </w:t>
        <w:tab/>
      </w:r>
      <w:r>
        <w:rPr>
          <w:rFonts w:ascii="Arial" w:hAnsi="Arial" w:cs="Arial" w:eastAsia="Arial" w:hint="default"/>
          <w:sz w:val="21"/>
          <w:szCs w:val="21"/>
          <w:u w:val="thick" w:color="000000"/>
        </w:rPr>
        <w:t>-</w:t>
      </w:r>
      <w:r>
        <w:rPr>
          <w:rFonts w:ascii="Arial" w:hAnsi="Arial" w:cs="Arial" w:eastAsia="Arial" w:hint="default"/>
          <w:sz w:val="21"/>
          <w:szCs w:val="21"/>
        </w:rPr>
        <w:tab/>
      </w:r>
      <w:r>
        <w:rPr>
          <w:rFonts w:ascii="Arial" w:hAnsi="Arial" w:cs="Arial" w:eastAsia="Arial" w:hint="default"/>
          <w:sz w:val="21"/>
          <w:szCs w:val="21"/>
          <w:u w:val="thick" w:color="000000"/>
        </w:rPr>
        <w:t> </w:t>
        <w:tab/>
        <w:t>-</w:t>
      </w:r>
      <w:r>
        <w:rPr>
          <w:rFonts w:ascii="Arial" w:hAnsi="Arial" w:cs="Arial" w:eastAsia="Arial" w:hint="default"/>
          <w:sz w:val="21"/>
          <w:szCs w:val="21"/>
        </w:rPr>
        <w:tab/>
      </w:r>
      <w:r>
        <w:rPr>
          <w:rFonts w:ascii="Arial" w:hAnsi="Arial" w:cs="Arial" w:eastAsia="Arial" w:hint="default"/>
          <w:sz w:val="21"/>
          <w:szCs w:val="21"/>
          <w:u w:val="thick" w:color="000000"/>
        </w:rPr>
        <w:t> </w:t>
        <w:tab/>
      </w:r>
      <w:r>
        <w:rPr>
          <w:rFonts w:ascii="Arial" w:hAnsi="Arial" w:cs="Arial" w:eastAsia="Arial" w:hint="default"/>
          <w:spacing w:val="-1"/>
          <w:sz w:val="21"/>
          <w:szCs w:val="21"/>
          <w:u w:val="thick" w:color="000000"/>
        </w:rPr>
        <w:t>993</w:t>
        <w:tab/>
      </w:r>
      <w:r>
        <w:rPr>
          <w:rFonts w:ascii="Arial" w:hAnsi="Arial" w:cs="Arial" w:eastAsia="Arial" w:hint="default"/>
          <w:spacing w:val="-1"/>
          <w:sz w:val="21"/>
          <w:szCs w:val="21"/>
        </w:rPr>
      </w:r>
    </w:p>
    <w:p>
      <w:pPr>
        <w:spacing w:after="0" w:line="375" w:lineRule="exact"/>
        <w:jc w:val="left"/>
        <w:rPr>
          <w:rFonts w:ascii="Arial" w:hAnsi="Arial" w:cs="Arial" w:eastAsia="Arial" w:hint="default"/>
          <w:sz w:val="21"/>
          <w:szCs w:val="21"/>
        </w:rPr>
        <w:sectPr>
          <w:type w:val="continuous"/>
          <w:pgSz w:w="11910" w:h="16840"/>
          <w:pgMar w:top="1600" w:bottom="280" w:left="880" w:right="940"/>
        </w:sectPr>
      </w:pPr>
    </w:p>
    <w:p>
      <w:pPr>
        <w:spacing w:line="240" w:lineRule="auto" w:before="11"/>
        <w:rPr>
          <w:rFonts w:ascii="Arial" w:hAnsi="Arial" w:cs="Arial" w:eastAsia="Arial" w:hint="default"/>
          <w:sz w:val="27"/>
          <w:szCs w:val="27"/>
        </w:rPr>
      </w:pPr>
    </w:p>
    <w:p>
      <w:pPr>
        <w:pStyle w:val="Heading2"/>
        <w:tabs>
          <w:tab w:pos="792" w:val="left" w:leader="none"/>
        </w:tabs>
        <w:spacing w:line="240" w:lineRule="auto"/>
        <w:ind w:left="108" w:right="99"/>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19"/>
          <w:szCs w:val="19"/>
        </w:rPr>
      </w:pPr>
    </w:p>
    <w:p>
      <w:pPr>
        <w:tabs>
          <w:tab w:pos="830" w:val="left" w:leader="none"/>
        </w:tabs>
        <w:spacing w:before="0"/>
        <w:ind w:left="117" w:right="99" w:firstLine="0"/>
        <w:jc w:val="left"/>
        <w:rPr>
          <w:rFonts w:ascii="宋体" w:hAnsi="宋体" w:cs="宋体" w:eastAsia="宋体" w:hint="default"/>
          <w:sz w:val="24"/>
          <w:szCs w:val="24"/>
        </w:rPr>
      </w:pPr>
      <w:r>
        <w:rPr>
          <w:rFonts w:ascii="Arial" w:hAnsi="Arial" w:cs="Arial" w:eastAsia="Arial" w:hint="default"/>
          <w:w w:val="95"/>
          <w:position w:val="2"/>
          <w:sz w:val="24"/>
          <w:szCs w:val="24"/>
        </w:rPr>
        <w:t>(8)</w:t>
        <w:tab/>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3"/>
        <w:rPr>
          <w:rFonts w:ascii="宋体" w:hAnsi="宋体" w:cs="宋体" w:eastAsia="宋体" w:hint="default"/>
          <w:b/>
          <w:bCs/>
          <w:sz w:val="18"/>
          <w:szCs w:val="18"/>
        </w:rPr>
      </w:pPr>
    </w:p>
    <w:p>
      <w:pPr>
        <w:spacing w:line="220" w:lineRule="exact" w:before="44"/>
        <w:ind w:left="3701" w:right="6082" w:firstLine="0"/>
        <w:jc w:val="center"/>
        <w:rPr>
          <w:rFonts w:ascii="宋体" w:hAnsi="宋体" w:cs="宋体" w:eastAsia="宋体" w:hint="default"/>
          <w:sz w:val="18"/>
          <w:szCs w:val="18"/>
        </w:rPr>
      </w:pPr>
      <w:r>
        <w:rPr>
          <w:rFonts w:ascii="宋体" w:hAnsi="宋体" w:cs="宋体" w:eastAsia="宋体" w:hint="default"/>
          <w:sz w:val="18"/>
          <w:szCs w:val="18"/>
        </w:rPr>
        <w:t>房屋及</w:t>
      </w:r>
    </w:p>
    <w:p>
      <w:pPr>
        <w:tabs>
          <w:tab w:pos="4704" w:val="left" w:leader="none"/>
          <w:tab w:pos="5954" w:val="left" w:leader="none"/>
          <w:tab w:pos="6989" w:val="left" w:leader="none"/>
          <w:tab w:pos="8221" w:val="left" w:leader="none"/>
          <w:tab w:pos="9713" w:val="left" w:leader="none"/>
        </w:tabs>
        <w:spacing w:line="249" w:lineRule="exact" w:before="0"/>
        <w:ind w:left="3720" w:right="99" w:firstLine="0"/>
        <w:jc w:val="left"/>
        <w:rPr>
          <w:rFonts w:ascii="宋体" w:hAnsi="宋体" w:cs="宋体" w:eastAsia="宋体" w:hint="default"/>
          <w:sz w:val="18"/>
          <w:szCs w:val="18"/>
        </w:rPr>
      </w:pPr>
      <w:r>
        <w:rPr>
          <w:rFonts w:ascii="宋体" w:hAnsi="宋体" w:cs="宋体" w:eastAsia="宋体" w:hint="default"/>
          <w:sz w:val="18"/>
          <w:szCs w:val="18"/>
        </w:rPr>
        <w:t>建筑物</w:t>
        <w:tab/>
        <w:t>机器设备</w:t>
        <w:tab/>
        <w:t>运输工具</w:t>
        <w:tab/>
        <w:t>电子设备</w:t>
        <w:tab/>
        <w:t>其他设备</w:t>
        <w:tab/>
      </w:r>
      <w:r>
        <w:rPr>
          <w:rFonts w:ascii="宋体" w:hAnsi="宋体" w:cs="宋体" w:eastAsia="宋体" w:hint="default"/>
          <w:position w:val="3"/>
          <w:sz w:val="18"/>
          <w:szCs w:val="18"/>
        </w:rPr>
        <w:t>合计</w:t>
      </w:r>
      <w:r>
        <w:rPr>
          <w:rFonts w:ascii="宋体" w:hAnsi="宋体" w:cs="宋体" w:eastAsia="宋体" w:hint="default"/>
          <w:sz w:val="18"/>
          <w:szCs w:val="18"/>
        </w:rPr>
      </w:r>
    </w:p>
    <w:p>
      <w:pPr>
        <w:spacing w:line="248" w:lineRule="exact" w:before="0"/>
        <w:ind w:left="6202" w:right="99"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p>
      <w:pPr>
        <w:spacing w:before="27"/>
        <w:ind w:left="722" w:right="99" w:firstLine="0"/>
        <w:jc w:val="left"/>
        <w:rPr>
          <w:rFonts w:ascii="宋体" w:hAnsi="宋体" w:cs="宋体" w:eastAsia="宋体" w:hint="default"/>
          <w:sz w:val="18"/>
          <w:szCs w:val="18"/>
        </w:rPr>
      </w:pPr>
      <w:r>
        <w:rPr>
          <w:rFonts w:ascii="宋体" w:hAnsi="宋体" w:cs="宋体" w:eastAsia="宋体" w:hint="default"/>
          <w:sz w:val="18"/>
          <w:szCs w:val="18"/>
        </w:rPr>
        <w:t>原价</w:t>
      </w:r>
    </w:p>
    <w:p>
      <w:pPr>
        <w:spacing w:line="240" w:lineRule="auto" w:before="12"/>
        <w:rPr>
          <w:rFonts w:ascii="宋体" w:hAnsi="宋体" w:cs="宋体" w:eastAsia="宋体" w:hint="default"/>
          <w:sz w:val="2"/>
          <w:szCs w:val="2"/>
        </w:rPr>
      </w:pPr>
    </w:p>
    <w:tbl>
      <w:tblPr>
        <w:tblW w:w="0" w:type="auto"/>
        <w:jc w:val="left"/>
        <w:tblInd w:w="972" w:type="dxa"/>
        <w:tblLayout w:type="fixed"/>
        <w:tblCellMar>
          <w:top w:w="0" w:type="dxa"/>
          <w:left w:w="0" w:type="dxa"/>
          <w:bottom w:w="0" w:type="dxa"/>
          <w:right w:w="0" w:type="dxa"/>
        </w:tblCellMar>
        <w:tblLook w:val="01E0"/>
      </w:tblPr>
      <w:tblGrid>
        <w:gridCol w:w="1986"/>
        <w:gridCol w:w="1556"/>
        <w:gridCol w:w="1124"/>
        <w:gridCol w:w="1182"/>
        <w:gridCol w:w="1106"/>
        <w:gridCol w:w="1155"/>
        <w:gridCol w:w="1169"/>
      </w:tblGrid>
      <w:tr>
        <w:trPr>
          <w:trHeight w:val="34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03" w:right="0"/>
              <w:jc w:val="left"/>
              <w:rPr>
                <w:rFonts w:ascii="Arial" w:hAnsi="Arial" w:cs="Arial" w:eastAsia="Arial" w:hint="default"/>
                <w:sz w:val="18"/>
                <w:szCs w:val="18"/>
              </w:rPr>
            </w:pPr>
            <w:r>
              <w:rPr>
                <w:rFonts w:ascii="Arial"/>
                <w:sz w:val="18"/>
              </w:rPr>
              <w:t>1,630,410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49" w:right="0"/>
              <w:jc w:val="left"/>
              <w:rPr>
                <w:rFonts w:ascii="Arial" w:hAnsi="Arial" w:cs="Arial" w:eastAsia="Arial" w:hint="default"/>
                <w:sz w:val="18"/>
                <w:szCs w:val="18"/>
              </w:rPr>
            </w:pPr>
            <w:r>
              <w:rPr>
                <w:rFonts w:ascii="Arial"/>
                <w:sz w:val="18"/>
              </w:rPr>
              <w:t>21,448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3"/>
              <w:jc w:val="right"/>
              <w:rPr>
                <w:rFonts w:ascii="Arial" w:hAnsi="Arial" w:cs="Arial" w:eastAsia="Arial" w:hint="default"/>
                <w:sz w:val="18"/>
                <w:szCs w:val="18"/>
              </w:rPr>
            </w:pPr>
            <w:r>
              <w:rPr>
                <w:rFonts w:ascii="Arial"/>
                <w:spacing w:val="-1"/>
                <w:sz w:val="18"/>
              </w:rPr>
              <w:t>55,390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2" w:right="0"/>
              <w:jc w:val="left"/>
              <w:rPr>
                <w:rFonts w:ascii="Arial" w:hAnsi="Arial" w:cs="Arial" w:eastAsia="Arial" w:hint="default"/>
                <w:sz w:val="18"/>
                <w:szCs w:val="18"/>
              </w:rPr>
            </w:pPr>
            <w:r>
              <w:rPr>
                <w:rFonts w:ascii="Arial"/>
                <w:sz w:val="18"/>
              </w:rPr>
              <w:t>318,810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66" w:right="0"/>
              <w:jc w:val="left"/>
              <w:rPr>
                <w:rFonts w:ascii="Arial" w:hAnsi="Arial" w:cs="Arial" w:eastAsia="Arial" w:hint="default"/>
                <w:sz w:val="18"/>
                <w:szCs w:val="18"/>
              </w:rPr>
            </w:pPr>
            <w:r>
              <w:rPr>
                <w:rFonts w:ascii="Arial"/>
                <w:sz w:val="18"/>
              </w:rPr>
              <w:t>29,596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3" w:right="0"/>
              <w:jc w:val="left"/>
              <w:rPr>
                <w:rFonts w:ascii="Arial" w:hAnsi="Arial" w:cs="Arial" w:eastAsia="Arial" w:hint="default"/>
                <w:sz w:val="18"/>
                <w:szCs w:val="18"/>
              </w:rPr>
            </w:pPr>
            <w:r>
              <w:rPr>
                <w:rFonts w:ascii="Arial"/>
                <w:sz w:val="18"/>
              </w:rPr>
              <w:t>2,055,654</w:t>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3" w:right="0"/>
              <w:jc w:val="left"/>
              <w:rPr>
                <w:rFonts w:ascii="Arial" w:hAnsi="Arial" w:cs="Arial" w:eastAsia="Arial" w:hint="default"/>
                <w:sz w:val="18"/>
                <w:szCs w:val="18"/>
              </w:rPr>
            </w:pPr>
            <w:r>
              <w:rPr>
                <w:rFonts w:ascii="Arial"/>
                <w:sz w:val="18"/>
              </w:rPr>
              <w:t>502,907</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2"/>
              <w:jc w:val="right"/>
              <w:rPr>
                <w:rFonts w:ascii="Arial" w:hAnsi="Arial" w:cs="Arial" w:eastAsia="Arial" w:hint="default"/>
                <w:sz w:val="18"/>
                <w:szCs w:val="18"/>
              </w:rPr>
            </w:pPr>
            <w:r>
              <w:rPr>
                <w:rFonts w:ascii="Arial"/>
                <w:w w:val="99"/>
                <w:sz w:val="18"/>
              </w:rPr>
              <w:t>-</w:t>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3"/>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2" w:right="0"/>
              <w:jc w:val="left"/>
              <w:rPr>
                <w:rFonts w:ascii="Arial" w:hAnsi="Arial" w:cs="Arial" w:eastAsia="Arial" w:hint="default"/>
                <w:sz w:val="18"/>
                <w:szCs w:val="18"/>
              </w:rPr>
            </w:pPr>
            <w:r>
              <w:rPr>
                <w:rFonts w:ascii="Arial"/>
                <w:sz w:val="18"/>
              </w:rPr>
              <w:t>502,907</w:t>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本年其他增加</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03" w:right="0"/>
              <w:jc w:val="left"/>
              <w:rPr>
                <w:rFonts w:ascii="Arial" w:hAnsi="Arial" w:cs="Arial" w:eastAsia="Arial" w:hint="default"/>
                <w:sz w:val="18"/>
                <w:szCs w:val="18"/>
              </w:rPr>
            </w:pPr>
            <w:r>
              <w:rPr>
                <w:rFonts w:ascii="Arial"/>
                <w:sz w:val="18"/>
              </w:rPr>
              <w:t>1,014,915</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1" w:right="0"/>
              <w:jc w:val="left"/>
              <w:rPr>
                <w:rFonts w:ascii="Arial" w:hAnsi="Arial" w:cs="Arial" w:eastAsia="Arial" w:hint="default"/>
                <w:sz w:val="18"/>
                <w:szCs w:val="18"/>
              </w:rPr>
            </w:pPr>
            <w:r>
              <w:rPr>
                <w:rFonts w:ascii="Arial"/>
                <w:sz w:val="18"/>
              </w:rPr>
              <w:t>334</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spacing w:val="-3"/>
                <w:sz w:val="18"/>
              </w:rPr>
              <w:t>11,731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1" w:right="0"/>
              <w:jc w:val="left"/>
              <w:rPr>
                <w:rFonts w:ascii="Arial" w:hAnsi="Arial" w:cs="Arial" w:eastAsia="Arial" w:hint="default"/>
                <w:sz w:val="18"/>
                <w:szCs w:val="18"/>
              </w:rPr>
            </w:pPr>
            <w:r>
              <w:rPr>
                <w:rFonts w:ascii="Arial"/>
                <w:sz w:val="18"/>
              </w:rPr>
              <w:t>68,374</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1" w:right="0"/>
              <w:jc w:val="left"/>
              <w:rPr>
                <w:rFonts w:ascii="Arial" w:hAnsi="Arial" w:cs="Arial" w:eastAsia="Arial" w:hint="default"/>
                <w:sz w:val="18"/>
                <w:szCs w:val="18"/>
              </w:rPr>
            </w:pPr>
            <w:r>
              <w:rPr>
                <w:rFonts w:ascii="Arial"/>
                <w:sz w:val="18"/>
              </w:rPr>
              <w:t>16,081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27" w:right="0"/>
              <w:jc w:val="left"/>
              <w:rPr>
                <w:rFonts w:ascii="Arial" w:hAnsi="Arial" w:cs="Arial" w:eastAsia="Arial" w:hint="default"/>
                <w:sz w:val="18"/>
                <w:szCs w:val="18"/>
              </w:rPr>
            </w:pPr>
            <w:r>
              <w:rPr>
                <w:rFonts w:ascii="Arial"/>
                <w:spacing w:val="-4"/>
                <w:sz w:val="18"/>
              </w:rPr>
              <w:t>1,111,435</w:t>
            </w:r>
            <w:r>
              <w:rPr>
                <w:rFonts w:ascii="Arial"/>
                <w:sz w:val="18"/>
              </w:rPr>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1" w:right="0"/>
              <w:jc w:val="left"/>
              <w:rPr>
                <w:rFonts w:ascii="Arial" w:hAnsi="Arial" w:cs="Arial" w:eastAsia="Arial" w:hint="default"/>
                <w:sz w:val="18"/>
                <w:szCs w:val="18"/>
              </w:rPr>
            </w:pPr>
            <w:r>
              <w:rPr>
                <w:rFonts w:ascii="Arial"/>
                <w:sz w:val="18"/>
              </w:rPr>
              <w:t>(1,036)</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2" w:right="0"/>
              <w:jc w:val="left"/>
              <w:rPr>
                <w:rFonts w:ascii="Arial" w:hAnsi="Arial" w:cs="Arial" w:eastAsia="Arial" w:hint="default"/>
                <w:sz w:val="18"/>
                <w:szCs w:val="18"/>
              </w:rPr>
            </w:pPr>
            <w:r>
              <w:rPr>
                <w:rFonts w:ascii="Arial"/>
                <w:sz w:val="18"/>
              </w:rPr>
              <w:t>4,876</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9" w:right="0"/>
              <w:jc w:val="left"/>
              <w:rPr>
                <w:rFonts w:ascii="Arial" w:hAnsi="Arial" w:cs="Arial" w:eastAsia="Arial" w:hint="default"/>
                <w:sz w:val="18"/>
                <w:szCs w:val="18"/>
              </w:rPr>
            </w:pPr>
            <w:r>
              <w:rPr>
                <w:rFonts w:ascii="Arial"/>
                <w:sz w:val="18"/>
              </w:rPr>
              <w:t>(3,840)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w w:val="99"/>
                <w:sz w:val="18"/>
              </w:rPr>
              <w:t>-</w:t>
            </w:r>
            <w:r>
              <w:rPr>
                <w:rFonts w:ascii="Arial"/>
                <w:sz w:val="18"/>
              </w:rPr>
            </w:r>
          </w:p>
        </w:tc>
      </w:tr>
      <w:tr>
        <w:trPr>
          <w:trHeight w:val="28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56" w:type="dxa"/>
            <w:tcBorders>
              <w:top w:val="nil" w:sz="6" w:space="0" w:color="auto"/>
              <w:left w:val="nil" w:sz="6" w:space="0" w:color="auto"/>
              <w:bottom w:val="nil" w:sz="6" w:space="0" w:color="auto"/>
              <w:right w:val="nil" w:sz="6" w:space="0" w:color="auto"/>
            </w:tcBorders>
          </w:tcPr>
          <w:p>
            <w:pPr>
              <w:pStyle w:val="TableParagraph"/>
              <w:tabs>
                <w:tab w:pos="855" w:val="left" w:leader="none"/>
                <w:tab w:pos="1077" w:val="left" w:leader="none"/>
              </w:tabs>
              <w:spacing w:line="240" w:lineRule="auto" w:before="36"/>
              <w:ind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839" w:val="left" w:leader="none"/>
                <w:tab w:pos="1047" w:val="left" w:leader="none"/>
              </w:tabs>
              <w:spacing w:line="240" w:lineRule="auto" w:before="36"/>
              <w:ind w:left="9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36"/>
              <w:ind w:right="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5"/>
                <w:sz w:val="18"/>
                <w:u w:val="single" w:color="000000"/>
              </w:rPr>
              <w:t>(1,814)</w:t>
            </w:r>
            <w:r>
              <w:rPr>
                <w:rFonts w:ascii="Arial"/>
                <w:spacing w:val="-1"/>
                <w:w w:val="95"/>
                <w:sz w:val="18"/>
              </w:rPr>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420" w:val="left" w:leader="none"/>
                <w:tab w:pos="1049" w:val="left" w:leader="none"/>
              </w:tabs>
              <w:spacing w:line="240" w:lineRule="auto" w:before="36"/>
              <w:ind w:left="6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(5,459)</w:t>
              <w:tab/>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498" w:val="left" w:leader="none"/>
              </w:tabs>
              <w:spacing w:line="240" w:lineRule="auto" w:before="36"/>
              <w:ind w:left="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(3,088)</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388" w:val="left" w:leader="none"/>
                <w:tab w:pos="1133" w:val="left" w:leader="none"/>
              </w:tabs>
              <w:spacing w:line="240" w:lineRule="auto" w:before="36"/>
              <w:ind w:left="4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(10,361)</w:t>
              <w:tab/>
            </w:r>
            <w:r>
              <w:rPr>
                <w:rFonts w:ascii="Arial"/>
                <w:sz w:val="18"/>
              </w:rPr>
            </w:r>
          </w:p>
        </w:tc>
      </w:tr>
      <w:tr>
        <w:trPr>
          <w:trHeight w:val="344"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41"/>
              <w:ind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6"/>
                <w:sz w:val="18"/>
                <w:u w:val="single" w:color="000000"/>
              </w:rPr>
              <w:t> </w:t>
            </w:r>
            <w:r>
              <w:rPr>
                <w:rFonts w:ascii="Arial"/>
                <w:spacing w:val="-1"/>
                <w:sz w:val="18"/>
                <w:u w:val="single" w:color="000000"/>
              </w:rPr>
              <w:t>3,148,232</w:t>
              <w:tab/>
            </w:r>
            <w:r>
              <w:rPr>
                <w:rFonts w:ascii="Arial"/>
                <w:spacing w:val="-1"/>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349" w:val="left" w:leader="none"/>
                <w:tab w:pos="1047" w:val="left" w:leader="none"/>
              </w:tabs>
              <w:spacing w:line="240" w:lineRule="auto" w:before="41"/>
              <w:ind w:left="9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20,746</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409" w:val="left" w:leader="none"/>
                <w:tab w:pos="1035" w:val="left" w:leader="none"/>
              </w:tabs>
              <w:spacing w:line="240" w:lineRule="auto" w:before="41"/>
              <w:ind w:right="6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65,307</w:t>
              <w:tab/>
            </w:r>
            <w:r>
              <w:rPr>
                <w:rFonts w:ascii="Arial"/>
                <w:spacing w:val="-1"/>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41"/>
              <w:ind w:left="6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386,601</w:t>
              <w:tab/>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466" w:val="left" w:leader="none"/>
                <w:tab w:pos="1105" w:val="left" w:leader="none"/>
              </w:tabs>
              <w:spacing w:line="240" w:lineRule="auto" w:before="41"/>
              <w:ind w:left="5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38,749</w:t>
              <w:tab/>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41"/>
              <w:ind w:left="4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7"/>
                <w:sz w:val="18"/>
                <w:u w:val="single" w:color="000000"/>
              </w:rPr>
              <w:t> </w:t>
            </w:r>
            <w:r>
              <w:rPr>
                <w:rFonts w:ascii="Arial"/>
                <w:sz w:val="18"/>
                <w:u w:val="single" w:color="000000"/>
              </w:rPr>
              <w:t>3,659,635</w:t>
              <w:tab/>
            </w:r>
            <w:r>
              <w:rPr>
                <w:rFonts w:ascii="Arial"/>
                <w:sz w:val="18"/>
              </w:rPr>
            </w:r>
          </w:p>
        </w:tc>
      </w:tr>
    </w:tbl>
    <w:p>
      <w:pPr>
        <w:spacing w:line="240" w:lineRule="auto" w:before="12"/>
        <w:rPr>
          <w:rFonts w:ascii="宋体" w:hAnsi="宋体" w:cs="宋体" w:eastAsia="宋体" w:hint="default"/>
          <w:sz w:val="8"/>
          <w:szCs w:val="8"/>
        </w:rPr>
      </w:pPr>
    </w:p>
    <w:p>
      <w:pPr>
        <w:spacing w:before="44"/>
        <w:ind w:left="722" w:right="99" w:firstLine="0"/>
        <w:jc w:val="left"/>
        <w:rPr>
          <w:rFonts w:ascii="宋体" w:hAnsi="宋体" w:cs="宋体" w:eastAsia="宋体" w:hint="default"/>
          <w:sz w:val="18"/>
          <w:szCs w:val="18"/>
        </w:rPr>
      </w:pPr>
      <w:r>
        <w:rPr>
          <w:rFonts w:ascii="宋体" w:hAnsi="宋体" w:cs="宋体" w:eastAsia="宋体" w:hint="default"/>
          <w:sz w:val="18"/>
          <w:szCs w:val="18"/>
        </w:rPr>
        <w:t>累计折旧</w:t>
      </w:r>
    </w:p>
    <w:p>
      <w:pPr>
        <w:spacing w:line="240" w:lineRule="auto" w:before="12"/>
        <w:rPr>
          <w:rFonts w:ascii="宋体" w:hAnsi="宋体" w:cs="宋体" w:eastAsia="宋体" w:hint="default"/>
          <w:sz w:val="2"/>
          <w:szCs w:val="2"/>
        </w:rPr>
      </w:pPr>
    </w:p>
    <w:tbl>
      <w:tblPr>
        <w:tblW w:w="0" w:type="auto"/>
        <w:jc w:val="left"/>
        <w:tblInd w:w="972" w:type="dxa"/>
        <w:tblLayout w:type="fixed"/>
        <w:tblCellMar>
          <w:top w:w="0" w:type="dxa"/>
          <w:left w:w="0" w:type="dxa"/>
          <w:bottom w:w="0" w:type="dxa"/>
          <w:right w:w="0" w:type="dxa"/>
        </w:tblCellMar>
        <w:tblLook w:val="01E0"/>
      </w:tblPr>
      <w:tblGrid>
        <w:gridCol w:w="1986"/>
        <w:gridCol w:w="1556"/>
        <w:gridCol w:w="1124"/>
        <w:gridCol w:w="1182"/>
        <w:gridCol w:w="1106"/>
        <w:gridCol w:w="1155"/>
        <w:gridCol w:w="1169"/>
      </w:tblGrid>
      <w:tr>
        <w:trPr>
          <w:trHeight w:val="34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5"/>
              <w:jc w:val="right"/>
              <w:rPr>
                <w:rFonts w:ascii="Arial" w:hAnsi="Arial" w:cs="Arial" w:eastAsia="Arial" w:hint="default"/>
                <w:sz w:val="18"/>
                <w:szCs w:val="18"/>
              </w:rPr>
            </w:pPr>
            <w:r>
              <w:rPr>
                <w:rFonts w:ascii="Arial"/>
                <w:spacing w:val="-1"/>
                <w:sz w:val="18"/>
              </w:rPr>
              <w:t>(27,136)</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40" w:right="0"/>
              <w:jc w:val="left"/>
              <w:rPr>
                <w:rFonts w:ascii="Arial" w:hAnsi="Arial" w:cs="Arial" w:eastAsia="Arial" w:hint="default"/>
                <w:sz w:val="18"/>
                <w:szCs w:val="18"/>
              </w:rPr>
            </w:pPr>
            <w:r>
              <w:rPr>
                <w:rFonts w:ascii="Arial"/>
                <w:sz w:val="18"/>
              </w:rPr>
              <w:t>(638)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3"/>
              <w:jc w:val="right"/>
              <w:rPr>
                <w:rFonts w:ascii="Arial" w:hAnsi="Arial" w:cs="Arial" w:eastAsia="Arial" w:hint="default"/>
                <w:sz w:val="18"/>
                <w:szCs w:val="18"/>
              </w:rPr>
            </w:pPr>
            <w:r>
              <w:rPr>
                <w:rFonts w:ascii="Arial"/>
                <w:spacing w:val="-1"/>
                <w:sz w:val="18"/>
              </w:rPr>
              <w:t>(21,094)</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3"/>
              <w:jc w:val="right"/>
              <w:rPr>
                <w:rFonts w:ascii="Arial" w:hAnsi="Arial" w:cs="Arial" w:eastAsia="Arial" w:hint="default"/>
                <w:sz w:val="18"/>
                <w:szCs w:val="18"/>
              </w:rPr>
            </w:pPr>
            <w:r>
              <w:rPr>
                <w:rFonts w:ascii="Arial"/>
                <w:spacing w:val="-1"/>
                <w:sz w:val="18"/>
              </w:rPr>
              <w:t>(127,392)</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Arial" w:hAnsi="Arial" w:cs="Arial" w:eastAsia="Arial" w:hint="default"/>
                <w:sz w:val="18"/>
                <w:szCs w:val="18"/>
              </w:rPr>
            </w:pPr>
            <w:r>
              <w:rPr>
                <w:rFonts w:ascii="Arial"/>
                <w:spacing w:val="-1"/>
                <w:sz w:val="18"/>
              </w:rPr>
              <w:t>(10,129)</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7" w:right="0"/>
              <w:jc w:val="left"/>
              <w:rPr>
                <w:rFonts w:ascii="Arial" w:hAnsi="Arial" w:cs="Arial" w:eastAsia="Arial" w:hint="default"/>
                <w:sz w:val="18"/>
                <w:szCs w:val="18"/>
              </w:rPr>
            </w:pPr>
            <w:r>
              <w:rPr>
                <w:rFonts w:ascii="Arial"/>
                <w:sz w:val="18"/>
              </w:rPr>
              <w:t>(186,389)</w:t>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spacing w:val="-1"/>
                <w:sz w:val="18"/>
              </w:rPr>
              <w:t>(80,108)</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0" w:right="0"/>
              <w:jc w:val="left"/>
              <w:rPr>
                <w:rFonts w:ascii="Arial" w:hAnsi="Arial" w:cs="Arial" w:eastAsia="Arial" w:hint="default"/>
                <w:sz w:val="18"/>
                <w:szCs w:val="18"/>
              </w:rPr>
            </w:pPr>
            <w:r>
              <w:rPr>
                <w:rFonts w:ascii="Arial"/>
                <w:sz w:val="18"/>
              </w:rPr>
              <w:t>(2,936)</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Arial" w:hAnsi="Arial" w:cs="Arial" w:eastAsia="Arial" w:hint="default"/>
                <w:sz w:val="18"/>
                <w:szCs w:val="18"/>
              </w:rPr>
            </w:pPr>
            <w:r>
              <w:rPr>
                <w:rFonts w:ascii="Arial"/>
                <w:spacing w:val="-1"/>
                <w:sz w:val="18"/>
              </w:rPr>
              <w:t>(10,775)</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spacing w:val="-1"/>
                <w:sz w:val="18"/>
              </w:rPr>
              <w:t>(63,170)</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w:hAnsi="Arial" w:cs="Arial" w:eastAsia="Arial" w:hint="default"/>
                <w:sz w:val="18"/>
                <w:szCs w:val="18"/>
              </w:rPr>
            </w:pPr>
            <w:r>
              <w:rPr>
                <w:rFonts w:ascii="Arial"/>
                <w:spacing w:val="-1"/>
                <w:w w:val="95"/>
                <w:sz w:val="18"/>
              </w:rPr>
              <w:t>(5,530)</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9" w:right="0"/>
              <w:jc w:val="left"/>
              <w:rPr>
                <w:rFonts w:ascii="Arial" w:hAnsi="Arial" w:cs="Arial" w:eastAsia="Arial" w:hint="default"/>
                <w:sz w:val="18"/>
                <w:szCs w:val="18"/>
              </w:rPr>
            </w:pPr>
            <w:r>
              <w:rPr>
                <w:rFonts w:ascii="Arial"/>
                <w:sz w:val="18"/>
              </w:rPr>
              <w:t>(162,519)</w:t>
            </w:r>
          </w:p>
        </w:tc>
      </w:tr>
      <w:tr>
        <w:trPr>
          <w:trHeight w:val="27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4"/>
              <w:jc w:val="right"/>
              <w:rPr>
                <w:rFonts w:ascii="Arial" w:hAnsi="Arial" w:cs="Arial" w:eastAsia="Arial" w:hint="default"/>
                <w:sz w:val="18"/>
                <w:szCs w:val="18"/>
              </w:rPr>
            </w:pPr>
            <w:r>
              <w:rPr>
                <w:rFonts w:ascii="Arial"/>
                <w:w w:val="99"/>
                <w:sz w:val="18"/>
              </w:rPr>
              <w:t>-</w:t>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0" w:right="0"/>
              <w:jc w:val="left"/>
              <w:rPr>
                <w:rFonts w:ascii="Arial" w:hAnsi="Arial" w:cs="Arial" w:eastAsia="Arial" w:hint="default"/>
                <w:sz w:val="18"/>
                <w:szCs w:val="18"/>
              </w:rPr>
            </w:pPr>
            <w:r>
              <w:rPr>
                <w:rFonts w:ascii="Arial"/>
                <w:sz w:val="18"/>
              </w:rPr>
              <w:t>70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spacing w:val="-1"/>
                <w:w w:val="95"/>
                <w:sz w:val="18"/>
              </w:rPr>
              <w:t>(1,295)</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1,225</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r>
      <w:tr>
        <w:trPr>
          <w:trHeight w:val="28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56" w:type="dxa"/>
            <w:tcBorders>
              <w:top w:val="nil" w:sz="6" w:space="0" w:color="auto"/>
              <w:left w:val="nil" w:sz="6" w:space="0" w:color="auto"/>
              <w:bottom w:val="nil" w:sz="6" w:space="0" w:color="auto"/>
              <w:right w:val="nil" w:sz="6" w:space="0" w:color="auto"/>
            </w:tcBorders>
          </w:tcPr>
          <w:p>
            <w:pPr>
              <w:pStyle w:val="TableParagraph"/>
              <w:tabs>
                <w:tab w:pos="855" w:val="left" w:leader="none"/>
                <w:tab w:pos="1077" w:val="left" w:leader="none"/>
              </w:tabs>
              <w:spacing w:line="240" w:lineRule="auto" w:before="36"/>
              <w:ind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839" w:val="left" w:leader="none"/>
                <w:tab w:pos="1047" w:val="left" w:leader="none"/>
              </w:tabs>
              <w:spacing w:line="240" w:lineRule="auto" w:before="36"/>
              <w:ind w:left="9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490" w:val="left" w:leader="none"/>
                <w:tab w:pos="1035" w:val="left" w:leader="none"/>
              </w:tabs>
              <w:spacing w:line="240" w:lineRule="auto" w:before="36"/>
              <w:ind w:right="6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1,503</w:t>
              <w:tab/>
            </w:r>
            <w:r>
              <w:rPr>
                <w:rFonts w:ascii="Arial"/>
                <w:spacing w:val="-1"/>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412" w:val="left" w:leader="none"/>
                <w:tab w:pos="980" w:val="left" w:leader="none"/>
              </w:tabs>
              <w:spacing w:line="240" w:lineRule="auto" w:before="36"/>
              <w:ind w:right="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3,615</w:t>
              <w:tab/>
            </w:r>
            <w:r>
              <w:rPr>
                <w:rFonts w:ascii="Arial"/>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640" w:val="left" w:leader="none"/>
                <w:tab w:pos="1049" w:val="left" w:leader="none"/>
              </w:tabs>
              <w:spacing w:line="240" w:lineRule="auto" w:before="36"/>
              <w:ind w:right="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586</w:t>
              <w:tab/>
            </w:r>
            <w:r>
              <w:rPr>
                <w:rFonts w:ascii="Arial"/>
                <w:spacing w:val="-1"/>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543" w:val="left" w:leader="none"/>
                <w:tab w:pos="1133" w:val="left" w:leader="none"/>
              </w:tabs>
              <w:spacing w:line="240" w:lineRule="auto" w:before="36"/>
              <w:ind w:left="4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5,704</w:t>
              <w:tab/>
            </w:r>
            <w:r>
              <w:rPr>
                <w:rFonts w:ascii="Arial"/>
                <w:sz w:val="18"/>
              </w:rPr>
            </w:r>
          </w:p>
        </w:tc>
      </w:tr>
      <w:tr>
        <w:trPr>
          <w:trHeight w:val="344"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6"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40" w:lineRule="auto" w:before="41"/>
              <w:ind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
                <w:sz w:val="18"/>
                <w:u w:val="single" w:color="000000"/>
              </w:rPr>
              <w:t>(107,244)</w:t>
              <w:tab/>
            </w:r>
            <w:r>
              <w:rPr>
                <w:rFonts w:ascii="Arial"/>
                <w:spacing w:val="-1"/>
                <w:sz w:val="18"/>
              </w:rPr>
            </w:r>
          </w:p>
        </w:tc>
        <w:tc>
          <w:tcPr>
            <w:tcW w:w="1124" w:type="dxa"/>
            <w:tcBorders>
              <w:top w:val="nil" w:sz="6" w:space="0" w:color="auto"/>
              <w:left w:val="nil" w:sz="6" w:space="0" w:color="auto"/>
              <w:bottom w:val="nil" w:sz="6" w:space="0" w:color="auto"/>
              <w:right w:val="nil" w:sz="6" w:space="0" w:color="auto"/>
            </w:tcBorders>
          </w:tcPr>
          <w:p>
            <w:pPr>
              <w:pStyle w:val="TableParagraph"/>
              <w:tabs>
                <w:tab w:pos="390" w:val="left" w:leader="none"/>
                <w:tab w:pos="1047" w:val="left" w:leader="none"/>
              </w:tabs>
              <w:spacing w:line="240" w:lineRule="auto" w:before="41"/>
              <w:ind w:left="9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(3,504)</w:t>
              <w:tab/>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tabs>
                <w:tab w:pos="328" w:val="left" w:leader="none"/>
              </w:tabs>
              <w:spacing w:line="240" w:lineRule="auto" w:before="41"/>
              <w:ind w:right="10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(30,366)</w:t>
            </w:r>
            <w:r>
              <w:rPr>
                <w:rFonts w:ascii="Arial"/>
                <w:spacing w:val="-1"/>
                <w:sz w:val="18"/>
              </w:rPr>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41"/>
              <w:ind w:right="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(188,242)</w:t>
              <w:tab/>
            </w:r>
            <w:r>
              <w:rPr>
                <w:rFonts w:ascii="Arial"/>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342" w:val="left" w:leader="none"/>
              </w:tabs>
              <w:spacing w:line="240" w:lineRule="auto" w:before="41"/>
              <w:ind w:right="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(13,848)</w:t>
            </w:r>
            <w:r>
              <w:rPr>
                <w:rFonts w:ascii="Arial"/>
                <w:spacing w:val="-1"/>
                <w:sz w:val="18"/>
              </w:rPr>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41"/>
              <w:ind w:left="4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(343,204)</w:t>
              <w:tab/>
            </w:r>
            <w:r>
              <w:rPr>
                <w:rFonts w:ascii="Arial"/>
                <w:sz w:val="18"/>
              </w:rPr>
            </w:r>
          </w:p>
        </w:tc>
      </w:tr>
    </w:tbl>
    <w:p>
      <w:pPr>
        <w:spacing w:line="240" w:lineRule="auto" w:before="13"/>
        <w:rPr>
          <w:rFonts w:ascii="宋体" w:hAnsi="宋体" w:cs="宋体" w:eastAsia="宋体" w:hint="default"/>
          <w:sz w:val="8"/>
          <w:szCs w:val="8"/>
        </w:rPr>
      </w:pPr>
    </w:p>
    <w:p>
      <w:pPr>
        <w:spacing w:before="44"/>
        <w:ind w:left="722" w:right="99" w:firstLine="0"/>
        <w:jc w:val="left"/>
        <w:rPr>
          <w:rFonts w:ascii="宋体" w:hAnsi="宋体" w:cs="宋体" w:eastAsia="宋体" w:hint="default"/>
          <w:sz w:val="18"/>
          <w:szCs w:val="18"/>
        </w:rPr>
      </w:pPr>
      <w:r>
        <w:rPr>
          <w:rFonts w:ascii="宋体" w:hAnsi="宋体" w:cs="宋体" w:eastAsia="宋体" w:hint="default"/>
          <w:sz w:val="18"/>
          <w:szCs w:val="18"/>
        </w:rPr>
        <w:t>净值</w:t>
      </w:r>
    </w:p>
    <w:p>
      <w:pPr>
        <w:spacing w:line="240" w:lineRule="auto" w:before="12"/>
        <w:rPr>
          <w:rFonts w:ascii="宋体" w:hAnsi="宋体" w:cs="宋体" w:eastAsia="宋体" w:hint="default"/>
          <w:sz w:val="2"/>
          <w:szCs w:val="2"/>
        </w:rPr>
      </w:pPr>
    </w:p>
    <w:tbl>
      <w:tblPr>
        <w:tblW w:w="0" w:type="auto"/>
        <w:jc w:val="left"/>
        <w:tblInd w:w="957" w:type="dxa"/>
        <w:tblLayout w:type="fixed"/>
        <w:tblCellMar>
          <w:top w:w="0" w:type="dxa"/>
          <w:left w:w="0" w:type="dxa"/>
          <w:bottom w:w="0" w:type="dxa"/>
          <w:right w:w="0" w:type="dxa"/>
        </w:tblCellMar>
        <w:tblLook w:val="01E0"/>
      </w:tblPr>
      <w:tblGrid>
        <w:gridCol w:w="2387"/>
        <w:gridCol w:w="1078"/>
        <w:gridCol w:w="182"/>
        <w:gridCol w:w="956"/>
        <w:gridCol w:w="154"/>
        <w:gridCol w:w="1036"/>
        <w:gridCol w:w="139"/>
        <w:gridCol w:w="980"/>
        <w:gridCol w:w="112"/>
        <w:gridCol w:w="1050"/>
        <w:gridCol w:w="98"/>
        <w:gridCol w:w="1085"/>
      </w:tblGrid>
      <w:tr>
        <w:trPr>
          <w:trHeight w:val="324"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8"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44"/>
              <w:jc w:val="center"/>
              <w:rPr>
                <w:rFonts w:ascii="Arial" w:hAnsi="Arial" w:cs="Arial" w:eastAsia="Arial" w:hint="default"/>
                <w:sz w:val="18"/>
                <w:szCs w:val="18"/>
              </w:rPr>
            </w:pPr>
            <w:r>
              <w:rPr>
                <w:rFonts w:ascii="Arial"/>
                <w:sz w:val="18"/>
              </w:rPr>
              <w:t>3,040,988</w:t>
            </w:r>
          </w:p>
        </w:tc>
        <w:tc>
          <w:tcPr>
            <w:tcW w:w="18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146"/>
              <w:jc w:val="right"/>
              <w:rPr>
                <w:rFonts w:ascii="Arial" w:hAnsi="Arial" w:cs="Arial" w:eastAsia="Arial" w:hint="default"/>
                <w:sz w:val="18"/>
                <w:szCs w:val="18"/>
              </w:rPr>
            </w:pPr>
            <w:r>
              <w:rPr>
                <w:rFonts w:ascii="Arial"/>
                <w:spacing w:val="-1"/>
                <w:sz w:val="18"/>
              </w:rPr>
              <w:t>17,242</w:t>
            </w:r>
          </w:p>
        </w:tc>
        <w:tc>
          <w:tcPr>
            <w:tcW w:w="154"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74"/>
              <w:jc w:val="right"/>
              <w:rPr>
                <w:rFonts w:ascii="Arial" w:hAnsi="Arial" w:cs="Arial" w:eastAsia="Arial" w:hint="default"/>
                <w:sz w:val="18"/>
                <w:szCs w:val="18"/>
              </w:rPr>
            </w:pPr>
            <w:r>
              <w:rPr>
                <w:rFonts w:ascii="Arial"/>
                <w:spacing w:val="-1"/>
                <w:sz w:val="18"/>
              </w:rPr>
              <w:t>34,941</w:t>
            </w:r>
          </w:p>
        </w:tc>
        <w:tc>
          <w:tcPr>
            <w:tcW w:w="139"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left="92" w:right="0"/>
              <w:jc w:val="center"/>
              <w:rPr>
                <w:rFonts w:ascii="Arial" w:hAnsi="Arial" w:cs="Arial" w:eastAsia="Arial" w:hint="default"/>
                <w:sz w:val="18"/>
                <w:szCs w:val="18"/>
              </w:rPr>
            </w:pPr>
            <w:r>
              <w:rPr>
                <w:rFonts w:ascii="Arial"/>
                <w:sz w:val="18"/>
              </w:rPr>
              <w:t>198,359</w:t>
            </w:r>
          </w:p>
        </w:tc>
        <w:tc>
          <w:tcPr>
            <w:tcW w:w="112"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87"/>
              <w:jc w:val="right"/>
              <w:rPr>
                <w:rFonts w:ascii="Arial" w:hAnsi="Arial" w:cs="Arial" w:eastAsia="Arial" w:hint="default"/>
                <w:sz w:val="18"/>
                <w:szCs w:val="18"/>
              </w:rPr>
            </w:pPr>
            <w:r>
              <w:rPr>
                <w:rFonts w:ascii="Arial"/>
                <w:spacing w:val="-1"/>
                <w:sz w:val="18"/>
              </w:rPr>
              <w:t>24,901</w:t>
            </w:r>
          </w:p>
        </w:tc>
        <w:tc>
          <w:tcPr>
            <w:tcW w:w="9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left="144" w:right="0"/>
              <w:jc w:val="left"/>
              <w:rPr>
                <w:rFonts w:ascii="Arial" w:hAnsi="Arial" w:cs="Arial" w:eastAsia="Arial" w:hint="default"/>
                <w:sz w:val="18"/>
                <w:szCs w:val="18"/>
              </w:rPr>
            </w:pPr>
            <w:r>
              <w:rPr>
                <w:rFonts w:ascii="Arial"/>
                <w:sz w:val="18"/>
              </w:rPr>
              <w:t>3,316,431</w:t>
            </w:r>
          </w:p>
        </w:tc>
      </w:tr>
      <w:tr>
        <w:trPr>
          <w:trHeight w:val="306"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43"/>
              <w:jc w:val="center"/>
              <w:rPr>
                <w:rFonts w:ascii="Arial" w:hAnsi="Arial" w:cs="Arial" w:eastAsia="Arial" w:hint="default"/>
                <w:sz w:val="18"/>
                <w:szCs w:val="18"/>
              </w:rPr>
            </w:pPr>
            <w:r>
              <w:rPr>
                <w:rFonts w:ascii="Arial"/>
                <w:sz w:val="18"/>
              </w:rPr>
              <w:t>1,603,274</w:t>
            </w:r>
          </w:p>
        </w:tc>
        <w:tc>
          <w:tcPr>
            <w:tcW w:w="182" w:type="dxa"/>
            <w:tcBorders>
              <w:top w:val="nil" w:sz="6" w:space="0" w:color="auto"/>
              <w:left w:val="nil" w:sz="6" w:space="0" w:color="auto"/>
              <w:bottom w:val="nil" w:sz="6" w:space="0" w:color="auto"/>
              <w:right w:val="nil" w:sz="6" w:space="0" w:color="auto"/>
            </w:tcBorders>
          </w:tcPr>
          <w:p>
            <w:pPr/>
          </w:p>
        </w:tc>
        <w:tc>
          <w:tcPr>
            <w:tcW w:w="9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145"/>
              <w:jc w:val="right"/>
              <w:rPr>
                <w:rFonts w:ascii="Arial" w:hAnsi="Arial" w:cs="Arial" w:eastAsia="Arial" w:hint="default"/>
                <w:sz w:val="18"/>
                <w:szCs w:val="18"/>
              </w:rPr>
            </w:pPr>
            <w:r>
              <w:rPr>
                <w:rFonts w:ascii="Arial"/>
                <w:spacing w:val="-1"/>
                <w:sz w:val="18"/>
              </w:rPr>
              <w:t>20,810</w:t>
            </w:r>
          </w:p>
        </w:tc>
        <w:tc>
          <w:tcPr>
            <w:tcW w:w="154" w:type="dxa"/>
            <w:tcBorders>
              <w:top w:val="nil" w:sz="6" w:space="0" w:color="auto"/>
              <w:left w:val="nil" w:sz="6" w:space="0" w:color="auto"/>
              <w:bottom w:val="nil" w:sz="6" w:space="0" w:color="auto"/>
              <w:right w:val="nil" w:sz="6" w:space="0" w:color="auto"/>
            </w:tcBorders>
          </w:tcPr>
          <w:p>
            <w:pPr/>
          </w:p>
        </w:tc>
        <w:tc>
          <w:tcPr>
            <w:tcW w:w="10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75"/>
              <w:jc w:val="right"/>
              <w:rPr>
                <w:rFonts w:ascii="Arial" w:hAnsi="Arial" w:cs="Arial" w:eastAsia="Arial" w:hint="default"/>
                <w:sz w:val="18"/>
                <w:szCs w:val="18"/>
              </w:rPr>
            </w:pPr>
            <w:r>
              <w:rPr>
                <w:rFonts w:ascii="Arial"/>
                <w:spacing w:val="-1"/>
                <w:sz w:val="18"/>
              </w:rPr>
              <w:t>34,296</w:t>
            </w:r>
          </w:p>
        </w:tc>
        <w:tc>
          <w:tcPr>
            <w:tcW w:w="139" w:type="dxa"/>
            <w:tcBorders>
              <w:top w:val="nil" w:sz="6" w:space="0" w:color="auto"/>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93" w:right="0"/>
              <w:jc w:val="center"/>
              <w:rPr>
                <w:rFonts w:ascii="Arial" w:hAnsi="Arial" w:cs="Arial" w:eastAsia="Arial" w:hint="default"/>
                <w:sz w:val="18"/>
                <w:szCs w:val="18"/>
              </w:rPr>
            </w:pPr>
            <w:r>
              <w:rPr>
                <w:rFonts w:ascii="Arial"/>
                <w:sz w:val="18"/>
              </w:rPr>
              <w:t>191,418</w:t>
            </w:r>
          </w:p>
        </w:tc>
        <w:tc>
          <w:tcPr>
            <w:tcW w:w="112" w:type="dxa"/>
            <w:tcBorders>
              <w:top w:val="nil" w:sz="6" w:space="0" w:color="auto"/>
              <w:left w:val="nil" w:sz="6" w:space="0" w:color="auto"/>
              <w:bottom w:val="nil" w:sz="6" w:space="0" w:color="auto"/>
              <w:right w:val="nil" w:sz="6" w:space="0" w:color="auto"/>
            </w:tcBorders>
          </w:tcPr>
          <w:p>
            <w:pPr/>
          </w:p>
        </w:tc>
        <w:tc>
          <w:tcPr>
            <w:tcW w:w="10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right="87"/>
              <w:jc w:val="right"/>
              <w:rPr>
                <w:rFonts w:ascii="Arial" w:hAnsi="Arial" w:cs="Arial" w:eastAsia="Arial" w:hint="default"/>
                <w:sz w:val="18"/>
                <w:szCs w:val="18"/>
              </w:rPr>
            </w:pPr>
            <w:r>
              <w:rPr>
                <w:rFonts w:ascii="Arial"/>
                <w:spacing w:val="-1"/>
                <w:sz w:val="18"/>
              </w:rPr>
              <w:t>19,467</w:t>
            </w:r>
          </w:p>
        </w:tc>
        <w:tc>
          <w:tcPr>
            <w:tcW w:w="98" w:type="dxa"/>
            <w:tcBorders>
              <w:top w:val="nil" w:sz="6" w:space="0" w:color="auto"/>
              <w:left w:val="nil" w:sz="6" w:space="0" w:color="auto"/>
              <w:bottom w:val="nil" w:sz="6" w:space="0" w:color="auto"/>
              <w:right w:val="nil" w:sz="6" w:space="0" w:color="auto"/>
            </w:tcBorders>
          </w:tcPr>
          <w:p>
            <w:pPr/>
          </w:p>
        </w:tc>
        <w:tc>
          <w:tcPr>
            <w:tcW w:w="10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144" w:right="0"/>
              <w:jc w:val="left"/>
              <w:rPr>
                <w:rFonts w:ascii="Arial" w:hAnsi="Arial" w:cs="Arial" w:eastAsia="Arial" w:hint="default"/>
                <w:sz w:val="18"/>
                <w:szCs w:val="18"/>
              </w:rPr>
            </w:pPr>
            <w:r>
              <w:rPr>
                <w:rFonts w:ascii="Arial"/>
                <w:sz w:val="18"/>
              </w:rPr>
              <w:t>1,869,265</w:t>
            </w:r>
          </w:p>
        </w:tc>
      </w:tr>
    </w:tbl>
    <w:p>
      <w:pPr>
        <w:spacing w:line="240" w:lineRule="auto" w:before="13"/>
        <w:rPr>
          <w:rFonts w:ascii="宋体" w:hAnsi="宋体" w:cs="宋体" w:eastAsia="宋体" w:hint="default"/>
          <w:sz w:val="14"/>
          <w:szCs w:val="14"/>
        </w:rPr>
      </w:pPr>
    </w:p>
    <w:p>
      <w:pPr>
        <w:pStyle w:val="BodyText"/>
        <w:spacing w:line="322" w:lineRule="exact" w:before="26"/>
        <w:ind w:left="830" w:right="99"/>
        <w:jc w:val="left"/>
      </w:pPr>
      <w:r>
        <w:rPr/>
        <w:t>于</w:t>
      </w:r>
      <w:r>
        <w:rPr>
          <w:spacing w:val="-65"/>
        </w:rPr>
        <w:t> </w:t>
      </w:r>
      <w:r>
        <w:rPr>
          <w:rFonts w:ascii="Arial" w:hAnsi="Arial" w:cs="Arial" w:eastAsia="Arial" w:hint="default"/>
        </w:rPr>
        <w:t>2008</w:t>
      </w:r>
      <w:r>
        <w:rPr>
          <w:rFonts w:ascii="Arial" w:hAnsi="Arial" w:cs="Arial" w:eastAsia="Arial" w:hint="default"/>
          <w:spacing w:val="-12"/>
        </w:rPr>
        <w:t> </w:t>
      </w:r>
      <w:r>
        <w:rPr/>
        <w:t>年</w:t>
      </w:r>
      <w:r>
        <w:rPr>
          <w:spacing w:val="-64"/>
        </w:rPr>
        <w:t> </w:t>
      </w:r>
      <w:r>
        <w:rPr>
          <w:rFonts w:ascii="Arial" w:hAnsi="Arial" w:cs="Arial" w:eastAsia="Arial" w:hint="default"/>
        </w:rPr>
        <w:t>12</w:t>
      </w:r>
      <w:r>
        <w:rPr>
          <w:rFonts w:ascii="Arial" w:hAnsi="Arial" w:cs="Arial" w:eastAsia="Arial" w:hint="default"/>
          <w:spacing w:val="-12"/>
        </w:rPr>
        <w:t> </w:t>
      </w:r>
      <w:r>
        <w:rPr/>
        <w:t>月</w:t>
      </w:r>
      <w:r>
        <w:rPr>
          <w:spacing w:val="-65"/>
        </w:rPr>
        <w:t> </w:t>
      </w:r>
      <w:r>
        <w:rPr>
          <w:rFonts w:ascii="Arial" w:hAnsi="Arial" w:cs="Arial" w:eastAsia="Arial" w:hint="default"/>
        </w:rPr>
        <w:t>31</w:t>
      </w:r>
      <w:r>
        <w:rPr>
          <w:rFonts w:ascii="Arial" w:hAnsi="Arial" w:cs="Arial" w:eastAsia="Arial" w:hint="default"/>
          <w:spacing w:val="-12"/>
        </w:rPr>
        <w:t> </w:t>
      </w:r>
      <w:r>
        <w:rPr/>
        <w:t>日，无房屋及建筑物作为短期借款的抵押物</w:t>
      </w:r>
      <w:r>
        <w:rPr>
          <w:rFonts w:ascii="Arial" w:hAnsi="Arial" w:cs="Arial" w:eastAsia="Arial" w:hint="default"/>
        </w:rPr>
        <w:t>(2007</w:t>
      </w:r>
      <w:r>
        <w:rPr>
          <w:rFonts w:ascii="Arial" w:hAnsi="Arial" w:cs="Arial" w:eastAsia="Arial" w:hint="default"/>
          <w:spacing w:val="-12"/>
        </w:rPr>
        <w:t> </w:t>
      </w:r>
      <w:r>
        <w:rPr/>
        <w:t>年</w:t>
      </w:r>
      <w:r>
        <w:rPr>
          <w:spacing w:val="-65"/>
        </w:rPr>
        <w:t> </w:t>
      </w:r>
      <w:r>
        <w:rPr>
          <w:rFonts w:ascii="Arial" w:hAnsi="Arial" w:cs="Arial" w:eastAsia="Arial" w:hint="default"/>
        </w:rPr>
        <w:t>12</w:t>
      </w:r>
      <w:r>
        <w:rPr>
          <w:rFonts w:ascii="Arial" w:hAnsi="Arial" w:cs="Arial" w:eastAsia="Arial" w:hint="default"/>
          <w:spacing w:val="-12"/>
        </w:rPr>
        <w:t> </w:t>
      </w:r>
      <w:r>
        <w:rPr/>
        <w:t>月</w:t>
      </w:r>
      <w:r>
        <w:rPr>
          <w:spacing w:val="-64"/>
        </w:rPr>
        <w:t> </w:t>
      </w:r>
      <w:r>
        <w:rPr>
          <w:rFonts w:ascii="Arial" w:hAnsi="Arial" w:cs="Arial" w:eastAsia="Arial" w:hint="default"/>
        </w:rPr>
        <w:t>31</w:t>
      </w:r>
      <w:r>
        <w:rPr>
          <w:rFonts w:ascii="Arial" w:hAnsi="Arial" w:cs="Arial" w:eastAsia="Arial" w:hint="default"/>
          <w:spacing w:val="-12"/>
        </w:rPr>
        <w:t> </w:t>
      </w:r>
      <w:r>
        <w:rPr>
          <w:spacing w:val="-14"/>
        </w:rPr>
        <w:t>日：抵</w:t>
      </w:r>
    </w:p>
    <w:p>
      <w:pPr>
        <w:pStyle w:val="BodyText"/>
        <w:spacing w:line="312" w:lineRule="exact"/>
        <w:ind w:left="830" w:right="99"/>
        <w:jc w:val="left"/>
      </w:pPr>
      <w:r>
        <w:rPr/>
        <w:t>押房屋及建筑物的原值和净值分别约为人民币 </w:t>
      </w:r>
      <w:r>
        <w:rPr>
          <w:rFonts w:ascii="Arial" w:hAnsi="Arial" w:cs="Arial" w:eastAsia="Arial" w:hint="default"/>
        </w:rPr>
        <w:t>2,715  </w:t>
      </w:r>
      <w:r>
        <w:rPr/>
        <w:t>万元及人民币 </w:t>
      </w:r>
      <w:r>
        <w:rPr>
          <w:rFonts w:ascii="Arial" w:hAnsi="Arial" w:cs="Arial" w:eastAsia="Arial" w:hint="default"/>
        </w:rPr>
        <w:t>1,615</w:t>
      </w:r>
      <w:r>
        <w:rPr>
          <w:rFonts w:ascii="Arial" w:hAnsi="Arial" w:cs="Arial" w:eastAsia="Arial" w:hint="default"/>
          <w:spacing w:val="21"/>
        </w:rPr>
        <w:t> </w:t>
      </w:r>
      <w:r>
        <w:rPr/>
        <w:t>万元</w:t>
      </w:r>
      <w:r>
        <w:rPr>
          <w:rFonts w:ascii="Arial" w:hAnsi="Arial" w:cs="Arial" w:eastAsia="Arial" w:hint="default"/>
        </w:rPr>
        <w:t>)(</w:t>
      </w:r>
      <w:r>
        <w:rPr/>
        <w:t>附注七</w:t>
      </w:r>
    </w:p>
    <w:p>
      <w:pPr>
        <w:pStyle w:val="BodyText"/>
        <w:spacing w:line="322" w:lineRule="exact"/>
        <w:ind w:left="830" w:right="99"/>
        <w:jc w:val="left"/>
      </w:pPr>
      <w:r>
        <w:rPr>
          <w:rFonts w:ascii="Arial" w:hAnsi="Arial" w:cs="Arial" w:eastAsia="Arial" w:hint="default"/>
        </w:rPr>
        <w:t>(13)(a))</w:t>
      </w:r>
      <w:r>
        <w:rPr/>
        <w:t>。</w:t>
      </w:r>
    </w:p>
    <w:p>
      <w:pPr>
        <w:spacing w:line="240" w:lineRule="auto" w:before="13"/>
        <w:rPr>
          <w:rFonts w:ascii="宋体" w:hAnsi="宋体" w:cs="宋体" w:eastAsia="宋体" w:hint="default"/>
          <w:sz w:val="16"/>
          <w:szCs w:val="16"/>
        </w:rPr>
      </w:pPr>
    </w:p>
    <w:p>
      <w:pPr>
        <w:pStyle w:val="BodyText"/>
        <w:spacing w:line="322" w:lineRule="exact"/>
        <w:ind w:left="830" w:right="99"/>
        <w:jc w:val="left"/>
      </w:pPr>
      <w:r>
        <w:rPr/>
        <w:t>于</w:t>
      </w:r>
      <w:r>
        <w:rPr>
          <w:spacing w:val="-57"/>
        </w:rPr>
        <w:t> </w:t>
      </w:r>
      <w:r>
        <w:rPr>
          <w:rFonts w:ascii="Arial" w:hAnsi="Arial" w:cs="Arial" w:eastAsia="Arial" w:hint="default"/>
        </w:rPr>
        <w:t>2008</w:t>
      </w:r>
      <w:r>
        <w:rPr>
          <w:rFonts w:ascii="Arial" w:hAnsi="Arial" w:cs="Arial" w:eastAsia="Arial" w:hint="default"/>
          <w:spacing w:val="-3"/>
        </w:rPr>
        <w:t> </w:t>
      </w:r>
      <w:r>
        <w:rPr/>
        <w:t>年</w:t>
      </w:r>
      <w:r>
        <w:rPr>
          <w:spacing w:val="-55"/>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日，原值和净值分别约为人民币</w:t>
      </w:r>
      <w:r>
        <w:rPr>
          <w:spacing w:val="-57"/>
        </w:rPr>
        <w:t> </w:t>
      </w:r>
      <w:r>
        <w:rPr>
          <w:rFonts w:ascii="Arial" w:hAnsi="Arial" w:cs="Arial" w:eastAsia="Arial" w:hint="default"/>
          <w:spacing w:val="-4"/>
        </w:rPr>
        <w:t>2,119 </w:t>
      </w:r>
      <w:r>
        <w:rPr/>
        <w:t>万元及人民币</w:t>
      </w:r>
      <w:r>
        <w:rPr>
          <w:spacing w:val="-56"/>
        </w:rPr>
        <w:t> </w:t>
      </w:r>
      <w:r>
        <w:rPr>
          <w:rFonts w:ascii="Arial" w:hAnsi="Arial" w:cs="Arial" w:eastAsia="Arial" w:hint="default"/>
        </w:rPr>
        <w:t>64</w:t>
      </w:r>
      <w:r>
        <w:rPr>
          <w:rFonts w:ascii="Arial" w:hAnsi="Arial" w:cs="Arial" w:eastAsia="Arial" w:hint="default"/>
          <w:spacing w:val="-2"/>
        </w:rPr>
        <w:t> </w:t>
      </w:r>
      <w:r>
        <w:rPr/>
        <w:t>万元的运输</w:t>
      </w:r>
    </w:p>
    <w:p>
      <w:pPr>
        <w:pStyle w:val="BodyText"/>
        <w:spacing w:line="312" w:lineRule="exact"/>
        <w:ind w:left="830" w:right="99"/>
        <w:jc w:val="left"/>
      </w:pPr>
      <w:r>
        <w:rPr/>
        <w:t>设备、电子设备及其他设备已提足折旧但仍在继续使用</w:t>
      </w:r>
      <w:r>
        <w:rPr>
          <w:rFonts w:ascii="Arial" w:hAnsi="Arial" w:cs="Arial" w:eastAsia="Arial" w:hint="default"/>
        </w:rPr>
        <w:t>(2007</w:t>
      </w:r>
      <w:r>
        <w:rPr>
          <w:rFonts w:ascii="Arial" w:hAnsi="Arial" w:cs="Arial" w:eastAsia="Arial" w:hint="default"/>
          <w:spacing w:val="-16"/>
        </w:rPr>
        <w:t> </w:t>
      </w:r>
      <w:r>
        <w:rPr/>
        <w:t>年</w:t>
      </w:r>
      <w:r>
        <w:rPr>
          <w:spacing w:val="-69"/>
        </w:rPr>
        <w:t> </w:t>
      </w:r>
      <w:r>
        <w:rPr>
          <w:rFonts w:ascii="Arial" w:hAnsi="Arial" w:cs="Arial" w:eastAsia="Arial" w:hint="default"/>
        </w:rPr>
        <w:t>12</w:t>
      </w:r>
      <w:r>
        <w:rPr>
          <w:rFonts w:ascii="Arial" w:hAnsi="Arial" w:cs="Arial" w:eastAsia="Arial" w:hint="default"/>
          <w:spacing w:val="-15"/>
        </w:rPr>
        <w:t> </w:t>
      </w:r>
      <w:r>
        <w:rPr/>
        <w:t>月</w:t>
      </w:r>
      <w:r>
        <w:rPr>
          <w:spacing w:val="-69"/>
        </w:rPr>
        <w:t> </w:t>
      </w:r>
      <w:r>
        <w:rPr>
          <w:rFonts w:ascii="Arial" w:hAnsi="Arial" w:cs="Arial" w:eastAsia="Arial" w:hint="default"/>
        </w:rPr>
        <w:t>31</w:t>
      </w:r>
      <w:r>
        <w:rPr>
          <w:rFonts w:ascii="Arial" w:hAnsi="Arial" w:cs="Arial" w:eastAsia="Arial" w:hint="default"/>
          <w:spacing w:val="-16"/>
        </w:rPr>
        <w:t> </w:t>
      </w:r>
      <w:r>
        <w:rPr>
          <w:spacing w:val="-6"/>
        </w:rPr>
        <w:t>日：原值和净值</w:t>
      </w:r>
    </w:p>
    <w:p>
      <w:pPr>
        <w:pStyle w:val="BodyText"/>
        <w:spacing w:line="322" w:lineRule="exact"/>
        <w:ind w:left="830" w:right="99"/>
        <w:jc w:val="left"/>
      </w:pPr>
      <w:r>
        <w:rPr/>
        <w:t>分别约为人民币</w:t>
      </w:r>
      <w:r>
        <w:rPr>
          <w:spacing w:val="-62"/>
        </w:rPr>
        <w:t> </w:t>
      </w:r>
      <w:r>
        <w:rPr>
          <w:rFonts w:ascii="Arial" w:hAnsi="Arial" w:cs="Arial" w:eastAsia="Arial" w:hint="default"/>
        </w:rPr>
        <w:t>1,666</w:t>
      </w:r>
      <w:r>
        <w:rPr>
          <w:rFonts w:ascii="Arial" w:hAnsi="Arial" w:cs="Arial" w:eastAsia="Arial" w:hint="default"/>
          <w:spacing w:val="-9"/>
        </w:rPr>
        <w:t> </w:t>
      </w:r>
      <w:r>
        <w:rPr/>
        <w:t>万元及</w:t>
      </w:r>
      <w:r>
        <w:rPr>
          <w:spacing w:val="-62"/>
        </w:rPr>
        <w:t> </w:t>
      </w:r>
      <w:r>
        <w:rPr>
          <w:rFonts w:ascii="Arial" w:hAnsi="Arial" w:cs="Arial" w:eastAsia="Arial" w:hint="default"/>
        </w:rPr>
        <w:t>50</w:t>
      </w:r>
      <w:r>
        <w:rPr>
          <w:rFonts w:ascii="Arial" w:hAnsi="Arial" w:cs="Arial" w:eastAsia="Arial" w:hint="default"/>
          <w:spacing w:val="-9"/>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322" w:lineRule="exact"/>
        <w:ind w:left="830" w:right="99"/>
        <w:jc w:val="left"/>
      </w:pPr>
      <w:r>
        <w:rPr/>
        <w:t>于</w:t>
      </w:r>
      <w:r>
        <w:rPr>
          <w:spacing w:val="-64"/>
        </w:rPr>
        <w:t> </w:t>
      </w:r>
      <w:r>
        <w:rPr>
          <w:rFonts w:ascii="Arial" w:hAnsi="Arial" w:cs="Arial" w:eastAsia="Arial" w:hint="default"/>
        </w:rPr>
        <w:t>2008</w:t>
      </w:r>
      <w:r>
        <w:rPr>
          <w:rFonts w:ascii="Arial" w:hAnsi="Arial" w:cs="Arial" w:eastAsia="Arial" w:hint="default"/>
          <w:spacing w:val="-11"/>
        </w:rPr>
        <w:t> </w:t>
      </w:r>
      <w:r>
        <w:rPr/>
        <w:t>年度计入营业费用及管理费用的折旧费用分别约为：人民币</w:t>
      </w:r>
      <w:r>
        <w:rPr>
          <w:spacing w:val="-64"/>
        </w:rPr>
        <w:t> </w:t>
      </w:r>
      <w:r>
        <w:rPr>
          <w:rFonts w:ascii="Arial" w:hAnsi="Arial" w:cs="Arial" w:eastAsia="Arial" w:hint="default"/>
        </w:rPr>
        <w:t>7,229</w:t>
      </w:r>
      <w:r>
        <w:rPr>
          <w:rFonts w:ascii="Arial" w:hAnsi="Arial" w:cs="Arial" w:eastAsia="Arial" w:hint="default"/>
          <w:spacing w:val="-11"/>
        </w:rPr>
        <w:t> </w:t>
      </w:r>
      <w:r>
        <w:rPr/>
        <w:t>万元及人民币</w:t>
      </w:r>
    </w:p>
    <w:p>
      <w:pPr>
        <w:pStyle w:val="BodyText"/>
        <w:spacing w:line="322" w:lineRule="exact"/>
        <w:ind w:left="830" w:right="99"/>
        <w:jc w:val="left"/>
      </w:pPr>
      <w:r>
        <w:rPr>
          <w:rFonts w:ascii="Arial" w:hAnsi="Arial" w:cs="Arial" w:eastAsia="Arial" w:hint="default"/>
        </w:rPr>
        <w:t>9,023</w:t>
      </w:r>
      <w:r>
        <w:rPr>
          <w:rFonts w:ascii="Arial" w:hAnsi="Arial" w:cs="Arial" w:eastAsia="Arial" w:hint="default"/>
          <w:spacing w:val="-10"/>
        </w:rPr>
        <w:t> </w:t>
      </w:r>
      <w:r>
        <w:rPr/>
        <w:t>万元</w:t>
      </w:r>
      <w:r>
        <w:rPr>
          <w:rFonts w:ascii="Arial" w:hAnsi="Arial" w:cs="Arial" w:eastAsia="Arial" w:hint="default"/>
        </w:rPr>
        <w:t>(2007</w:t>
      </w:r>
      <w:r>
        <w:rPr>
          <w:rFonts w:ascii="Arial" w:hAnsi="Arial" w:cs="Arial" w:eastAsia="Arial" w:hint="default"/>
          <w:spacing w:val="-10"/>
        </w:rPr>
        <w:t> </w:t>
      </w:r>
      <w:r>
        <w:rPr/>
        <w:t>年度：分别约人民币</w:t>
      </w:r>
      <w:r>
        <w:rPr>
          <w:spacing w:val="-63"/>
        </w:rPr>
        <w:t> </w:t>
      </w:r>
      <w:r>
        <w:rPr>
          <w:rFonts w:ascii="Arial" w:hAnsi="Arial" w:cs="Arial" w:eastAsia="Arial" w:hint="default"/>
        </w:rPr>
        <w:t>3,488</w:t>
      </w:r>
      <w:r>
        <w:rPr>
          <w:rFonts w:ascii="Arial" w:hAnsi="Arial" w:cs="Arial" w:eastAsia="Arial" w:hint="default"/>
          <w:spacing w:val="-10"/>
        </w:rPr>
        <w:t> </w:t>
      </w:r>
      <w:r>
        <w:rPr/>
        <w:t>万元及人民币</w:t>
      </w:r>
      <w:r>
        <w:rPr>
          <w:spacing w:val="-63"/>
        </w:rPr>
        <w:t> </w:t>
      </w:r>
      <w:r>
        <w:rPr>
          <w:rFonts w:ascii="Arial" w:hAnsi="Arial" w:cs="Arial" w:eastAsia="Arial" w:hint="default"/>
        </w:rPr>
        <w:t>4,419</w:t>
      </w:r>
      <w:r>
        <w:rPr>
          <w:rFonts w:ascii="Arial" w:hAnsi="Arial" w:cs="Arial" w:eastAsia="Arial" w:hint="default"/>
          <w:spacing w:val="-10"/>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240" w:lineRule="auto"/>
        <w:ind w:left="830" w:right="99"/>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日和</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日，本集团无重大暂时闲置的固定资产。</w:t>
      </w:r>
    </w:p>
    <w:p>
      <w:pPr>
        <w:spacing w:line="240" w:lineRule="auto" w:before="8"/>
        <w:rPr>
          <w:rFonts w:ascii="宋体" w:hAnsi="宋体" w:cs="宋体" w:eastAsia="宋体" w:hint="default"/>
          <w:sz w:val="19"/>
          <w:szCs w:val="19"/>
        </w:rPr>
      </w:pPr>
    </w:p>
    <w:p>
      <w:pPr>
        <w:pStyle w:val="BodyText"/>
        <w:spacing w:line="322" w:lineRule="exact"/>
        <w:ind w:left="830" w:right="99"/>
        <w:jc w:val="left"/>
      </w:pPr>
      <w:r>
        <w:rPr/>
        <w:t>于</w:t>
      </w:r>
      <w:r>
        <w:rPr>
          <w:spacing w:val="-58"/>
        </w:rPr>
        <w:t> </w:t>
      </w:r>
      <w:r>
        <w:rPr>
          <w:rFonts w:ascii="Arial" w:hAnsi="Arial" w:cs="Arial" w:eastAsia="Arial" w:hint="default"/>
        </w:rPr>
        <w:t>2008</w:t>
      </w:r>
      <w:r>
        <w:rPr>
          <w:rFonts w:ascii="Arial" w:hAnsi="Arial" w:cs="Arial" w:eastAsia="Arial" w:hint="default"/>
          <w:spacing w:val="-4"/>
        </w:rPr>
        <w:t> </w:t>
      </w:r>
      <w:r>
        <w:rPr/>
        <w:t>年</w:t>
      </w:r>
      <w:r>
        <w:rPr>
          <w:spacing w:val="-56"/>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日，净值约为人民币</w:t>
      </w:r>
      <w:r>
        <w:rPr>
          <w:spacing w:val="-58"/>
        </w:rPr>
        <w:t> </w:t>
      </w:r>
      <w:r>
        <w:rPr>
          <w:rFonts w:ascii="Arial" w:hAnsi="Arial" w:cs="Arial" w:eastAsia="Arial" w:hint="default"/>
        </w:rPr>
        <w:t>3.85</w:t>
      </w:r>
      <w:r>
        <w:rPr>
          <w:rFonts w:ascii="Arial" w:hAnsi="Arial" w:cs="Arial" w:eastAsia="Arial" w:hint="default"/>
          <w:spacing w:val="-4"/>
        </w:rPr>
        <w:t> </w:t>
      </w:r>
      <w:r>
        <w:rPr/>
        <w:t>亿元</w:t>
      </w:r>
      <w:r>
        <w:rPr>
          <w:rFonts w:ascii="Arial" w:hAnsi="Arial" w:cs="Arial" w:eastAsia="Arial" w:hint="default"/>
        </w:rPr>
        <w:t>(</w:t>
      </w:r>
      <w:r>
        <w:rPr/>
        <w:t>原值约为人民币</w:t>
      </w:r>
      <w:r>
        <w:rPr>
          <w:spacing w:val="-58"/>
        </w:rPr>
        <w:t> </w:t>
      </w:r>
      <w:r>
        <w:rPr>
          <w:rFonts w:ascii="Arial" w:hAnsi="Arial" w:cs="Arial" w:eastAsia="Arial" w:hint="default"/>
        </w:rPr>
        <w:t>3.93</w:t>
      </w:r>
      <w:r>
        <w:rPr>
          <w:rFonts w:ascii="Arial" w:hAnsi="Arial" w:cs="Arial" w:eastAsia="Arial" w:hint="default"/>
          <w:spacing w:val="-4"/>
        </w:rPr>
        <w:t> </w:t>
      </w:r>
      <w:r>
        <w:rPr/>
        <w:t>亿元</w:t>
      </w:r>
      <w:r>
        <w:rPr>
          <w:rFonts w:ascii="Arial" w:hAnsi="Arial" w:cs="Arial" w:eastAsia="Arial" w:hint="default"/>
        </w:rPr>
        <w:t>)</w:t>
      </w:r>
      <w:r>
        <w:rPr/>
        <w:t>的房屋及</w:t>
      </w:r>
    </w:p>
    <w:p>
      <w:pPr>
        <w:pStyle w:val="BodyText"/>
        <w:spacing w:line="312" w:lineRule="exact" w:before="21"/>
        <w:ind w:left="830" w:right="99"/>
        <w:jc w:val="left"/>
      </w:pPr>
      <w:r>
        <w:rPr/>
        <w:t>建筑物</w:t>
      </w: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日：净值约为人民币</w:t>
      </w:r>
      <w:r>
        <w:rPr>
          <w:spacing w:val="-50"/>
        </w:rPr>
        <w:t> </w:t>
      </w:r>
      <w:r>
        <w:rPr>
          <w:rFonts w:ascii="Arial" w:hAnsi="Arial" w:cs="Arial" w:eastAsia="Arial" w:hint="default"/>
        </w:rPr>
        <w:t>1.19</w:t>
      </w:r>
      <w:r>
        <w:rPr>
          <w:rFonts w:ascii="Arial" w:hAnsi="Arial" w:cs="Arial" w:eastAsia="Arial" w:hint="default"/>
          <w:spacing w:val="3"/>
        </w:rPr>
        <w:t> </w:t>
      </w:r>
      <w:r>
        <w:rPr/>
        <w:t>亿元，原值约为人民币</w:t>
      </w:r>
      <w:r>
        <w:rPr>
          <w:spacing w:val="-50"/>
        </w:rPr>
        <w:t> </w:t>
      </w:r>
      <w:r>
        <w:rPr>
          <w:rFonts w:ascii="Arial" w:hAnsi="Arial" w:cs="Arial" w:eastAsia="Arial" w:hint="default"/>
        </w:rPr>
        <w:t>1.21</w:t>
      </w:r>
      <w:r>
        <w:rPr>
          <w:rFonts w:ascii="Arial" w:hAnsi="Arial" w:cs="Arial" w:eastAsia="Arial" w:hint="default"/>
          <w:spacing w:val="3"/>
        </w:rPr>
        <w:t> </w:t>
      </w:r>
      <w:r>
        <w:rPr/>
        <w:t>亿元</w:t>
      </w:r>
      <w:r>
        <w:rPr>
          <w:rFonts w:ascii="Arial" w:hAnsi="Arial" w:cs="Arial" w:eastAsia="Arial" w:hint="default"/>
        </w:rPr>
        <w:t>)</w:t>
      </w:r>
      <w:r>
        <w:rPr/>
        <w:t>由 于手续原因尚未办妥房屋产权证。</w:t>
      </w:r>
    </w:p>
    <w:p>
      <w:pPr>
        <w:spacing w:after="0" w:line="312" w:lineRule="exact"/>
        <w:jc w:val="left"/>
        <w:sectPr>
          <w:pgSz w:w="11910" w:h="16840"/>
          <w:pgMar w:header="826" w:footer="894" w:top="1100" w:bottom="1080" w:left="920" w:right="620"/>
        </w:sectPr>
      </w:pPr>
    </w:p>
    <w:p>
      <w:pPr>
        <w:spacing w:line="240" w:lineRule="auto" w:before="3"/>
        <w:rPr>
          <w:rFonts w:ascii="宋体" w:hAnsi="宋体" w:cs="宋体" w:eastAsia="宋体" w:hint="default"/>
          <w:sz w:val="27"/>
          <w:szCs w:val="27"/>
        </w:rPr>
      </w:pPr>
    </w:p>
    <w:p>
      <w:pPr>
        <w:pStyle w:val="Heading2"/>
        <w:tabs>
          <w:tab w:pos="925" w:val="left" w:leader="none"/>
        </w:tabs>
        <w:spacing w:line="240" w:lineRule="auto"/>
        <w:ind w:left="118"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25" w:val="left" w:leader="none"/>
        </w:tabs>
        <w:spacing w:before="0"/>
        <w:ind w:left="118"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8"/>
        <w:rPr>
          <w:rFonts w:ascii="宋体" w:hAnsi="宋体" w:cs="宋体" w:eastAsia="宋体" w:hint="default"/>
          <w:b/>
          <w:bCs/>
          <w:sz w:val="18"/>
          <w:szCs w:val="18"/>
        </w:rPr>
      </w:pPr>
    </w:p>
    <w:tbl>
      <w:tblPr>
        <w:tblW w:w="0" w:type="auto"/>
        <w:jc w:val="left"/>
        <w:tblInd w:w="890" w:type="dxa"/>
        <w:tblLayout w:type="fixed"/>
        <w:tblCellMar>
          <w:top w:w="0" w:type="dxa"/>
          <w:left w:w="0" w:type="dxa"/>
          <w:bottom w:w="0" w:type="dxa"/>
          <w:right w:w="0" w:type="dxa"/>
        </w:tblCellMar>
        <w:tblLook w:val="01E0"/>
      </w:tblPr>
      <w:tblGrid>
        <w:gridCol w:w="2225"/>
        <w:gridCol w:w="969"/>
        <w:gridCol w:w="1750"/>
        <w:gridCol w:w="1582"/>
        <w:gridCol w:w="1624"/>
        <w:gridCol w:w="1666"/>
        <w:gridCol w:w="1998"/>
        <w:gridCol w:w="1638"/>
      </w:tblGrid>
      <w:tr>
        <w:trPr>
          <w:trHeight w:val="863"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tabs>
                <w:tab w:pos="2386"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工程名称</w:t>
              <w:tab/>
              <w:t>预算数</w:t>
            </w:r>
          </w:p>
        </w:tc>
        <w:tc>
          <w:tcPr>
            <w:tcW w:w="1750" w:type="dxa"/>
            <w:tcBorders>
              <w:top w:val="nil" w:sz="6" w:space="0" w:color="auto"/>
              <w:left w:val="nil" w:sz="6" w:space="0" w:color="auto"/>
              <w:bottom w:val="nil" w:sz="6" w:space="0" w:color="auto"/>
              <w:right w:val="nil" w:sz="6" w:space="0" w:color="auto"/>
            </w:tcBorders>
          </w:tcPr>
          <w:p>
            <w:pPr>
              <w:pStyle w:val="TableParagraph"/>
              <w:spacing w:line="282" w:lineRule="exact" w:before="35"/>
              <w:ind w:left="802"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82" w:lineRule="exact"/>
              <w:ind w:left="487"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217"/>
              <w:jc w:val="right"/>
              <w:rPr>
                <w:rFonts w:ascii="宋体" w:hAnsi="宋体" w:cs="宋体" w:eastAsia="宋体" w:hint="default"/>
                <w:sz w:val="21"/>
                <w:szCs w:val="21"/>
              </w:rPr>
            </w:pPr>
            <w:r>
              <w:rPr>
                <w:rFonts w:ascii="宋体" w:hAnsi="宋体" w:cs="宋体" w:eastAsia="宋体" w:hint="default"/>
                <w:sz w:val="21"/>
                <w:szCs w:val="21"/>
              </w:rPr>
              <w:t>本年增加</w:t>
            </w:r>
          </w:p>
        </w:tc>
        <w:tc>
          <w:tcPr>
            <w:tcW w:w="1624"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353" w:right="0"/>
              <w:jc w:val="left"/>
              <w:rPr>
                <w:rFonts w:ascii="宋体" w:hAnsi="宋体" w:cs="宋体" w:eastAsia="宋体" w:hint="default"/>
                <w:sz w:val="21"/>
                <w:szCs w:val="21"/>
              </w:rPr>
            </w:pPr>
            <w:r>
              <w:rPr>
                <w:rFonts w:ascii="宋体" w:hAnsi="宋体" w:cs="宋体" w:eastAsia="宋体" w:hint="default"/>
                <w:sz w:val="21"/>
                <w:szCs w:val="21"/>
              </w:rPr>
              <w:t>本年转入固</w:t>
            </w:r>
          </w:p>
          <w:p>
            <w:pPr>
              <w:pStyle w:val="TableParagraph"/>
              <w:spacing w:line="274" w:lineRule="exact"/>
              <w:ind w:left="773" w:right="0"/>
              <w:jc w:val="left"/>
              <w:rPr>
                <w:rFonts w:ascii="宋体" w:hAnsi="宋体" w:cs="宋体" w:eastAsia="宋体" w:hint="default"/>
                <w:sz w:val="21"/>
                <w:szCs w:val="21"/>
              </w:rPr>
            </w:pPr>
            <w:r>
              <w:rPr>
                <w:rFonts w:ascii="宋体" w:hAnsi="宋体" w:cs="宋体" w:eastAsia="宋体" w:hint="default"/>
                <w:sz w:val="21"/>
                <w:szCs w:val="21"/>
              </w:rPr>
              <w:t>定资产</w:t>
            </w:r>
          </w:p>
        </w:tc>
        <w:tc>
          <w:tcPr>
            <w:tcW w:w="1666" w:type="dxa"/>
            <w:tcBorders>
              <w:top w:val="nil" w:sz="6" w:space="0" w:color="auto"/>
              <w:left w:val="nil" w:sz="6" w:space="0" w:color="auto"/>
              <w:bottom w:val="nil" w:sz="6" w:space="0" w:color="auto"/>
              <w:right w:val="nil" w:sz="6" w:space="0" w:color="auto"/>
            </w:tcBorders>
          </w:tcPr>
          <w:p>
            <w:pPr>
              <w:pStyle w:val="TableParagraph"/>
              <w:spacing w:line="282" w:lineRule="exact" w:before="35"/>
              <w:ind w:left="802"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82" w:lineRule="exact"/>
              <w:ind w:left="486"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资金来源</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3" w:right="33" w:firstLine="420"/>
              <w:jc w:val="left"/>
              <w:rPr>
                <w:rFonts w:ascii="宋体" w:hAnsi="宋体" w:cs="宋体" w:eastAsia="宋体" w:hint="default"/>
                <w:sz w:val="21"/>
                <w:szCs w:val="21"/>
              </w:rPr>
            </w:pPr>
            <w:r>
              <w:rPr>
                <w:rFonts w:ascii="宋体" w:hAnsi="宋体" w:cs="宋体" w:eastAsia="宋体" w:hint="default"/>
                <w:sz w:val="21"/>
                <w:szCs w:val="21"/>
              </w:rPr>
              <w:t>工程投入 占预算的比例</w:t>
            </w:r>
          </w:p>
        </w:tc>
      </w:tr>
      <w:tr>
        <w:trPr>
          <w:trHeight w:val="526"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259" w:val="left" w:leader="none"/>
              </w:tabs>
              <w:spacing w:line="240" w:lineRule="auto" w:before="201"/>
              <w:ind w:left="35" w:right="0"/>
              <w:jc w:val="left"/>
              <w:rPr>
                <w:rFonts w:ascii="Arial" w:hAnsi="Arial" w:cs="Arial" w:eastAsia="Arial" w:hint="default"/>
                <w:sz w:val="21"/>
                <w:szCs w:val="21"/>
              </w:rPr>
            </w:pPr>
            <w:r>
              <w:rPr>
                <w:rFonts w:ascii="宋体" w:hAnsi="宋体" w:cs="宋体" w:eastAsia="宋体" w:hint="default"/>
                <w:position w:val="2"/>
                <w:sz w:val="21"/>
                <w:szCs w:val="21"/>
              </w:rPr>
              <w:t>江苏物流中心</w:t>
              <w:tab/>
            </w:r>
            <w:r>
              <w:rPr>
                <w:rFonts w:ascii="Arial" w:hAnsi="Arial" w:cs="Arial" w:eastAsia="Arial" w:hint="default"/>
                <w:sz w:val="21"/>
                <w:szCs w:val="21"/>
              </w:rPr>
              <w:t>200,000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217"/>
              <w:jc w:val="right"/>
              <w:rPr>
                <w:rFonts w:ascii="Arial" w:hAnsi="Arial" w:cs="Arial" w:eastAsia="Arial" w:hint="default"/>
                <w:sz w:val="21"/>
                <w:szCs w:val="21"/>
              </w:rPr>
            </w:pPr>
            <w:r>
              <w:rPr>
                <w:rFonts w:ascii="Arial"/>
                <w:spacing w:val="-1"/>
                <w:w w:val="95"/>
                <w:sz w:val="21"/>
              </w:rPr>
              <w:t>82,559</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218"/>
              <w:jc w:val="right"/>
              <w:rPr>
                <w:rFonts w:ascii="Arial" w:hAnsi="Arial" w:cs="Arial" w:eastAsia="Arial" w:hint="default"/>
                <w:sz w:val="21"/>
                <w:szCs w:val="21"/>
              </w:rPr>
            </w:pPr>
            <w:r>
              <w:rPr>
                <w:rFonts w:ascii="Arial"/>
                <w:spacing w:val="-1"/>
                <w:w w:val="95"/>
                <w:sz w:val="21"/>
              </w:rPr>
              <w:t>34,904</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622" w:right="0"/>
              <w:jc w:val="left"/>
              <w:rPr>
                <w:rFonts w:ascii="Arial" w:hAnsi="Arial" w:cs="Arial" w:eastAsia="Arial" w:hint="default"/>
                <w:sz w:val="21"/>
                <w:szCs w:val="21"/>
              </w:rPr>
            </w:pPr>
            <w:r>
              <w:rPr>
                <w:rFonts w:ascii="Arial"/>
                <w:sz w:val="21"/>
              </w:rPr>
              <w:t>(94,503)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35"/>
              <w:jc w:val="right"/>
              <w:rPr>
                <w:rFonts w:ascii="Arial" w:hAnsi="Arial" w:cs="Arial" w:eastAsia="Arial" w:hint="default"/>
                <w:sz w:val="21"/>
                <w:szCs w:val="21"/>
              </w:rPr>
            </w:pPr>
            <w:r>
              <w:rPr>
                <w:rFonts w:ascii="Arial"/>
                <w:spacing w:val="-1"/>
                <w:w w:val="95"/>
                <w:sz w:val="21"/>
              </w:rPr>
              <w:t>22,960</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募集资金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33"/>
              <w:jc w:val="right"/>
              <w:rPr>
                <w:rFonts w:ascii="Arial" w:hAnsi="Arial" w:cs="Arial" w:eastAsia="Arial" w:hint="default"/>
                <w:sz w:val="21"/>
                <w:szCs w:val="21"/>
              </w:rPr>
            </w:pPr>
            <w:r>
              <w:rPr>
                <w:rFonts w:ascii="Arial"/>
                <w:spacing w:val="-1"/>
                <w:w w:val="95"/>
                <w:sz w:val="21"/>
              </w:rPr>
              <w:t>78%</w:t>
            </w:r>
            <w:r>
              <w:rPr>
                <w:rFonts w:ascii="Arial"/>
                <w:sz w:val="21"/>
              </w:rPr>
            </w:r>
          </w:p>
        </w:tc>
      </w:tr>
      <w:tr>
        <w:trPr>
          <w:trHeight w:val="277"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376" w:val="left" w:leader="none"/>
              </w:tabs>
              <w:spacing w:line="262" w:lineRule="exact"/>
              <w:ind w:left="35" w:right="0"/>
              <w:jc w:val="left"/>
              <w:rPr>
                <w:rFonts w:ascii="Arial" w:hAnsi="Arial" w:cs="Arial" w:eastAsia="Arial" w:hint="default"/>
                <w:sz w:val="21"/>
                <w:szCs w:val="21"/>
              </w:rPr>
            </w:pPr>
            <w:r>
              <w:rPr>
                <w:rFonts w:ascii="宋体" w:hAnsi="宋体" w:cs="宋体" w:eastAsia="宋体" w:hint="default"/>
                <w:position w:val="2"/>
                <w:sz w:val="21"/>
                <w:szCs w:val="21"/>
              </w:rPr>
              <w:t>金门协和大厦</w:t>
              <w:tab/>
            </w:r>
            <w:r>
              <w:rPr>
                <w:rFonts w:ascii="Arial" w:hAnsi="Arial" w:cs="Arial" w:eastAsia="Arial" w:hint="default"/>
                <w:sz w:val="21"/>
                <w:szCs w:val="21"/>
              </w:rPr>
              <w:t>33,891</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6"/>
              <w:jc w:val="right"/>
              <w:rPr>
                <w:rFonts w:ascii="Arial" w:hAnsi="Arial" w:cs="Arial" w:eastAsia="Arial" w:hint="default"/>
                <w:sz w:val="21"/>
                <w:szCs w:val="21"/>
              </w:rPr>
            </w:pPr>
            <w:r>
              <w:rPr>
                <w:rFonts w:ascii="Arial"/>
                <w:w w:val="99"/>
                <w:sz w:val="21"/>
              </w:rPr>
              <w:t>-</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7"/>
              <w:jc w:val="right"/>
              <w:rPr>
                <w:rFonts w:ascii="Arial" w:hAnsi="Arial" w:cs="Arial" w:eastAsia="Arial" w:hint="default"/>
                <w:sz w:val="21"/>
                <w:szCs w:val="21"/>
              </w:rPr>
            </w:pPr>
            <w:r>
              <w:rPr>
                <w:rFonts w:ascii="Arial"/>
                <w:spacing w:val="-1"/>
                <w:w w:val="95"/>
                <w:sz w:val="21"/>
              </w:rPr>
              <w:t>33,891</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1"/>
              <w:jc w:val="right"/>
              <w:rPr>
                <w:rFonts w:ascii="Arial" w:hAnsi="Arial" w:cs="Arial" w:eastAsia="Arial" w:hint="default"/>
                <w:sz w:val="21"/>
                <w:szCs w:val="21"/>
              </w:rPr>
            </w:pPr>
            <w:r>
              <w:rPr>
                <w:rFonts w:ascii="Arial"/>
                <w:w w:val="99"/>
                <w:sz w:val="21"/>
              </w:rPr>
              <w:t>-</w:t>
            </w:r>
            <w:r>
              <w:rPr>
                <w:rFonts w:ascii="Arial"/>
                <w:sz w:val="21"/>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1"/>
                <w:szCs w:val="21"/>
              </w:rPr>
            </w:pPr>
            <w:r>
              <w:rPr>
                <w:rFonts w:ascii="Arial"/>
                <w:spacing w:val="-1"/>
                <w:w w:val="95"/>
                <w:sz w:val="21"/>
              </w:rPr>
              <w:t>33,891</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30" w:lineRule="exact"/>
              <w:ind w:right="341"/>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6"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259" w:val="left" w:leader="none"/>
              </w:tabs>
              <w:spacing w:line="261" w:lineRule="exact"/>
              <w:ind w:left="34" w:right="0"/>
              <w:jc w:val="left"/>
              <w:rPr>
                <w:rFonts w:ascii="Arial" w:hAnsi="Arial" w:cs="Arial" w:eastAsia="Arial" w:hint="default"/>
                <w:sz w:val="21"/>
                <w:szCs w:val="21"/>
              </w:rPr>
            </w:pPr>
            <w:r>
              <w:rPr>
                <w:rFonts w:ascii="宋体" w:hAnsi="宋体" w:cs="宋体" w:eastAsia="宋体" w:hint="default"/>
                <w:sz w:val="21"/>
                <w:szCs w:val="21"/>
              </w:rPr>
              <w:t>山东济南永安大厦</w:t>
              <w:tab/>
            </w:r>
            <w:r>
              <w:rPr>
                <w:rFonts w:ascii="Arial" w:hAnsi="Arial" w:cs="Arial" w:eastAsia="Arial" w:hint="default"/>
                <w:position w:val="-1"/>
                <w:sz w:val="21"/>
                <w:szCs w:val="21"/>
              </w:rPr>
              <w:t>183,605</w:t>
            </w:r>
            <w:r>
              <w:rPr>
                <w:rFonts w:ascii="Arial" w:hAnsi="Arial" w:cs="Arial" w:eastAsia="Arial" w:hint="default"/>
                <w:sz w:val="21"/>
                <w:szCs w:val="21"/>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6"/>
              <w:jc w:val="right"/>
              <w:rPr>
                <w:rFonts w:ascii="Arial" w:hAnsi="Arial" w:cs="Arial" w:eastAsia="Arial" w:hint="default"/>
                <w:sz w:val="21"/>
                <w:szCs w:val="21"/>
              </w:rPr>
            </w:pPr>
            <w:r>
              <w:rPr>
                <w:rFonts w:ascii="Arial"/>
                <w:w w:val="99"/>
                <w:sz w:val="21"/>
              </w:rPr>
              <w:t>-</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Arial" w:hAnsi="Arial" w:cs="Arial" w:eastAsia="Arial" w:hint="default"/>
                <w:sz w:val="21"/>
                <w:szCs w:val="21"/>
              </w:rPr>
            </w:pPr>
            <w:r>
              <w:rPr>
                <w:rFonts w:ascii="Arial"/>
                <w:spacing w:val="-1"/>
                <w:w w:val="95"/>
                <w:sz w:val="21"/>
              </w:rPr>
              <w:t>183,605</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05" w:right="0"/>
              <w:jc w:val="left"/>
              <w:rPr>
                <w:rFonts w:ascii="Arial" w:hAnsi="Arial" w:cs="Arial" w:eastAsia="Arial" w:hint="default"/>
                <w:sz w:val="21"/>
                <w:szCs w:val="21"/>
              </w:rPr>
            </w:pPr>
            <w:r>
              <w:rPr>
                <w:rFonts w:ascii="Arial"/>
                <w:sz w:val="21"/>
              </w:rPr>
              <w:t>(183,605)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21"/>
                <w:szCs w:val="21"/>
              </w:rPr>
            </w:pPr>
            <w:r>
              <w:rPr>
                <w:rFonts w:ascii="Arial"/>
                <w:w w:val="99"/>
                <w:sz w:val="21"/>
              </w:rPr>
              <w:t>-</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29" w:lineRule="exact"/>
              <w:ind w:right="341"/>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76"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259" w:val="left" w:leader="none"/>
              </w:tabs>
              <w:spacing w:line="261" w:lineRule="exact"/>
              <w:ind w:left="35" w:right="0"/>
              <w:jc w:val="left"/>
              <w:rPr>
                <w:rFonts w:ascii="Arial" w:hAnsi="Arial" w:cs="Arial" w:eastAsia="Arial" w:hint="default"/>
                <w:sz w:val="21"/>
                <w:szCs w:val="21"/>
              </w:rPr>
            </w:pPr>
            <w:r>
              <w:rPr>
                <w:rFonts w:ascii="宋体" w:hAnsi="宋体" w:cs="宋体" w:eastAsia="宋体" w:hint="default"/>
                <w:sz w:val="21"/>
                <w:szCs w:val="21"/>
              </w:rPr>
              <w:t>武汉唐家墩门店</w:t>
              <w:tab/>
            </w:r>
            <w:r>
              <w:rPr>
                <w:rFonts w:ascii="Arial" w:hAnsi="Arial" w:cs="Arial" w:eastAsia="Arial" w:hint="default"/>
                <w:position w:val="-1"/>
                <w:sz w:val="21"/>
                <w:szCs w:val="21"/>
              </w:rPr>
              <w:t>163,599</w:t>
            </w:r>
            <w:r>
              <w:rPr>
                <w:rFonts w:ascii="Arial" w:hAnsi="Arial" w:cs="Arial" w:eastAsia="Arial" w:hint="default"/>
                <w:sz w:val="21"/>
                <w:szCs w:val="21"/>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6"/>
              <w:jc w:val="right"/>
              <w:rPr>
                <w:rFonts w:ascii="Arial" w:hAnsi="Arial" w:cs="Arial" w:eastAsia="Arial" w:hint="default"/>
                <w:sz w:val="21"/>
                <w:szCs w:val="21"/>
              </w:rPr>
            </w:pPr>
            <w:r>
              <w:rPr>
                <w:rFonts w:ascii="Arial"/>
                <w:w w:val="99"/>
                <w:sz w:val="21"/>
              </w:rPr>
              <w:t>-</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Arial" w:hAnsi="Arial" w:cs="Arial" w:eastAsia="Arial" w:hint="default"/>
                <w:sz w:val="21"/>
                <w:szCs w:val="21"/>
              </w:rPr>
            </w:pPr>
            <w:r>
              <w:rPr>
                <w:rFonts w:ascii="Arial"/>
                <w:spacing w:val="-1"/>
                <w:w w:val="95"/>
                <w:sz w:val="21"/>
              </w:rPr>
              <w:t>163,599</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05" w:right="0"/>
              <w:jc w:val="left"/>
              <w:rPr>
                <w:rFonts w:ascii="Arial" w:hAnsi="Arial" w:cs="Arial" w:eastAsia="Arial" w:hint="default"/>
                <w:sz w:val="21"/>
                <w:szCs w:val="21"/>
              </w:rPr>
            </w:pPr>
            <w:r>
              <w:rPr>
                <w:rFonts w:ascii="Arial"/>
                <w:sz w:val="21"/>
              </w:rPr>
              <w:t>(163,599)</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21"/>
                <w:szCs w:val="21"/>
              </w:rPr>
            </w:pPr>
            <w:r>
              <w:rPr>
                <w:rFonts w:ascii="Arial"/>
                <w:w w:val="99"/>
                <w:sz w:val="21"/>
              </w:rPr>
              <w:t>-</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29" w:lineRule="exact"/>
              <w:ind w:right="341"/>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410"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376" w:val="left" w:leader="none"/>
              </w:tabs>
              <w:spacing w:line="244" w:lineRule="exact"/>
              <w:ind w:left="35" w:right="0"/>
              <w:jc w:val="left"/>
              <w:rPr>
                <w:rFonts w:ascii="Arial" w:hAnsi="Arial" w:cs="Arial" w:eastAsia="Arial" w:hint="default"/>
                <w:sz w:val="21"/>
                <w:szCs w:val="21"/>
              </w:rPr>
            </w:pPr>
            <w:r>
              <w:rPr>
                <w:rFonts w:ascii="宋体" w:hAnsi="宋体" w:cs="宋体" w:eastAsia="宋体" w:hint="default"/>
                <w:sz w:val="21"/>
                <w:szCs w:val="21"/>
              </w:rPr>
              <w:t>泰安财源大厦</w:t>
              <w:tab/>
            </w:r>
            <w:r>
              <w:rPr>
                <w:rFonts w:ascii="Arial" w:hAnsi="Arial" w:cs="Arial" w:eastAsia="Arial" w:hint="default"/>
                <w:position w:val="-1"/>
                <w:sz w:val="21"/>
                <w:szCs w:val="21"/>
              </w:rPr>
              <w:t>57,680</w:t>
            </w:r>
            <w:r>
              <w:rPr>
                <w:rFonts w:ascii="Arial" w:hAnsi="Arial" w:cs="Arial" w:eastAsia="Arial" w:hint="default"/>
                <w:sz w:val="21"/>
                <w:szCs w:val="21"/>
              </w:rPr>
            </w:r>
          </w:p>
          <w:p>
            <w:pPr>
              <w:pStyle w:val="TableParagraph"/>
              <w:spacing w:line="206" w:lineRule="exact"/>
              <w:ind w:left="35" w:right="0"/>
              <w:jc w:val="left"/>
              <w:rPr>
                <w:rFonts w:ascii="宋体" w:hAnsi="宋体" w:cs="宋体" w:eastAsia="宋体" w:hint="default"/>
                <w:sz w:val="21"/>
                <w:szCs w:val="21"/>
              </w:rPr>
            </w:pPr>
            <w:r>
              <w:rPr>
                <w:rFonts w:ascii="宋体" w:hAnsi="宋体" w:cs="宋体" w:eastAsia="宋体" w:hint="default"/>
                <w:sz w:val="21"/>
                <w:szCs w:val="21"/>
              </w:rPr>
              <w:t>南京山畔大厦</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6"/>
              <w:jc w:val="right"/>
              <w:rPr>
                <w:rFonts w:ascii="Arial" w:hAnsi="Arial" w:cs="Arial" w:eastAsia="Arial" w:hint="default"/>
                <w:sz w:val="21"/>
                <w:szCs w:val="21"/>
              </w:rPr>
            </w:pPr>
            <w:r>
              <w:rPr>
                <w:rFonts w:ascii="Arial"/>
                <w:w w:val="99"/>
                <w:sz w:val="21"/>
              </w:rPr>
              <w:t>-</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8"/>
              <w:jc w:val="right"/>
              <w:rPr>
                <w:rFonts w:ascii="Arial" w:hAnsi="Arial" w:cs="Arial" w:eastAsia="Arial" w:hint="default"/>
                <w:sz w:val="21"/>
                <w:szCs w:val="21"/>
              </w:rPr>
            </w:pPr>
            <w:r>
              <w:rPr>
                <w:rFonts w:ascii="Arial"/>
                <w:spacing w:val="-1"/>
                <w:w w:val="95"/>
                <w:sz w:val="21"/>
              </w:rPr>
              <w:t>57,680</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22" w:right="0"/>
              <w:jc w:val="left"/>
              <w:rPr>
                <w:rFonts w:ascii="Arial" w:hAnsi="Arial" w:cs="Arial" w:eastAsia="Arial" w:hint="default"/>
                <w:sz w:val="21"/>
                <w:szCs w:val="21"/>
              </w:rPr>
            </w:pPr>
            <w:r>
              <w:rPr>
                <w:rFonts w:ascii="Arial"/>
                <w:sz w:val="21"/>
              </w:rPr>
              <w:t>(57,680)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21"/>
                <w:szCs w:val="21"/>
              </w:rPr>
            </w:pPr>
            <w:r>
              <w:rPr>
                <w:rFonts w:ascii="Arial"/>
                <w:w w:val="99"/>
                <w:sz w:val="21"/>
              </w:rPr>
              <w:t>-</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29" w:lineRule="exact"/>
              <w:ind w:right="341"/>
              <w:jc w:val="right"/>
              <w:rPr>
                <w:rFonts w:ascii="宋体" w:hAnsi="宋体" w:cs="宋体" w:eastAsia="宋体" w:hint="default"/>
                <w:sz w:val="21"/>
                <w:szCs w:val="21"/>
              </w:rPr>
            </w:pPr>
            <w:r>
              <w:rPr>
                <w:rFonts w:ascii="宋体" w:hAnsi="宋体" w:cs="宋体" w:eastAsia="宋体" w:hint="default"/>
                <w:sz w:val="21"/>
                <w:szCs w:val="21"/>
              </w:rPr>
              <w:t>自有资金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669"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2492" w:val="left" w:leader="none"/>
              </w:tabs>
              <w:spacing w:line="293" w:lineRule="exact" w:before="87"/>
              <w:ind w:left="205" w:right="0"/>
              <w:jc w:val="left"/>
              <w:rPr>
                <w:rFonts w:ascii="Arial" w:hAnsi="Arial" w:cs="Arial" w:eastAsia="Arial" w:hint="default"/>
                <w:sz w:val="21"/>
                <w:szCs w:val="21"/>
              </w:rPr>
            </w:pPr>
            <w:r>
              <w:rPr>
                <w:rFonts w:ascii="宋体" w:hAnsi="宋体" w:cs="宋体" w:eastAsia="宋体" w:hint="default"/>
                <w:position w:val="2"/>
                <w:sz w:val="21"/>
                <w:szCs w:val="21"/>
              </w:rPr>
              <w:t>后续支出</w:t>
              <w:tab/>
            </w:r>
            <w:r>
              <w:rPr>
                <w:rFonts w:ascii="Arial" w:hAnsi="Arial" w:cs="Arial" w:eastAsia="Arial" w:hint="default"/>
                <w:sz w:val="21"/>
                <w:szCs w:val="21"/>
              </w:rPr>
              <w:t>3,520</w:t>
            </w:r>
          </w:p>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北京配送基地</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16"/>
              <w:jc w:val="right"/>
              <w:rPr>
                <w:rFonts w:ascii="Arial" w:hAnsi="Arial" w:cs="Arial" w:eastAsia="Arial" w:hint="default"/>
                <w:sz w:val="21"/>
                <w:szCs w:val="21"/>
              </w:rPr>
            </w:pPr>
            <w:r>
              <w:rPr>
                <w:rFonts w:ascii="Arial"/>
                <w:w w:val="99"/>
                <w:sz w:val="21"/>
              </w:rPr>
              <w:t>-</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18"/>
              <w:jc w:val="right"/>
              <w:rPr>
                <w:rFonts w:ascii="Arial" w:hAnsi="Arial" w:cs="Arial" w:eastAsia="Arial" w:hint="default"/>
                <w:sz w:val="21"/>
                <w:szCs w:val="21"/>
              </w:rPr>
            </w:pPr>
            <w:r>
              <w:rPr>
                <w:rFonts w:ascii="Arial"/>
                <w:spacing w:val="-1"/>
                <w:w w:val="95"/>
                <w:sz w:val="21"/>
              </w:rPr>
              <w:t>3,520</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739" w:right="0"/>
              <w:jc w:val="left"/>
              <w:rPr>
                <w:rFonts w:ascii="Arial" w:hAnsi="Arial" w:cs="Arial" w:eastAsia="Arial" w:hint="default"/>
                <w:sz w:val="21"/>
                <w:szCs w:val="21"/>
              </w:rPr>
            </w:pPr>
            <w:r>
              <w:rPr>
                <w:rFonts w:ascii="Arial"/>
                <w:sz w:val="21"/>
              </w:rPr>
              <w:t>(3,520)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33"/>
              <w:jc w:val="right"/>
              <w:rPr>
                <w:rFonts w:ascii="Arial" w:hAnsi="Arial" w:cs="Arial" w:eastAsia="Arial" w:hint="default"/>
                <w:sz w:val="21"/>
                <w:szCs w:val="21"/>
              </w:rPr>
            </w:pPr>
            <w:r>
              <w:rPr>
                <w:rFonts w:ascii="Arial"/>
                <w:w w:val="99"/>
                <w:sz w:val="21"/>
              </w:rPr>
              <w:t>-</w:t>
            </w:r>
            <w:r>
              <w:rPr>
                <w:rFonts w:ascii="Arial"/>
                <w:sz w:val="21"/>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14" w:right="341" w:hanging="1"/>
              <w:jc w:val="left"/>
              <w:rPr>
                <w:rFonts w:ascii="宋体" w:hAnsi="宋体" w:cs="宋体" w:eastAsia="宋体" w:hint="default"/>
                <w:sz w:val="21"/>
                <w:szCs w:val="21"/>
              </w:rPr>
            </w:pPr>
            <w:r>
              <w:rPr>
                <w:rFonts w:ascii="宋体" w:hAnsi="宋体" w:cs="宋体" w:eastAsia="宋体" w:hint="default"/>
                <w:sz w:val="21"/>
                <w:szCs w:val="21"/>
              </w:rPr>
              <w:t>自有资金 募集资金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87" w:hRule="exact"/>
        </w:trPr>
        <w:tc>
          <w:tcPr>
            <w:tcW w:w="3193" w:type="dxa"/>
            <w:gridSpan w:val="2"/>
            <w:tcBorders>
              <w:top w:val="nil" w:sz="6" w:space="0" w:color="auto"/>
              <w:left w:val="nil" w:sz="6" w:space="0" w:color="auto"/>
              <w:bottom w:val="nil" w:sz="6" w:space="0" w:color="auto"/>
              <w:right w:val="nil" w:sz="6" w:space="0" w:color="auto"/>
            </w:tcBorders>
          </w:tcPr>
          <w:p>
            <w:pPr>
              <w:pStyle w:val="TableParagraph"/>
              <w:tabs>
                <w:tab w:pos="3016" w:val="right" w:leader="none"/>
              </w:tabs>
              <w:spacing w:line="274" w:lineRule="exact"/>
              <w:ind w:left="217" w:right="0"/>
              <w:jc w:val="left"/>
              <w:rPr>
                <w:rFonts w:ascii="Arial" w:hAnsi="Arial" w:cs="Arial" w:eastAsia="Arial" w:hint="default"/>
                <w:sz w:val="21"/>
                <w:szCs w:val="21"/>
              </w:rPr>
            </w:pPr>
            <w:r>
              <w:rPr>
                <w:rFonts w:ascii="宋体" w:hAnsi="宋体" w:cs="宋体" w:eastAsia="宋体" w:hint="default"/>
                <w:position w:val="2"/>
                <w:sz w:val="21"/>
                <w:szCs w:val="21"/>
              </w:rPr>
              <w:t>绿化工程</w:t>
            </w:r>
            <w:r>
              <w:rPr>
                <w:rFonts w:ascii="Arial" w:hAnsi="Arial" w:cs="Arial" w:eastAsia="Arial" w:hint="default"/>
                <w:sz w:val="21"/>
                <w:szCs w:val="21"/>
              </w:rPr>
              <w:tab/>
              <w:t>139</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7"/>
              <w:jc w:val="right"/>
              <w:rPr>
                <w:rFonts w:ascii="Arial" w:hAnsi="Arial" w:cs="Arial" w:eastAsia="Arial" w:hint="default"/>
                <w:sz w:val="21"/>
                <w:szCs w:val="21"/>
              </w:rPr>
            </w:pPr>
            <w:r>
              <w:rPr>
                <w:rFonts w:ascii="Arial"/>
                <w:spacing w:val="-1"/>
                <w:w w:val="95"/>
                <w:sz w:val="21"/>
              </w:rPr>
              <w:t>40</w:t>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7"/>
              <w:jc w:val="right"/>
              <w:rPr>
                <w:rFonts w:ascii="Arial" w:hAnsi="Arial" w:cs="Arial" w:eastAsia="Arial" w:hint="default"/>
                <w:sz w:val="21"/>
                <w:szCs w:val="21"/>
              </w:rPr>
            </w:pPr>
            <w:r>
              <w:rPr>
                <w:rFonts w:ascii="Arial"/>
                <w:spacing w:val="-1"/>
                <w:w w:val="95"/>
                <w:sz w:val="21"/>
              </w:rPr>
              <w:t>73</w:t>
            </w:r>
            <w:r>
              <w:rPr>
                <w:rFonts w:ascii="Arial"/>
                <w:sz w:val="21"/>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1"/>
              <w:jc w:val="right"/>
              <w:rPr>
                <w:rFonts w:ascii="Arial" w:hAnsi="Arial" w:cs="Arial" w:eastAsia="Arial" w:hint="default"/>
                <w:sz w:val="21"/>
                <w:szCs w:val="21"/>
              </w:rPr>
            </w:pPr>
            <w:r>
              <w:rPr>
                <w:rFonts w:ascii="Arial"/>
                <w:w w:val="99"/>
                <w:sz w:val="21"/>
              </w:rPr>
              <w:t>-</w:t>
            </w:r>
            <w:r>
              <w:rPr>
                <w:rFonts w:ascii="Arial"/>
                <w:sz w:val="21"/>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3"/>
              <w:jc w:val="right"/>
              <w:rPr>
                <w:rFonts w:ascii="Arial" w:hAnsi="Arial" w:cs="Arial" w:eastAsia="Arial" w:hint="default"/>
                <w:sz w:val="21"/>
                <w:szCs w:val="21"/>
              </w:rPr>
            </w:pPr>
            <w:r>
              <w:rPr>
                <w:rFonts w:ascii="Arial"/>
                <w:spacing w:val="-6"/>
                <w:sz w:val="21"/>
              </w:rPr>
              <w:t>113</w:t>
            </w:r>
          </w:p>
        </w:tc>
        <w:tc>
          <w:tcPr>
            <w:tcW w:w="1998" w:type="dxa"/>
            <w:tcBorders>
              <w:top w:val="nil" w:sz="6" w:space="0" w:color="auto"/>
              <w:left w:val="nil" w:sz="6" w:space="0" w:color="auto"/>
              <w:bottom w:val="nil" w:sz="6" w:space="0" w:color="auto"/>
              <w:right w:val="nil" w:sz="6" w:space="0" w:color="auto"/>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z w:val="21"/>
                <w:szCs w:val="21"/>
              </w:rPr>
              <w:t>及自有资金</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1"/>
                <w:szCs w:val="21"/>
              </w:rPr>
            </w:pPr>
            <w:r>
              <w:rPr>
                <w:rFonts w:ascii="Arial"/>
                <w:spacing w:val="-1"/>
                <w:w w:val="95"/>
                <w:sz w:val="21"/>
              </w:rPr>
              <w:t>81%</w:t>
            </w:r>
            <w:r>
              <w:rPr>
                <w:rFonts w:ascii="Arial"/>
                <w:sz w:val="21"/>
              </w:rPr>
            </w:r>
          </w:p>
        </w:tc>
      </w:tr>
      <w:tr>
        <w:trPr>
          <w:trHeight w:val="29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其他工程</w:t>
            </w:r>
          </w:p>
        </w:tc>
        <w:tc>
          <w:tcPr>
            <w:tcW w:w="2719" w:type="dxa"/>
            <w:gridSpan w:val="2"/>
            <w:tcBorders>
              <w:top w:val="nil" w:sz="6" w:space="0" w:color="auto"/>
              <w:left w:val="nil" w:sz="6" w:space="0" w:color="auto"/>
              <w:bottom w:val="nil" w:sz="6" w:space="0" w:color="auto"/>
              <w:right w:val="nil" w:sz="6" w:space="0" w:color="auto"/>
            </w:tcBorders>
          </w:tcPr>
          <w:p>
            <w:pPr>
              <w:pStyle w:val="TableParagraph"/>
              <w:tabs>
                <w:tab w:pos="2430" w:val="left" w:leader="none"/>
                <w:tab w:pos="2600" w:val="left" w:leader="none"/>
              </w:tabs>
              <w:spacing w:line="240" w:lineRule="auto" w:before="4"/>
              <w:ind w:left="114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tabs>
                <w:tab w:pos="719" w:val="left" w:leader="none"/>
                <w:tab w:pos="1345" w:val="left" w:leader="none"/>
              </w:tabs>
              <w:spacing w:line="240" w:lineRule="auto" w:before="4"/>
              <w:ind w:right="116"/>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7,045</w:t>
              <w:tab/>
            </w:r>
            <w:r>
              <w:rPr>
                <w:rFonts w:ascii="Arial"/>
                <w:spacing w:val="-1"/>
                <w:sz w:val="21"/>
              </w:rPr>
            </w:r>
          </w:p>
        </w:tc>
        <w:tc>
          <w:tcPr>
            <w:tcW w:w="1624" w:type="dxa"/>
            <w:tcBorders>
              <w:top w:val="nil" w:sz="6" w:space="0" w:color="auto"/>
              <w:left w:val="nil" w:sz="6" w:space="0" w:color="auto"/>
              <w:bottom w:val="nil" w:sz="6" w:space="0" w:color="auto"/>
              <w:right w:val="nil" w:sz="6" w:space="0" w:color="auto"/>
            </w:tcBorders>
          </w:tcPr>
          <w:p>
            <w:pPr>
              <w:pStyle w:val="TableParagraph"/>
              <w:tabs>
                <w:tab w:pos="1330" w:val="left" w:leader="none"/>
                <w:tab w:pos="1504" w:val="left" w:leader="none"/>
              </w:tabs>
              <w:spacing w:line="240" w:lineRule="auto" w:before="4"/>
              <w:ind w:left="118"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5302" w:type="dxa"/>
            <w:gridSpan w:val="3"/>
            <w:tcBorders>
              <w:top w:val="nil" w:sz="6" w:space="0" w:color="auto"/>
              <w:left w:val="nil" w:sz="6" w:space="0" w:color="auto"/>
              <w:bottom w:val="nil" w:sz="6" w:space="0" w:color="auto"/>
              <w:right w:val="nil" w:sz="6" w:space="0" w:color="auto"/>
            </w:tcBorders>
          </w:tcPr>
          <w:p>
            <w:pPr>
              <w:pStyle w:val="TableParagraph"/>
              <w:tabs>
                <w:tab w:pos="1005" w:val="left" w:leader="none"/>
                <w:tab w:pos="1631" w:val="left" w:leader="none"/>
              </w:tabs>
              <w:spacing w:line="240" w:lineRule="auto" w:before="4"/>
              <w:ind w:left="119"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7,045</w:t>
              <w:tab/>
            </w:r>
            <w:r>
              <w:rPr>
                <w:rFonts w:ascii="Arial"/>
                <w:sz w:val="21"/>
              </w:rPr>
            </w:r>
          </w:p>
        </w:tc>
      </w:tr>
      <w:tr>
        <w:trPr>
          <w:trHeight w:val="348" w:hRule="exact"/>
        </w:trPr>
        <w:tc>
          <w:tcPr>
            <w:tcW w:w="2225" w:type="dxa"/>
            <w:tcBorders>
              <w:top w:val="nil" w:sz="6" w:space="0" w:color="auto"/>
              <w:left w:val="nil" w:sz="6" w:space="0" w:color="auto"/>
              <w:bottom w:val="nil" w:sz="6" w:space="0" w:color="auto"/>
              <w:right w:val="nil" w:sz="6" w:space="0" w:color="auto"/>
            </w:tcBorders>
          </w:tcPr>
          <w:p>
            <w:pPr/>
          </w:p>
        </w:tc>
        <w:tc>
          <w:tcPr>
            <w:tcW w:w="2719" w:type="dxa"/>
            <w:gridSpan w:val="2"/>
            <w:tcBorders>
              <w:top w:val="nil" w:sz="6" w:space="0" w:color="auto"/>
              <w:left w:val="nil" w:sz="6" w:space="0" w:color="auto"/>
              <w:bottom w:val="nil" w:sz="6" w:space="0" w:color="auto"/>
              <w:right w:val="nil" w:sz="6" w:space="0" w:color="auto"/>
            </w:tcBorders>
          </w:tcPr>
          <w:p>
            <w:pPr>
              <w:pStyle w:val="TableParagraph"/>
              <w:tabs>
                <w:tab w:pos="1858" w:val="left" w:leader="none"/>
                <w:tab w:pos="2600" w:val="left" w:leader="none"/>
              </w:tabs>
              <w:spacing w:line="240" w:lineRule="auto" w:before="11"/>
              <w:ind w:left="1145"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82,599</w:t>
              <w:tab/>
            </w:r>
            <w:r>
              <w:rPr>
                <w:rFonts w:ascii="Arial"/>
                <w:sz w:val="21"/>
              </w:rPr>
            </w:r>
          </w:p>
        </w:tc>
        <w:tc>
          <w:tcPr>
            <w:tcW w:w="1582" w:type="dxa"/>
            <w:tcBorders>
              <w:top w:val="nil" w:sz="6" w:space="0" w:color="auto"/>
              <w:left w:val="nil" w:sz="6" w:space="0" w:color="auto"/>
              <w:bottom w:val="nil" w:sz="6" w:space="0" w:color="auto"/>
              <w:right w:val="nil" w:sz="6" w:space="0" w:color="auto"/>
            </w:tcBorders>
          </w:tcPr>
          <w:p>
            <w:pPr>
              <w:pStyle w:val="TableParagraph"/>
              <w:tabs>
                <w:tab w:pos="486" w:val="left" w:leader="none"/>
                <w:tab w:pos="1345" w:val="left" w:leader="none"/>
              </w:tabs>
              <w:spacing w:line="240" w:lineRule="auto" w:before="11"/>
              <w:ind w:right="116"/>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484,317</w:t>
              <w:tab/>
            </w:r>
            <w:r>
              <w:rPr>
                <w:rFonts w:ascii="Arial"/>
                <w:spacing w:val="-1"/>
                <w:sz w:val="21"/>
              </w:rPr>
            </w:r>
          </w:p>
        </w:tc>
        <w:tc>
          <w:tcPr>
            <w:tcW w:w="1624" w:type="dxa"/>
            <w:tcBorders>
              <w:top w:val="nil" w:sz="6" w:space="0" w:color="auto"/>
              <w:left w:val="nil" w:sz="6" w:space="0" w:color="auto"/>
              <w:bottom w:val="nil" w:sz="6" w:space="0" w:color="auto"/>
              <w:right w:val="nil" w:sz="6" w:space="0" w:color="auto"/>
            </w:tcBorders>
          </w:tcPr>
          <w:p>
            <w:pPr>
              <w:pStyle w:val="TableParagraph"/>
              <w:tabs>
                <w:tab w:pos="505" w:val="left" w:leader="none"/>
                <w:tab w:pos="1504" w:val="left" w:leader="none"/>
              </w:tabs>
              <w:spacing w:line="240" w:lineRule="auto" w:before="11"/>
              <w:ind w:left="118"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(502,907)</w:t>
              <w:tab/>
            </w:r>
            <w:r>
              <w:rPr>
                <w:rFonts w:ascii="Arial"/>
                <w:sz w:val="21"/>
              </w:rPr>
            </w:r>
          </w:p>
        </w:tc>
        <w:tc>
          <w:tcPr>
            <w:tcW w:w="5302" w:type="dxa"/>
            <w:gridSpan w:val="3"/>
            <w:tcBorders>
              <w:top w:val="nil" w:sz="6" w:space="0" w:color="auto"/>
              <w:left w:val="nil" w:sz="6" w:space="0" w:color="auto"/>
              <w:bottom w:val="nil" w:sz="6" w:space="0" w:color="auto"/>
              <w:right w:val="nil" w:sz="6" w:space="0" w:color="auto"/>
            </w:tcBorders>
          </w:tcPr>
          <w:p>
            <w:pPr>
              <w:pStyle w:val="TableParagraph"/>
              <w:tabs>
                <w:tab w:pos="889" w:val="left" w:leader="none"/>
                <w:tab w:pos="1631" w:val="left" w:leader="none"/>
              </w:tabs>
              <w:spacing w:line="240" w:lineRule="auto" w:before="11"/>
              <w:ind w:left="119"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64,009</w:t>
              <w:tab/>
            </w:r>
            <w:r>
              <w:rPr>
                <w:rFonts w:ascii="Arial"/>
                <w:sz w:val="21"/>
              </w:rPr>
            </w:r>
          </w:p>
        </w:tc>
      </w:tr>
    </w:tbl>
    <w:p>
      <w:pPr>
        <w:spacing w:line="240" w:lineRule="auto" w:before="2"/>
        <w:rPr>
          <w:rFonts w:ascii="宋体" w:hAnsi="宋体" w:cs="宋体" w:eastAsia="宋体" w:hint="default"/>
          <w:b/>
          <w:bCs/>
          <w:sz w:val="11"/>
          <w:szCs w:val="11"/>
        </w:rPr>
      </w:pPr>
    </w:p>
    <w:p>
      <w:pPr>
        <w:pStyle w:val="BodyText"/>
        <w:spacing w:line="240" w:lineRule="auto" w:before="26"/>
        <w:ind w:left="925" w:right="0"/>
        <w:jc w:val="left"/>
      </w:pPr>
      <w:r>
        <w:rPr/>
        <w:t>于</w:t>
      </w:r>
      <w:r>
        <w:rPr>
          <w:spacing w:val="-62"/>
        </w:rPr>
        <w:t> </w:t>
      </w:r>
      <w:r>
        <w:rPr>
          <w:rFonts w:ascii="Arial" w:hAnsi="Arial" w:cs="Arial" w:eastAsia="Arial" w:hint="default"/>
        </w:rPr>
        <w:t>2008</w:t>
      </w:r>
      <w:r>
        <w:rPr>
          <w:rFonts w:ascii="Arial" w:hAnsi="Arial" w:cs="Arial" w:eastAsia="Arial" w:hint="default"/>
          <w:spacing w:val="-9"/>
        </w:rPr>
        <w:t> </w:t>
      </w:r>
      <w:r>
        <w:rPr/>
        <w:t>年度，在建工程年初余额及当年增加额中均无资本化的借款费用。</w:t>
      </w:r>
    </w:p>
    <w:p>
      <w:pPr>
        <w:spacing w:after="0" w:line="240" w:lineRule="auto"/>
        <w:jc w:val="left"/>
        <w:sectPr>
          <w:headerReference w:type="default" r:id="rId18"/>
          <w:footerReference w:type="default" r:id="rId19"/>
          <w:pgSz w:w="16840" w:h="11910" w:orient="landscape"/>
          <w:pgMar w:header="826" w:footer="891" w:top="1100" w:bottom="1080" w:left="820" w:right="1500"/>
          <w:pgNumType w:start="120"/>
        </w:sectPr>
      </w:pPr>
    </w:p>
    <w:p>
      <w:pPr>
        <w:spacing w:line="240" w:lineRule="auto" w:before="7"/>
        <w:rPr>
          <w:rFonts w:ascii="宋体" w:hAnsi="宋体" w:cs="宋体" w:eastAsia="宋体" w:hint="default"/>
          <w:sz w:val="24"/>
          <w:szCs w:val="24"/>
        </w:rPr>
      </w:pPr>
    </w:p>
    <w:p>
      <w:pPr>
        <w:pStyle w:val="Heading2"/>
        <w:tabs>
          <w:tab w:pos="919" w:val="left" w:leader="none"/>
        </w:tabs>
        <w:spacing w:line="240" w:lineRule="auto"/>
        <w:ind w:left="111"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19" w:val="left" w:leader="none"/>
        </w:tabs>
        <w:spacing w:before="0"/>
        <w:ind w:left="111"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(10)</w:t>
        <w:tab/>
      </w:r>
      <w:r>
        <w:rPr>
          <w:rFonts w:ascii="宋体" w:hAnsi="宋体" w:cs="宋体" w:eastAsia="宋体" w:hint="default"/>
          <w:b/>
          <w:bCs/>
          <w:sz w:val="24"/>
          <w:szCs w:val="24"/>
        </w:rPr>
        <w:t>无形资产</w:t>
      </w:r>
      <w:r>
        <w:rPr>
          <w:rFonts w:ascii="宋体" w:hAnsi="宋体" w:cs="宋体" w:eastAsia="宋体" w:hint="default"/>
          <w:sz w:val="24"/>
          <w:szCs w:val="24"/>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6840" w:h="11910" w:orient="landscape"/>
          <w:pgMar w:header="826" w:footer="891" w:top="1100" w:bottom="1080" w:left="740" w:right="1480"/>
        </w:sectPr>
      </w:pPr>
    </w:p>
    <w:p>
      <w:pPr>
        <w:spacing w:line="265" w:lineRule="exact" w:before="35"/>
        <w:ind w:left="5881" w:right="3787" w:firstLine="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tabs>
          <w:tab w:pos="5584" w:val="left" w:leader="none"/>
          <w:tab w:pos="7615" w:val="left" w:leader="none"/>
          <w:tab w:pos="9595" w:val="left" w:leader="none"/>
        </w:tabs>
        <w:spacing w:line="288" w:lineRule="exact" w:before="0"/>
        <w:ind w:left="3969" w:right="-20" w:firstLine="0"/>
        <w:jc w:val="left"/>
        <w:rPr>
          <w:rFonts w:ascii="宋体" w:hAnsi="宋体" w:cs="宋体" w:eastAsia="宋体" w:hint="default"/>
          <w:sz w:val="21"/>
          <w:szCs w:val="21"/>
        </w:rPr>
      </w:pPr>
      <w:r>
        <w:rPr>
          <w:rFonts w:ascii="宋体" w:hAnsi="宋体" w:cs="宋体" w:eastAsia="宋体" w:hint="default"/>
          <w:sz w:val="21"/>
          <w:szCs w:val="21"/>
        </w:rPr>
        <w:t>原价</w:t>
        <w:tab/>
      </w:r>
      <w:r>
        <w:rPr>
          <w:rFonts w:ascii="Arial" w:hAnsi="Arial" w:cs="Arial" w:eastAsia="Arial" w:hint="default"/>
          <w:position w:val="-2"/>
          <w:sz w:val="21"/>
          <w:szCs w:val="21"/>
        </w:rPr>
        <w:t>12</w:t>
      </w:r>
      <w:r>
        <w:rPr>
          <w:rFonts w:ascii="Arial" w:hAnsi="Arial" w:cs="Arial" w:eastAsia="Arial" w:hint="default"/>
          <w:spacing w:val="-7"/>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4"/>
          <w:position w:val="-2"/>
          <w:sz w:val="21"/>
          <w:szCs w:val="21"/>
        </w:rPr>
        <w:t> </w:t>
      </w:r>
      <w:r>
        <w:rPr>
          <w:rFonts w:ascii="Arial" w:hAnsi="Arial" w:cs="Arial" w:eastAsia="Arial" w:hint="default"/>
          <w:position w:val="-2"/>
          <w:sz w:val="21"/>
          <w:szCs w:val="21"/>
        </w:rPr>
        <w:t>31</w:t>
      </w:r>
      <w:r>
        <w:rPr>
          <w:rFonts w:ascii="Arial" w:hAnsi="Arial" w:cs="Arial" w:eastAsia="Arial" w:hint="default"/>
          <w:spacing w:val="-7"/>
          <w:position w:val="-2"/>
          <w:sz w:val="21"/>
          <w:szCs w:val="21"/>
        </w:rPr>
        <w:t> </w:t>
      </w:r>
      <w:r>
        <w:rPr>
          <w:rFonts w:ascii="宋体" w:hAnsi="宋体" w:cs="宋体" w:eastAsia="宋体" w:hint="default"/>
          <w:position w:val="-2"/>
          <w:sz w:val="21"/>
          <w:szCs w:val="21"/>
        </w:rPr>
        <w:t>日</w:t>
        <w:tab/>
      </w:r>
      <w:r>
        <w:rPr>
          <w:rFonts w:ascii="宋体" w:hAnsi="宋体" w:cs="宋体" w:eastAsia="宋体" w:hint="default"/>
          <w:sz w:val="21"/>
          <w:szCs w:val="21"/>
        </w:rPr>
        <w:t>本年增加</w:t>
        <w:tab/>
        <w:t>本年摊销</w:t>
      </w:r>
    </w:p>
    <w:p>
      <w:pPr>
        <w:spacing w:line="282" w:lineRule="exact" w:before="0"/>
        <w:ind w:left="0" w:right="1148" w:firstLine="0"/>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p>
      <w:pPr>
        <w:spacing w:line="267" w:lineRule="exact" w:before="35"/>
        <w:ind w:left="1093" w:right="0" w:firstLine="0"/>
        <w:jc w:val="left"/>
        <w:rPr>
          <w:rFonts w:ascii="宋体" w:hAnsi="宋体" w:cs="宋体" w:eastAsia="宋体" w:hint="default"/>
          <w:sz w:val="21"/>
          <w:szCs w:val="21"/>
        </w:rPr>
      </w:pPr>
      <w:r>
        <w:rPr/>
        <w:br w:type="column"/>
      </w: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tabs>
          <w:tab w:pos="2859" w:val="left" w:leader="none"/>
        </w:tabs>
        <w:spacing w:line="297" w:lineRule="exact" w:before="0"/>
        <w:ind w:left="778"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tab/>
      </w:r>
      <w:r>
        <w:rPr>
          <w:rFonts w:ascii="宋体" w:hAnsi="宋体" w:cs="宋体" w:eastAsia="宋体" w:hint="default"/>
          <w:position w:val="3"/>
          <w:sz w:val="21"/>
          <w:szCs w:val="21"/>
        </w:rPr>
        <w:t>累计摊销额</w:t>
      </w:r>
      <w:r>
        <w:rPr>
          <w:rFonts w:ascii="宋体" w:hAnsi="宋体" w:cs="宋体" w:eastAsia="宋体" w:hint="default"/>
          <w:sz w:val="21"/>
          <w:szCs w:val="21"/>
        </w:rPr>
      </w:r>
    </w:p>
    <w:p>
      <w:pPr>
        <w:spacing w:after="0" w:line="297" w:lineRule="exact"/>
        <w:jc w:val="left"/>
        <w:rPr>
          <w:rFonts w:ascii="宋体" w:hAnsi="宋体" w:cs="宋体" w:eastAsia="宋体" w:hint="default"/>
          <w:sz w:val="21"/>
          <w:szCs w:val="21"/>
        </w:rPr>
        <w:sectPr>
          <w:type w:val="continuous"/>
          <w:pgSz w:w="16840" w:h="11910" w:orient="landscape"/>
          <w:pgMar w:top="1600" w:bottom="280" w:left="740" w:right="1480"/>
          <w:cols w:num="2" w:equalWidth="0">
            <w:col w:w="10436" w:space="40"/>
            <w:col w:w="4144"/>
          </w:cols>
        </w:sectPr>
      </w:pPr>
    </w:p>
    <w:p>
      <w:pPr>
        <w:spacing w:line="240" w:lineRule="auto" w:before="3"/>
        <w:rPr>
          <w:rFonts w:ascii="宋体" w:hAnsi="宋体" w:cs="宋体" w:eastAsia="宋体" w:hint="default"/>
          <w:sz w:val="14"/>
          <w:szCs w:val="14"/>
        </w:rPr>
      </w:pPr>
    </w:p>
    <w:tbl>
      <w:tblPr>
        <w:tblW w:w="0" w:type="auto"/>
        <w:jc w:val="left"/>
        <w:tblInd w:w="884" w:type="dxa"/>
        <w:tblLayout w:type="fixed"/>
        <w:tblCellMar>
          <w:top w:w="0" w:type="dxa"/>
          <w:left w:w="0" w:type="dxa"/>
          <w:bottom w:w="0" w:type="dxa"/>
          <w:right w:w="0" w:type="dxa"/>
        </w:tblCellMar>
        <w:tblLook w:val="01E0"/>
      </w:tblPr>
      <w:tblGrid>
        <w:gridCol w:w="2073"/>
        <w:gridCol w:w="2188"/>
        <w:gridCol w:w="1997"/>
        <w:gridCol w:w="1940"/>
        <w:gridCol w:w="1926"/>
        <w:gridCol w:w="1972"/>
        <w:gridCol w:w="1528"/>
      </w:tblGrid>
      <w:tr>
        <w:trPr>
          <w:trHeight w:val="357"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4" w:right="0"/>
              <w:jc w:val="center"/>
              <w:rPr>
                <w:rFonts w:ascii="Arial" w:hAnsi="Arial" w:cs="Arial" w:eastAsia="Arial" w:hint="default"/>
                <w:sz w:val="21"/>
                <w:szCs w:val="21"/>
              </w:rPr>
            </w:pPr>
            <w:r>
              <w:rPr>
                <w:rFonts w:ascii="Arial"/>
                <w:sz w:val="21"/>
              </w:rPr>
              <w:t>289,549</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39"/>
              <w:jc w:val="right"/>
              <w:rPr>
                <w:rFonts w:ascii="Arial" w:hAnsi="Arial" w:cs="Arial" w:eastAsia="Arial" w:hint="default"/>
                <w:sz w:val="21"/>
                <w:szCs w:val="21"/>
              </w:rPr>
            </w:pPr>
            <w:r>
              <w:rPr>
                <w:rFonts w:ascii="Arial"/>
                <w:spacing w:val="-1"/>
                <w:w w:val="95"/>
                <w:sz w:val="21"/>
              </w:rPr>
              <w:t>86,397</w:t>
            </w:r>
            <w:r>
              <w:rPr>
                <w:rFonts w:ascii="Arial"/>
                <w:sz w:val="21"/>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39"/>
              <w:jc w:val="right"/>
              <w:rPr>
                <w:rFonts w:ascii="Arial" w:hAnsi="Arial" w:cs="Arial" w:eastAsia="Arial" w:hint="default"/>
                <w:sz w:val="21"/>
                <w:szCs w:val="21"/>
              </w:rPr>
            </w:pPr>
            <w:r>
              <w:rPr>
                <w:rFonts w:ascii="Arial"/>
                <w:spacing w:val="-1"/>
                <w:w w:val="95"/>
                <w:sz w:val="21"/>
              </w:rPr>
              <w:t>199,950</w:t>
            </w:r>
            <w:r>
              <w:rPr>
                <w:rFonts w:ascii="Arial"/>
                <w:sz w:val="21"/>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02"/>
              <w:jc w:val="right"/>
              <w:rPr>
                <w:rFonts w:ascii="Arial" w:hAnsi="Arial" w:cs="Arial" w:eastAsia="Arial" w:hint="default"/>
                <w:sz w:val="21"/>
                <w:szCs w:val="21"/>
              </w:rPr>
            </w:pPr>
            <w:r>
              <w:rPr>
                <w:rFonts w:ascii="Arial"/>
                <w:spacing w:val="-1"/>
                <w:w w:val="95"/>
                <w:sz w:val="21"/>
              </w:rPr>
              <w:t>(1,445)</w:t>
            </w:r>
            <w:r>
              <w:rPr>
                <w:rFonts w:ascii="Arial"/>
                <w:sz w:val="21"/>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09"/>
              <w:jc w:val="right"/>
              <w:rPr>
                <w:rFonts w:ascii="Arial" w:hAnsi="Arial" w:cs="Arial" w:eastAsia="Arial" w:hint="default"/>
                <w:sz w:val="21"/>
                <w:szCs w:val="21"/>
              </w:rPr>
            </w:pPr>
            <w:r>
              <w:rPr>
                <w:rFonts w:ascii="Arial"/>
                <w:spacing w:val="-1"/>
                <w:w w:val="95"/>
                <w:sz w:val="21"/>
              </w:rPr>
              <w:t>284,902</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Arial" w:hAnsi="Arial" w:cs="Arial" w:eastAsia="Arial" w:hint="default"/>
                <w:sz w:val="21"/>
                <w:szCs w:val="21"/>
              </w:rPr>
            </w:pPr>
            <w:r>
              <w:rPr>
                <w:rFonts w:ascii="Arial"/>
                <w:spacing w:val="-1"/>
                <w:w w:val="95"/>
                <w:sz w:val="21"/>
              </w:rPr>
              <w:t>(4,647)</w:t>
            </w:r>
            <w:r>
              <w:rPr>
                <w:rFonts w:ascii="Arial"/>
                <w:sz w:val="21"/>
              </w:rPr>
            </w:r>
          </w:p>
        </w:tc>
      </w:tr>
      <w:tr>
        <w:trPr>
          <w:trHeight w:val="273"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 w:right="0"/>
              <w:jc w:val="center"/>
              <w:rPr>
                <w:rFonts w:ascii="Arial" w:hAnsi="Arial" w:cs="Arial" w:eastAsia="Arial" w:hint="default"/>
                <w:sz w:val="21"/>
                <w:szCs w:val="21"/>
              </w:rPr>
            </w:pPr>
            <w:r>
              <w:rPr>
                <w:rFonts w:ascii="Arial"/>
                <w:spacing w:val="-4"/>
                <w:sz w:val="21"/>
              </w:rPr>
              <w:t>114,345</w:t>
            </w:r>
            <w:r>
              <w:rPr>
                <w:rFonts w:ascii="Arial"/>
                <w:sz w:val="21"/>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9"/>
              <w:jc w:val="right"/>
              <w:rPr>
                <w:rFonts w:ascii="Arial" w:hAnsi="Arial" w:cs="Arial" w:eastAsia="Arial" w:hint="default"/>
                <w:sz w:val="21"/>
                <w:szCs w:val="21"/>
              </w:rPr>
            </w:pPr>
            <w:r>
              <w:rPr>
                <w:rFonts w:ascii="Arial"/>
                <w:spacing w:val="-1"/>
                <w:w w:val="95"/>
                <w:sz w:val="21"/>
              </w:rPr>
              <w:t>42,683</w:t>
            </w:r>
            <w:r>
              <w:rPr>
                <w:rFonts w:ascii="Arial"/>
                <w:sz w:val="21"/>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9"/>
              <w:jc w:val="right"/>
              <w:rPr>
                <w:rFonts w:ascii="Arial" w:hAnsi="Arial" w:cs="Arial" w:eastAsia="Arial" w:hint="default"/>
                <w:sz w:val="21"/>
                <w:szCs w:val="21"/>
              </w:rPr>
            </w:pPr>
            <w:r>
              <w:rPr>
                <w:rFonts w:ascii="Arial"/>
                <w:spacing w:val="-1"/>
                <w:w w:val="95"/>
                <w:sz w:val="21"/>
              </w:rPr>
              <w:t>62,166</w:t>
            </w:r>
            <w:r>
              <w:rPr>
                <w:rFonts w:ascii="Arial"/>
                <w:sz w:val="21"/>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2"/>
              <w:jc w:val="right"/>
              <w:rPr>
                <w:rFonts w:ascii="Arial" w:hAnsi="Arial" w:cs="Arial" w:eastAsia="Arial" w:hint="default"/>
                <w:sz w:val="21"/>
                <w:szCs w:val="21"/>
              </w:rPr>
            </w:pPr>
            <w:r>
              <w:rPr>
                <w:rFonts w:ascii="Arial"/>
                <w:spacing w:val="-1"/>
                <w:sz w:val="21"/>
              </w:rPr>
              <w:t>(12,280)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10"/>
              <w:jc w:val="right"/>
              <w:rPr>
                <w:rFonts w:ascii="Arial" w:hAnsi="Arial" w:cs="Arial" w:eastAsia="Arial" w:hint="default"/>
                <w:sz w:val="21"/>
                <w:szCs w:val="21"/>
              </w:rPr>
            </w:pPr>
            <w:r>
              <w:rPr>
                <w:rFonts w:ascii="Arial"/>
                <w:spacing w:val="-1"/>
                <w:w w:val="95"/>
                <w:sz w:val="21"/>
              </w:rPr>
              <w:t>92,569</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Arial" w:hAnsi="Arial" w:cs="Arial" w:eastAsia="Arial" w:hint="default"/>
                <w:sz w:val="21"/>
                <w:szCs w:val="21"/>
              </w:rPr>
            </w:pPr>
            <w:r>
              <w:rPr>
                <w:rFonts w:ascii="Arial"/>
                <w:spacing w:val="-1"/>
                <w:sz w:val="21"/>
              </w:rPr>
              <w:t>(21,776)</w:t>
            </w:r>
          </w:p>
        </w:tc>
      </w:tr>
      <w:tr>
        <w:trPr>
          <w:trHeight w:val="273"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Arial" w:hAnsi="Arial" w:cs="Arial" w:eastAsia="Arial" w:hint="default"/>
                <w:sz w:val="21"/>
                <w:szCs w:val="21"/>
              </w:rPr>
            </w:pPr>
            <w:r>
              <w:rPr>
                <w:rFonts w:ascii="宋体" w:hAnsi="宋体" w:cs="宋体" w:eastAsia="宋体" w:hint="default"/>
                <w:sz w:val="21"/>
                <w:szCs w:val="21"/>
              </w:rPr>
              <w:t>优惠承租权</w:t>
            </w:r>
            <w:r>
              <w:rPr>
                <w:rFonts w:ascii="Arial" w:hAnsi="Arial" w:cs="Arial" w:eastAsia="Arial" w:hint="default"/>
                <w:sz w:val="21"/>
                <w:szCs w:val="21"/>
              </w:rPr>
              <w:t>(a)</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 w:right="0"/>
              <w:jc w:val="center"/>
              <w:rPr>
                <w:rFonts w:ascii="Arial" w:hAnsi="Arial" w:cs="Arial" w:eastAsia="Arial" w:hint="default"/>
                <w:sz w:val="21"/>
                <w:szCs w:val="21"/>
              </w:rPr>
            </w:pPr>
            <w:r>
              <w:rPr>
                <w:rFonts w:ascii="Arial"/>
                <w:sz w:val="21"/>
              </w:rPr>
              <w:t>245,233</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9"/>
              <w:jc w:val="right"/>
              <w:rPr>
                <w:rFonts w:ascii="Arial" w:hAnsi="Arial" w:cs="Arial" w:eastAsia="Arial" w:hint="default"/>
                <w:sz w:val="21"/>
                <w:szCs w:val="21"/>
              </w:rPr>
            </w:pPr>
            <w:r>
              <w:rPr>
                <w:rFonts w:ascii="Arial"/>
                <w:spacing w:val="-1"/>
                <w:w w:val="95"/>
                <w:sz w:val="21"/>
              </w:rPr>
              <w:t>245,233</w:t>
            </w:r>
            <w:r>
              <w:rPr>
                <w:rFonts w:ascii="Arial"/>
                <w:sz w:val="21"/>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8"/>
              <w:jc w:val="right"/>
              <w:rPr>
                <w:rFonts w:ascii="Arial" w:hAnsi="Arial" w:cs="Arial" w:eastAsia="Arial" w:hint="default"/>
                <w:sz w:val="21"/>
                <w:szCs w:val="21"/>
              </w:rPr>
            </w:pPr>
            <w:r>
              <w:rPr>
                <w:rFonts w:ascii="Arial"/>
                <w:w w:val="99"/>
                <w:sz w:val="21"/>
              </w:rPr>
              <w:t>-</w:t>
            </w:r>
            <w:r>
              <w:rPr>
                <w:rFonts w:ascii="Arial"/>
                <w:sz w:val="21"/>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2"/>
              <w:jc w:val="right"/>
              <w:rPr>
                <w:rFonts w:ascii="Arial" w:hAnsi="Arial" w:cs="Arial" w:eastAsia="Arial" w:hint="default"/>
                <w:sz w:val="21"/>
                <w:szCs w:val="21"/>
              </w:rPr>
            </w:pPr>
            <w:r>
              <w:rPr>
                <w:rFonts w:ascii="Arial"/>
                <w:spacing w:val="-1"/>
                <w:sz w:val="21"/>
              </w:rPr>
              <w:t>(56,350)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09"/>
              <w:jc w:val="right"/>
              <w:rPr>
                <w:rFonts w:ascii="Arial" w:hAnsi="Arial" w:cs="Arial" w:eastAsia="Arial" w:hint="default"/>
                <w:sz w:val="21"/>
                <w:szCs w:val="21"/>
              </w:rPr>
            </w:pPr>
            <w:r>
              <w:rPr>
                <w:rFonts w:ascii="Arial"/>
                <w:spacing w:val="-1"/>
                <w:w w:val="95"/>
                <w:sz w:val="21"/>
              </w:rPr>
              <w:t>188,883</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Arial" w:hAnsi="Arial" w:cs="Arial" w:eastAsia="Arial" w:hint="default"/>
                <w:sz w:val="21"/>
                <w:szCs w:val="21"/>
              </w:rPr>
            </w:pPr>
            <w:r>
              <w:rPr>
                <w:rFonts w:ascii="Arial"/>
                <w:spacing w:val="-1"/>
                <w:sz w:val="21"/>
              </w:rPr>
              <w:t>(56,350)</w:t>
            </w:r>
          </w:p>
        </w:tc>
      </w:tr>
      <w:tr>
        <w:trPr>
          <w:trHeight w:val="326" w:hRule="exact"/>
        </w:trPr>
        <w:tc>
          <w:tcPr>
            <w:tcW w:w="2073"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30" w:lineRule="exact"/>
              <w:ind w:left="34" w:right="0"/>
              <w:jc w:val="center"/>
              <w:rPr>
                <w:rFonts w:ascii="Arial" w:hAnsi="Arial" w:cs="Arial" w:eastAsia="Arial" w:hint="default"/>
                <w:sz w:val="21"/>
                <w:szCs w:val="21"/>
              </w:rPr>
            </w:pPr>
            <w:r>
              <w:rPr>
                <w:rFonts w:ascii="Arial"/>
                <w:sz w:val="21"/>
              </w:rPr>
              <w:t>649,127</w:t>
            </w:r>
          </w:p>
        </w:tc>
        <w:tc>
          <w:tcPr>
            <w:tcW w:w="1997" w:type="dxa"/>
            <w:tcBorders>
              <w:top w:val="nil" w:sz="6" w:space="0" w:color="auto"/>
              <w:left w:val="nil" w:sz="6" w:space="0" w:color="auto"/>
              <w:bottom w:val="nil" w:sz="6" w:space="0" w:color="auto"/>
              <w:right w:val="nil" w:sz="6" w:space="0" w:color="auto"/>
            </w:tcBorders>
          </w:tcPr>
          <w:p>
            <w:pPr>
              <w:pStyle w:val="TableParagraph"/>
              <w:spacing w:line="230" w:lineRule="exact"/>
              <w:ind w:right="539"/>
              <w:jc w:val="right"/>
              <w:rPr>
                <w:rFonts w:ascii="Arial" w:hAnsi="Arial" w:cs="Arial" w:eastAsia="Arial" w:hint="default"/>
                <w:sz w:val="21"/>
                <w:szCs w:val="21"/>
              </w:rPr>
            </w:pPr>
            <w:r>
              <w:rPr>
                <w:rFonts w:ascii="Arial"/>
                <w:spacing w:val="-1"/>
                <w:w w:val="95"/>
                <w:sz w:val="21"/>
              </w:rPr>
              <w:t>374,313</w:t>
            </w:r>
            <w:r>
              <w:rPr>
                <w:rFonts w:ascii="Arial"/>
                <w:sz w:val="21"/>
              </w:rPr>
            </w:r>
          </w:p>
        </w:tc>
        <w:tc>
          <w:tcPr>
            <w:tcW w:w="1940" w:type="dxa"/>
            <w:tcBorders>
              <w:top w:val="nil" w:sz="6" w:space="0" w:color="auto"/>
              <w:left w:val="nil" w:sz="6" w:space="0" w:color="auto"/>
              <w:bottom w:val="nil" w:sz="6" w:space="0" w:color="auto"/>
              <w:right w:val="nil" w:sz="6" w:space="0" w:color="auto"/>
            </w:tcBorders>
          </w:tcPr>
          <w:p>
            <w:pPr>
              <w:pStyle w:val="TableParagraph"/>
              <w:spacing w:line="230" w:lineRule="exact"/>
              <w:ind w:right="638"/>
              <w:jc w:val="right"/>
              <w:rPr>
                <w:rFonts w:ascii="Arial" w:hAnsi="Arial" w:cs="Arial" w:eastAsia="Arial" w:hint="default"/>
                <w:sz w:val="21"/>
                <w:szCs w:val="21"/>
              </w:rPr>
            </w:pPr>
            <w:r>
              <w:rPr>
                <w:rFonts w:ascii="Arial"/>
                <w:spacing w:val="-4"/>
                <w:sz w:val="21"/>
              </w:rPr>
              <w:t>262,116</w:t>
            </w:r>
            <w:r>
              <w:rPr>
                <w:rFonts w:ascii="Arial"/>
                <w:sz w:val="21"/>
              </w:rPr>
            </w:r>
          </w:p>
        </w:tc>
        <w:tc>
          <w:tcPr>
            <w:tcW w:w="1926" w:type="dxa"/>
            <w:tcBorders>
              <w:top w:val="nil" w:sz="6" w:space="0" w:color="auto"/>
              <w:left w:val="nil" w:sz="6" w:space="0" w:color="auto"/>
              <w:bottom w:val="nil" w:sz="6" w:space="0" w:color="auto"/>
              <w:right w:val="nil" w:sz="6" w:space="0" w:color="auto"/>
            </w:tcBorders>
          </w:tcPr>
          <w:p>
            <w:pPr>
              <w:pStyle w:val="TableParagraph"/>
              <w:spacing w:line="230" w:lineRule="exact"/>
              <w:ind w:right="501"/>
              <w:jc w:val="right"/>
              <w:rPr>
                <w:rFonts w:ascii="Arial" w:hAnsi="Arial" w:cs="Arial" w:eastAsia="Arial" w:hint="default"/>
                <w:sz w:val="21"/>
                <w:szCs w:val="21"/>
              </w:rPr>
            </w:pPr>
            <w:r>
              <w:rPr>
                <w:rFonts w:ascii="Arial"/>
                <w:spacing w:val="-1"/>
                <w:sz w:val="21"/>
              </w:rPr>
              <w:t>(70,075)</w:t>
            </w:r>
          </w:p>
        </w:tc>
        <w:tc>
          <w:tcPr>
            <w:tcW w:w="1972" w:type="dxa"/>
            <w:tcBorders>
              <w:top w:val="nil" w:sz="6" w:space="0" w:color="auto"/>
              <w:left w:val="nil" w:sz="6" w:space="0" w:color="auto"/>
              <w:bottom w:val="nil" w:sz="6" w:space="0" w:color="auto"/>
              <w:right w:val="nil" w:sz="6" w:space="0" w:color="auto"/>
            </w:tcBorders>
          </w:tcPr>
          <w:p>
            <w:pPr>
              <w:pStyle w:val="TableParagraph"/>
              <w:spacing w:line="230" w:lineRule="exact"/>
              <w:ind w:right="708"/>
              <w:jc w:val="right"/>
              <w:rPr>
                <w:rFonts w:ascii="Arial" w:hAnsi="Arial" w:cs="Arial" w:eastAsia="Arial" w:hint="default"/>
                <w:sz w:val="21"/>
                <w:szCs w:val="21"/>
              </w:rPr>
            </w:pPr>
            <w:r>
              <w:rPr>
                <w:rFonts w:ascii="Arial"/>
                <w:spacing w:val="-1"/>
                <w:w w:val="95"/>
                <w:sz w:val="21"/>
              </w:rPr>
              <w:t>566,354</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Arial" w:hAnsi="Arial" w:cs="Arial" w:eastAsia="Arial" w:hint="default"/>
                <w:sz w:val="21"/>
                <w:szCs w:val="21"/>
              </w:rPr>
            </w:pPr>
            <w:r>
              <w:rPr>
                <w:rFonts w:ascii="Arial"/>
                <w:spacing w:val="-1"/>
                <w:sz w:val="21"/>
              </w:rPr>
              <w:t>(82,773)</w:t>
            </w:r>
          </w:p>
        </w:tc>
      </w:tr>
    </w:tbl>
    <w:p>
      <w:pPr>
        <w:spacing w:line="240" w:lineRule="auto" w:before="9"/>
        <w:rPr>
          <w:rFonts w:ascii="宋体" w:hAnsi="宋体" w:cs="宋体" w:eastAsia="宋体" w:hint="default"/>
          <w:sz w:val="24"/>
          <w:szCs w:val="24"/>
        </w:rPr>
      </w:pPr>
    </w:p>
    <w:p>
      <w:pPr>
        <w:pStyle w:val="BodyText"/>
        <w:spacing w:line="312" w:lineRule="exact" w:before="56"/>
        <w:ind w:left="918" w:right="0"/>
        <w:jc w:val="left"/>
      </w:pPr>
      <w:r>
        <w:rPr/>
        <w:t>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31</w:t>
      </w:r>
      <w:r>
        <w:rPr/>
        <w:t>日，无土地使用权作为短期借款</w:t>
      </w:r>
      <w:r>
        <w:rPr>
          <w:rFonts w:ascii="Arial" w:hAnsi="Arial" w:cs="Arial" w:eastAsia="Arial" w:hint="default"/>
        </w:rPr>
        <w:t>(</w:t>
      </w:r>
      <w:r>
        <w:rPr/>
        <w:t>附注七</w:t>
      </w:r>
      <w:r>
        <w:rPr>
          <w:rFonts w:ascii="Arial" w:hAnsi="Arial" w:cs="Arial" w:eastAsia="Arial" w:hint="default"/>
        </w:rPr>
        <w:t>(13)(a))</w:t>
      </w:r>
      <w:r>
        <w:rPr/>
        <w:t>的抵押物</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日：抵押土地的原值和摊余价值分别约</w:t>
      </w:r>
      <w:r>
        <w:rPr>
          <w:spacing w:val="-74"/>
        </w:rPr>
        <w:t> </w:t>
      </w:r>
      <w:r>
        <w:rPr/>
        <w:t>为人民币</w:t>
      </w:r>
      <w:r>
        <w:rPr>
          <w:rFonts w:ascii="Arial" w:hAnsi="Arial" w:cs="Arial" w:eastAsia="Arial" w:hint="default"/>
        </w:rPr>
        <w:t>295</w:t>
      </w:r>
      <w:r>
        <w:rPr/>
        <w:t>万元及人民币</w:t>
      </w:r>
      <w:r>
        <w:rPr>
          <w:rFonts w:ascii="Arial" w:hAnsi="Arial" w:cs="Arial" w:eastAsia="Arial" w:hint="default"/>
        </w:rPr>
        <w:t>263</w:t>
      </w:r>
      <w:r>
        <w:rPr/>
        <w:t>万元</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pStyle w:val="BodyText"/>
        <w:spacing w:line="240" w:lineRule="auto"/>
        <w:ind w:left="918" w:right="0"/>
        <w:jc w:val="left"/>
      </w:pPr>
      <w:r>
        <w:rPr/>
        <w:t>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31</w:t>
      </w:r>
      <w:r>
        <w:rPr/>
        <w:t>日和</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日，无形资产无减值迹象，故未计提减值准备。</w:t>
      </w:r>
    </w:p>
    <w:p>
      <w:pPr>
        <w:spacing w:after="0" w:line="240" w:lineRule="auto"/>
        <w:jc w:val="left"/>
        <w:sectPr>
          <w:type w:val="continuous"/>
          <w:pgSz w:w="16840" w:h="11910" w:orient="landscape"/>
          <w:pgMar w:top="1600" w:bottom="280" w:left="740" w:right="1480"/>
        </w:sectPr>
      </w:pPr>
    </w:p>
    <w:p>
      <w:pPr>
        <w:pStyle w:val="Heading2"/>
        <w:tabs>
          <w:tab w:pos="913" w:val="left" w:leader="none"/>
        </w:tabs>
        <w:spacing w:line="240" w:lineRule="auto" w:before="106"/>
        <w:ind w:left="111"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13" w:val="left" w:leader="none"/>
        </w:tabs>
        <w:spacing w:before="0"/>
        <w:ind w:left="111" w:right="0" w:firstLine="0"/>
        <w:jc w:val="left"/>
        <w:rPr>
          <w:rFonts w:ascii="Arial" w:hAnsi="Arial" w:cs="Arial" w:eastAsia="Arial" w:hint="default"/>
          <w:sz w:val="24"/>
          <w:szCs w:val="24"/>
        </w:rPr>
      </w:pPr>
      <w:r>
        <w:rPr>
          <w:rFonts w:ascii="Arial" w:hAnsi="Arial" w:cs="Arial" w:eastAsia="Arial" w:hint="default"/>
          <w:w w:val="95"/>
          <w:position w:val="2"/>
          <w:sz w:val="24"/>
          <w:szCs w:val="24"/>
        </w:rPr>
        <w:t>(10)</w:t>
        <w:tab/>
      </w: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913" w:val="left" w:leader="none"/>
        </w:tabs>
        <w:spacing w:line="240" w:lineRule="auto"/>
        <w:ind w:left="111" w:right="0"/>
        <w:jc w:val="left"/>
      </w:pPr>
      <w:r>
        <w:rPr>
          <w:rFonts w:ascii="Arial" w:hAnsi="Arial" w:cs="Arial" w:eastAsia="Arial" w:hint="default"/>
          <w:w w:val="95"/>
          <w:position w:val="2"/>
        </w:rPr>
        <w:t>(a)</w:t>
        <w:tab/>
      </w:r>
      <w:r>
        <w:rPr/>
        <w:t>优惠承租权</w:t>
      </w:r>
    </w:p>
    <w:p>
      <w:pPr>
        <w:spacing w:line="240" w:lineRule="auto" w:before="4"/>
        <w:rPr>
          <w:rFonts w:ascii="宋体" w:hAnsi="宋体" w:cs="宋体" w:eastAsia="宋体" w:hint="default"/>
          <w:sz w:val="23"/>
          <w:szCs w:val="23"/>
        </w:rPr>
      </w:pPr>
    </w:p>
    <w:p>
      <w:pPr>
        <w:pStyle w:val="BodyText"/>
        <w:spacing w:line="312" w:lineRule="exact"/>
        <w:ind w:left="913" w:right="224"/>
        <w:jc w:val="both"/>
      </w:pPr>
      <w:r>
        <w:rPr>
          <w:spacing w:val="2"/>
        </w:rPr>
        <w:t>优惠承租权系</w:t>
      </w:r>
      <w:r>
        <w:rPr>
          <w:rFonts w:ascii="Arial" w:hAnsi="Arial" w:cs="Arial" w:eastAsia="Arial" w:hint="default"/>
          <w:spacing w:val="2"/>
        </w:rPr>
        <w:t>2007</w:t>
      </w:r>
      <w:r>
        <w:rPr>
          <w:spacing w:val="2"/>
        </w:rPr>
        <w:t>年度本集团对加盟店进行业务合并的过程中确认的无形资产。根据本集团与加盟公司签署《特许加盟终止协</w:t>
      </w:r>
      <w:r>
        <w:rPr>
          <w:spacing w:val="-75"/>
        </w:rPr>
        <w:t> </w:t>
      </w:r>
      <w:r>
        <w:rPr>
          <w:spacing w:val="-75"/>
        </w:rPr>
      </w:r>
      <w:r>
        <w:rPr>
          <w:spacing w:val="-4"/>
        </w:rPr>
        <w:t>议》，加盟公司须协助本集团承接原加盟店的租约。由于部分租约的租金较市场租金优惠，本集团按照评估值确认该优惠承租权作</w:t>
      </w:r>
      <w:r>
        <w:rPr>
          <w:spacing w:val="-113"/>
        </w:rPr>
        <w:t> </w:t>
      </w:r>
      <w:r>
        <w:rPr>
          <w:spacing w:val="-113"/>
        </w:rPr>
      </w:r>
      <w:r>
        <w:rPr/>
        <w:t>为本集团的无形资产，并在预计受益期内以直线法摊销。</w:t>
      </w:r>
    </w:p>
    <w:p>
      <w:pPr>
        <w:spacing w:line="240" w:lineRule="auto" w:before="10"/>
        <w:rPr>
          <w:rFonts w:ascii="宋体" w:hAnsi="宋体" w:cs="宋体" w:eastAsia="宋体" w:hint="default"/>
          <w:sz w:val="18"/>
          <w:szCs w:val="18"/>
        </w:rPr>
      </w:pPr>
    </w:p>
    <w:p>
      <w:pPr>
        <w:tabs>
          <w:tab w:pos="913" w:val="left" w:leader="none"/>
        </w:tabs>
        <w:spacing w:before="0"/>
        <w:ind w:left="111" w:right="0" w:firstLine="0"/>
        <w:jc w:val="left"/>
        <w:rPr>
          <w:rFonts w:ascii="宋体" w:hAnsi="宋体" w:cs="宋体" w:eastAsia="宋体" w:hint="default"/>
          <w:sz w:val="24"/>
          <w:szCs w:val="24"/>
        </w:rPr>
      </w:pPr>
      <w:r>
        <w:rPr>
          <w:rFonts w:ascii="Arial" w:hAnsi="Arial" w:cs="Arial" w:eastAsia="Arial" w:hint="default"/>
          <w:spacing w:val="-5"/>
          <w:position w:val="2"/>
          <w:sz w:val="24"/>
          <w:szCs w:val="24"/>
        </w:rPr>
        <w:t>(11)</w:t>
        <w:tab/>
      </w:r>
      <w:r>
        <w:rPr>
          <w:rFonts w:ascii="宋体" w:hAnsi="宋体" w:cs="宋体" w:eastAsia="宋体" w:hint="default"/>
          <w:b/>
          <w:bCs/>
          <w:sz w:val="24"/>
          <w:szCs w:val="24"/>
        </w:rPr>
        <w:t>开发支出</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26" w:footer="891" w:top="1100" w:bottom="1080" w:left="740" w:right="1500"/>
        </w:sectPr>
      </w:pPr>
    </w:p>
    <w:p>
      <w:pPr>
        <w:tabs>
          <w:tab w:pos="4074" w:val="left" w:leader="none"/>
        </w:tabs>
        <w:spacing w:line="282" w:lineRule="exact" w:before="192"/>
        <w:ind w:left="913" w:right="-17"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tabs>
          <w:tab w:pos="3758" w:val="left" w:leader="none"/>
        </w:tabs>
        <w:spacing w:line="282" w:lineRule="exact" w:before="0"/>
        <w:ind w:left="913" w:right="-17" w:firstLine="0"/>
        <w:jc w:val="left"/>
        <w:rPr>
          <w:rFonts w:ascii="宋体" w:hAnsi="宋体" w:cs="宋体" w:eastAsia="宋体" w:hint="default"/>
          <w:sz w:val="21"/>
          <w:szCs w:val="21"/>
        </w:rPr>
      </w:pPr>
      <w:r>
        <w:rPr>
          <w:rFonts w:ascii="宋体" w:hAnsi="宋体" w:cs="宋体" w:eastAsia="宋体" w:hint="default"/>
          <w:sz w:val="21"/>
          <w:szCs w:val="21"/>
        </w:rPr>
        <w:t>名称</w:t>
        <w:tab/>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line="240" w:lineRule="auto" w:before="9"/>
        <w:rPr>
          <w:rFonts w:ascii="宋体" w:hAnsi="宋体" w:cs="宋体" w:eastAsia="宋体" w:hint="default"/>
          <w:sz w:val="14"/>
          <w:szCs w:val="14"/>
        </w:rPr>
      </w:pPr>
      <w:r>
        <w:rPr/>
        <w:br w:type="column"/>
      </w:r>
      <w:r>
        <w:rPr>
          <w:rFonts w:ascii="宋体"/>
          <w:sz w:val="14"/>
        </w:rPr>
      </w:r>
    </w:p>
    <w:p>
      <w:pPr>
        <w:tabs>
          <w:tab w:pos="2722" w:val="left" w:leader="none"/>
        </w:tabs>
        <w:spacing w:line="274" w:lineRule="exact" w:before="0"/>
        <w:ind w:left="913" w:right="0" w:firstLine="0"/>
        <w:jc w:val="center"/>
        <w:rPr>
          <w:rFonts w:ascii="宋体" w:hAnsi="宋体" w:cs="宋体" w:eastAsia="宋体" w:hint="default"/>
          <w:sz w:val="21"/>
          <w:szCs w:val="21"/>
        </w:rPr>
      </w:pPr>
      <w:r>
        <w:rPr>
          <w:rFonts w:ascii="宋体" w:hAnsi="宋体" w:cs="宋体" w:eastAsia="宋体" w:hint="default"/>
          <w:sz w:val="21"/>
          <w:szCs w:val="21"/>
        </w:rPr>
        <w:t>本年</w:t>
        <w:tab/>
        <w:t>确认</w:t>
      </w:r>
    </w:p>
    <w:p>
      <w:pPr>
        <w:tabs>
          <w:tab w:pos="2302" w:val="left" w:leader="none"/>
        </w:tabs>
        <w:spacing w:line="273" w:lineRule="exact" w:before="0"/>
        <w:ind w:left="913" w:right="0" w:firstLine="0"/>
        <w:jc w:val="center"/>
        <w:rPr>
          <w:rFonts w:ascii="宋体" w:hAnsi="宋体" w:cs="宋体" w:eastAsia="宋体" w:hint="default"/>
          <w:sz w:val="21"/>
          <w:szCs w:val="21"/>
        </w:rPr>
      </w:pPr>
      <w:r>
        <w:rPr>
          <w:rFonts w:ascii="宋体" w:hAnsi="宋体" w:cs="宋体" w:eastAsia="宋体" w:hint="default"/>
          <w:sz w:val="21"/>
          <w:szCs w:val="21"/>
        </w:rPr>
        <w:t>增加</w:t>
        <w:tab/>
        <w:t>无形资产</w:t>
      </w:r>
    </w:p>
    <w:p>
      <w:pPr>
        <w:spacing w:line="289" w:lineRule="exact" w:before="0"/>
        <w:ind w:left="986" w:right="0" w:firstLine="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40" w:lineRule="auto" w:before="8"/>
        <w:rPr>
          <w:rFonts w:ascii="Arial" w:hAnsi="Arial" w:cs="Arial" w:eastAsia="Arial" w:hint="default"/>
          <w:sz w:val="16"/>
          <w:szCs w:val="16"/>
        </w:rPr>
      </w:pPr>
      <w:r>
        <w:rPr/>
        <w:br w:type="column"/>
      </w:r>
      <w:r>
        <w:rPr>
          <w:rFonts w:ascii="Arial"/>
          <w:sz w:val="16"/>
        </w:rPr>
      </w:r>
    </w:p>
    <w:p>
      <w:pPr>
        <w:spacing w:before="0"/>
        <w:ind w:left="913" w:right="-20" w:firstLine="421"/>
        <w:jc w:val="left"/>
        <w:rPr>
          <w:rFonts w:ascii="宋体" w:hAnsi="宋体" w:cs="宋体" w:eastAsia="宋体" w:hint="default"/>
          <w:sz w:val="21"/>
          <w:szCs w:val="21"/>
        </w:rPr>
      </w:pPr>
      <w:r>
        <w:rPr>
          <w:rFonts w:ascii="宋体" w:hAnsi="宋体" w:cs="宋体" w:eastAsia="宋体" w:hint="default"/>
          <w:sz w:val="21"/>
          <w:szCs w:val="21"/>
        </w:rPr>
        <w:t>计入 当年损益</w:t>
      </w:r>
    </w:p>
    <w:p>
      <w:pPr>
        <w:spacing w:line="282" w:lineRule="exact" w:before="192"/>
        <w:ind w:left="1202" w:right="0" w:firstLine="0"/>
        <w:jc w:val="left"/>
        <w:rPr>
          <w:rFonts w:ascii="宋体" w:hAnsi="宋体" w:cs="宋体" w:eastAsia="宋体" w:hint="default"/>
          <w:sz w:val="21"/>
          <w:szCs w:val="21"/>
        </w:rPr>
      </w:pPr>
      <w:r>
        <w:rPr/>
        <w:br w:type="column"/>
      </w: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2" w:lineRule="exact" w:before="0"/>
        <w:ind w:left="885"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line="282" w:lineRule="exact"/>
        <w:jc w:val="left"/>
        <w:rPr>
          <w:rFonts w:ascii="宋体" w:hAnsi="宋体" w:cs="宋体" w:eastAsia="宋体" w:hint="default"/>
          <w:sz w:val="21"/>
          <w:szCs w:val="21"/>
        </w:rPr>
        <w:sectPr>
          <w:type w:val="continuous"/>
          <w:pgSz w:w="16840" w:h="11910" w:orient="landscape"/>
          <w:pgMar w:top="1600" w:bottom="280" w:left="740" w:right="1500"/>
          <w:cols w:num="4" w:equalWidth="0">
            <w:col w:w="4803" w:space="776"/>
            <w:col w:w="3143" w:space="117"/>
            <w:col w:w="1755" w:space="40"/>
            <w:col w:w="3966"/>
          </w:cols>
        </w:sectPr>
      </w:pPr>
    </w:p>
    <w:p>
      <w:pPr>
        <w:spacing w:line="240" w:lineRule="auto" w:before="9"/>
        <w:rPr>
          <w:rFonts w:ascii="宋体" w:hAnsi="宋体" w:cs="宋体" w:eastAsia="宋体" w:hint="default"/>
          <w:sz w:val="14"/>
          <w:szCs w:val="14"/>
        </w:rPr>
      </w:pPr>
    </w:p>
    <w:p>
      <w:pPr>
        <w:tabs>
          <w:tab w:pos="3136" w:val="left" w:leader="none"/>
          <w:tab w:pos="4282" w:val="left" w:leader="none"/>
          <w:tab w:pos="5089" w:val="left" w:leader="none"/>
          <w:tab w:pos="6272" w:val="left" w:leader="none"/>
          <w:tab w:pos="7207" w:val="left" w:leader="none"/>
          <w:tab w:pos="8002" w:val="left" w:leader="none"/>
          <w:tab w:pos="9042" w:val="left" w:leader="none"/>
          <w:tab w:pos="10459" w:val="left" w:leader="none"/>
          <w:tab w:pos="10879" w:val="left" w:leader="none"/>
          <w:tab w:pos="11921" w:val="left" w:leader="none"/>
          <w:tab w:pos="12627" w:val="left" w:leader="none"/>
        </w:tabs>
        <w:spacing w:before="32"/>
        <w:ind w:left="913" w:right="0" w:firstLine="0"/>
        <w:jc w:val="left"/>
        <w:rPr>
          <w:rFonts w:ascii="Arial" w:hAnsi="Arial" w:cs="Arial" w:eastAsia="Arial" w:hint="default"/>
          <w:sz w:val="21"/>
          <w:szCs w:val="21"/>
        </w:rPr>
      </w:pPr>
      <w:r>
        <w:rPr>
          <w:rFonts w:ascii="宋体" w:hAnsi="宋体" w:cs="宋体" w:eastAsia="宋体" w:hint="default"/>
          <w:position w:val="2"/>
          <w:sz w:val="21"/>
          <w:szCs w:val="21"/>
        </w:rPr>
        <w:t>系统软件开发</w:t>
        <w:tab/>
      </w:r>
      <w:r>
        <w:rPr>
          <w:rFonts w:ascii="Arial" w:hAnsi="Arial" w:cs="Arial" w:eastAsia="Arial" w:hint="default"/>
          <w:sz w:val="21"/>
          <w:szCs w:val="21"/>
        </w:rPr>
      </w:r>
      <w:r>
        <w:rPr>
          <w:rFonts w:ascii="Arial" w:hAnsi="Arial" w:cs="Arial" w:eastAsia="Arial" w:hint="default"/>
          <w:sz w:val="21"/>
          <w:szCs w:val="21"/>
          <w:u w:val="thick" w:color="000000"/>
        </w:rPr>
        <w:t> </w:t>
        <w:tab/>
      </w:r>
      <w:r>
        <w:rPr>
          <w:rFonts w:ascii="Arial" w:hAnsi="Arial" w:cs="Arial" w:eastAsia="Arial" w:hint="default"/>
          <w:spacing w:val="-1"/>
          <w:sz w:val="21"/>
          <w:szCs w:val="21"/>
          <w:u w:val="thick" w:color="000000"/>
        </w:rPr>
        <w:t>9,319</w:t>
      </w:r>
      <w:r>
        <w:rPr>
          <w:rFonts w:ascii="Arial" w:hAnsi="Arial" w:cs="Arial" w:eastAsia="Arial" w:hint="default"/>
          <w:spacing w:val="-1"/>
          <w:sz w:val="21"/>
          <w:szCs w:val="21"/>
        </w:rPr>
        <w:tab/>
      </w:r>
      <w:r>
        <w:rPr>
          <w:rFonts w:ascii="Arial" w:hAnsi="Arial" w:cs="Arial" w:eastAsia="Arial" w:hint="default"/>
          <w:spacing w:val="-1"/>
          <w:sz w:val="21"/>
          <w:szCs w:val="21"/>
          <w:u w:val="thick" w:color="000000"/>
        </w:rPr>
        <w:t> </w:t>
        <w:tab/>
        <w:t>57,784</w:t>
      </w:r>
      <w:r>
        <w:rPr>
          <w:rFonts w:ascii="Arial" w:hAnsi="Arial" w:cs="Arial" w:eastAsia="Arial" w:hint="default"/>
          <w:spacing w:val="-1"/>
          <w:sz w:val="21"/>
          <w:szCs w:val="21"/>
        </w:rPr>
        <w:tab/>
      </w:r>
      <w:r>
        <w:rPr>
          <w:rFonts w:ascii="Arial" w:hAnsi="Arial" w:cs="Arial" w:eastAsia="Arial" w:hint="default"/>
          <w:spacing w:val="-1"/>
          <w:sz w:val="21"/>
          <w:szCs w:val="21"/>
          <w:u w:val="thick" w:color="000000"/>
        </w:rPr>
        <w:t> </w:t>
        <w:tab/>
        <w:t>(48,000)</w:t>
      </w:r>
      <w:r>
        <w:rPr>
          <w:rFonts w:ascii="Arial" w:hAnsi="Arial" w:cs="Arial" w:eastAsia="Arial" w:hint="default"/>
          <w:spacing w:val="-1"/>
          <w:sz w:val="21"/>
          <w:szCs w:val="21"/>
        </w:rPr>
        <w:tab/>
      </w:r>
      <w:r>
        <w:rPr>
          <w:rFonts w:ascii="Arial" w:hAnsi="Arial" w:cs="Arial" w:eastAsia="Arial" w:hint="default"/>
          <w:spacing w:val="-1"/>
          <w:sz w:val="21"/>
          <w:szCs w:val="21"/>
          <w:u w:val="thick" w:color="000000"/>
        </w:rPr>
        <w:t> </w:t>
        <w:tab/>
      </w:r>
      <w:r>
        <w:rPr>
          <w:rFonts w:ascii="Arial" w:hAnsi="Arial" w:cs="Arial" w:eastAsia="Arial" w:hint="default"/>
          <w:sz w:val="21"/>
          <w:szCs w:val="21"/>
          <w:u w:val="thick" w:color="000000"/>
        </w:rPr>
        <w:t>-</w:t>
      </w:r>
      <w:r>
        <w:rPr>
          <w:rFonts w:ascii="Arial" w:hAnsi="Arial" w:cs="Arial" w:eastAsia="Arial" w:hint="default"/>
          <w:sz w:val="21"/>
          <w:szCs w:val="21"/>
        </w:rPr>
        <w:tab/>
      </w:r>
      <w:r>
        <w:rPr>
          <w:rFonts w:ascii="Arial" w:hAnsi="Arial" w:cs="Arial" w:eastAsia="Arial" w:hint="default"/>
          <w:sz w:val="21"/>
          <w:szCs w:val="21"/>
          <w:u w:val="thick" w:color="000000"/>
        </w:rPr>
        <w:t> </w:t>
        <w:tab/>
      </w:r>
      <w:r>
        <w:rPr>
          <w:rFonts w:ascii="Arial" w:hAnsi="Arial" w:cs="Arial" w:eastAsia="Arial" w:hint="default"/>
          <w:spacing w:val="-1"/>
          <w:sz w:val="21"/>
          <w:szCs w:val="21"/>
          <w:u w:val="thick" w:color="000000"/>
        </w:rPr>
        <w:t>19,103</w:t>
        <w:tab/>
      </w:r>
      <w:r>
        <w:rPr>
          <w:rFonts w:ascii="Arial" w:hAnsi="Arial" w:cs="Arial" w:eastAsia="Arial" w:hint="default"/>
          <w:spacing w:val="-1"/>
          <w:sz w:val="21"/>
          <w:szCs w:val="21"/>
        </w:rPr>
      </w:r>
    </w:p>
    <w:p>
      <w:pPr>
        <w:spacing w:after="0"/>
        <w:jc w:val="left"/>
        <w:rPr>
          <w:rFonts w:ascii="Arial" w:hAnsi="Arial" w:cs="Arial" w:eastAsia="Arial" w:hint="default"/>
          <w:sz w:val="21"/>
          <w:szCs w:val="21"/>
        </w:rPr>
        <w:sectPr>
          <w:type w:val="continuous"/>
          <w:pgSz w:w="16840" w:h="11910" w:orient="landscape"/>
          <w:pgMar w:top="1600" w:bottom="280" w:left="740" w:right="1500"/>
        </w:sect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04"/>
        <w:gridCol w:w="3431"/>
        <w:gridCol w:w="3182"/>
        <w:gridCol w:w="2807"/>
      </w:tblGrid>
      <w:tr>
        <w:trPr>
          <w:trHeight w:val="1102"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(12)</w:t>
            </w:r>
          </w:p>
        </w:tc>
        <w:tc>
          <w:tcPr>
            <w:tcW w:w="3431"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41" w:right="484"/>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长期待摊费用</w:t>
            </w:r>
            <w:r>
              <w:rPr>
                <w:rFonts w:ascii="宋体" w:hAnsi="宋体" w:cs="宋体" w:eastAsia="宋体" w:hint="default"/>
                <w:sz w:val="24"/>
                <w:szCs w:val="24"/>
              </w:rPr>
            </w:r>
          </w:p>
        </w:tc>
        <w:tc>
          <w:tcPr>
            <w:tcW w:w="5989" w:type="dxa"/>
            <w:gridSpan w:val="2"/>
            <w:tcBorders>
              <w:top w:val="nil" w:sz="6" w:space="0" w:color="auto"/>
              <w:left w:val="nil" w:sz="6" w:space="0" w:color="auto"/>
              <w:bottom w:val="nil" w:sz="6" w:space="0" w:color="auto"/>
              <w:right w:val="nil" w:sz="6" w:space="0" w:color="auto"/>
            </w:tcBorders>
          </w:tcPr>
          <w:p>
            <w:pPr/>
          </w:p>
        </w:tc>
      </w:tr>
      <w:tr>
        <w:trPr>
          <w:trHeight w:val="456"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62"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9"/>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w:t>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3182" w:type="dxa"/>
            <w:tcBorders>
              <w:top w:val="nil" w:sz="6" w:space="0" w:color="auto"/>
              <w:left w:val="nil" w:sz="6" w:space="0" w:color="auto"/>
              <w:bottom w:val="nil" w:sz="6" w:space="0" w:color="auto"/>
              <w:right w:val="nil" w:sz="6" w:space="0" w:color="auto"/>
            </w:tcBorders>
          </w:tcPr>
          <w:p>
            <w:pPr>
              <w:pStyle w:val="TableParagraph"/>
              <w:spacing w:line="287" w:lineRule="exact"/>
              <w:ind w:left="150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807" w:type="dxa"/>
            <w:tcBorders>
              <w:top w:val="nil" w:sz="6" w:space="0" w:color="auto"/>
              <w:left w:val="nil" w:sz="6" w:space="0" w:color="auto"/>
              <w:bottom w:val="nil" w:sz="6" w:space="0" w:color="auto"/>
              <w:right w:val="nil" w:sz="6" w:space="0" w:color="auto"/>
            </w:tcBorders>
          </w:tcPr>
          <w:p>
            <w:pPr>
              <w:pStyle w:val="TableParagraph"/>
              <w:spacing w:line="287" w:lineRule="exact"/>
              <w:ind w:right="142"/>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3182" w:type="dxa"/>
            <w:tcBorders>
              <w:top w:val="nil" w:sz="6" w:space="0" w:color="auto"/>
              <w:left w:val="nil" w:sz="6" w:space="0" w:color="auto"/>
              <w:bottom w:val="nil" w:sz="6" w:space="0" w:color="auto"/>
              <w:right w:val="nil" w:sz="6" w:space="0" w:color="auto"/>
            </w:tcBorders>
          </w:tcPr>
          <w:p>
            <w:pPr>
              <w:pStyle w:val="TableParagraph"/>
              <w:spacing w:line="287" w:lineRule="exact"/>
              <w:ind w:right="405"/>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807" w:type="dxa"/>
            <w:tcBorders>
              <w:top w:val="nil" w:sz="6" w:space="0" w:color="auto"/>
              <w:left w:val="nil" w:sz="6" w:space="0" w:color="auto"/>
              <w:bottom w:val="nil" w:sz="6" w:space="0" w:color="auto"/>
              <w:right w:val="nil" w:sz="6" w:space="0" w:color="auto"/>
            </w:tcBorders>
          </w:tcPr>
          <w:p>
            <w:pPr>
              <w:pStyle w:val="TableParagraph"/>
              <w:spacing w:line="287" w:lineRule="exact"/>
              <w:ind w:right="69"/>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经营租入固定资产改良</w:t>
            </w:r>
          </w:p>
        </w:tc>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804" w:right="0"/>
              <w:jc w:val="left"/>
              <w:rPr>
                <w:rFonts w:ascii="Arial" w:hAnsi="Arial" w:cs="Arial" w:eastAsia="Arial" w:hint="default"/>
                <w:sz w:val="24"/>
                <w:szCs w:val="24"/>
              </w:rPr>
            </w:pPr>
            <w:r>
              <w:rPr>
                <w:rFonts w:ascii="Arial"/>
                <w:sz w:val="24"/>
              </w:rPr>
              <w:t>179,893</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79"/>
              <w:jc w:val="right"/>
              <w:rPr>
                <w:rFonts w:ascii="Arial" w:hAnsi="Arial" w:cs="Arial" w:eastAsia="Arial" w:hint="default"/>
                <w:sz w:val="24"/>
                <w:szCs w:val="24"/>
              </w:rPr>
            </w:pPr>
            <w:r>
              <w:rPr>
                <w:rFonts w:ascii="Arial"/>
                <w:spacing w:val="-1"/>
                <w:w w:val="95"/>
                <w:sz w:val="24"/>
              </w:rPr>
              <w:t>128,542</w:t>
            </w:r>
            <w:r>
              <w:rPr>
                <w:rFonts w:ascii="Arial"/>
                <w:sz w:val="24"/>
              </w:rPr>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78" w:lineRule="exact"/>
              <w:ind w:left="141" w:right="0"/>
              <w:jc w:val="left"/>
              <w:rPr>
                <w:rFonts w:ascii="Arial" w:hAnsi="Arial" w:cs="Arial" w:eastAsia="Arial" w:hint="default"/>
                <w:sz w:val="24"/>
                <w:szCs w:val="24"/>
              </w:rPr>
            </w:pPr>
            <w:r>
              <w:rPr>
                <w:rFonts w:ascii="宋体" w:hAnsi="宋体" w:cs="宋体" w:eastAsia="宋体" w:hint="default"/>
                <w:sz w:val="24"/>
                <w:szCs w:val="24"/>
              </w:rPr>
              <w:t>预付长期房屋租赁费</w:t>
            </w:r>
            <w:r>
              <w:rPr>
                <w:rFonts w:ascii="Arial" w:hAnsi="Arial" w:cs="Arial" w:eastAsia="Arial" w:hint="default"/>
                <w:sz w:val="24"/>
                <w:szCs w:val="24"/>
              </w:rPr>
              <w:t>(a)</w:t>
            </w:r>
          </w:p>
        </w:tc>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37" w:right="0"/>
              <w:jc w:val="left"/>
              <w:rPr>
                <w:rFonts w:ascii="Arial" w:hAnsi="Arial" w:cs="Arial" w:eastAsia="Arial" w:hint="default"/>
                <w:sz w:val="24"/>
                <w:szCs w:val="24"/>
              </w:rPr>
            </w:pPr>
            <w:r>
              <w:rPr>
                <w:rFonts w:ascii="Arial"/>
                <w:sz w:val="24"/>
              </w:rPr>
              <w:t>38,542</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Arial" w:hAnsi="Arial" w:cs="Arial" w:eastAsia="Arial" w:hint="default"/>
                <w:sz w:val="24"/>
                <w:szCs w:val="24"/>
              </w:rPr>
            </w:pPr>
            <w:r>
              <w:rPr>
                <w:rFonts w:ascii="Arial"/>
                <w:spacing w:val="-1"/>
                <w:w w:val="95"/>
                <w:sz w:val="24"/>
              </w:rPr>
              <w:t>59,750</w:t>
            </w:r>
            <w:r>
              <w:rPr>
                <w:rFonts w:ascii="Arial"/>
                <w:sz w:val="24"/>
              </w:rPr>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61" w:lineRule="exact"/>
              <w:ind w:left="141" w:right="0"/>
              <w:jc w:val="left"/>
              <w:rPr>
                <w:rFonts w:ascii="宋体" w:hAnsi="宋体" w:cs="宋体" w:eastAsia="宋体" w:hint="default"/>
                <w:sz w:val="24"/>
                <w:szCs w:val="24"/>
              </w:rPr>
            </w:pPr>
            <w:r>
              <w:rPr>
                <w:rFonts w:ascii="宋体" w:hAnsi="宋体" w:cs="宋体" w:eastAsia="宋体" w:hint="default"/>
                <w:sz w:val="24"/>
                <w:szCs w:val="24"/>
              </w:rPr>
              <w:t>水电设施使用费</w:t>
            </w:r>
          </w:p>
        </w:tc>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70" w:right="0"/>
              <w:jc w:val="left"/>
              <w:rPr>
                <w:rFonts w:ascii="Arial" w:hAnsi="Arial" w:cs="Arial" w:eastAsia="Arial" w:hint="default"/>
                <w:sz w:val="24"/>
                <w:szCs w:val="24"/>
              </w:rPr>
            </w:pPr>
            <w:r>
              <w:rPr>
                <w:rFonts w:ascii="Arial"/>
                <w:sz w:val="24"/>
              </w:rPr>
              <w:t>8,406</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Arial" w:hAnsi="Arial" w:cs="Arial" w:eastAsia="Arial" w:hint="default"/>
                <w:sz w:val="24"/>
                <w:szCs w:val="24"/>
              </w:rPr>
            </w:pPr>
            <w:r>
              <w:rPr>
                <w:rFonts w:ascii="Arial"/>
                <w:spacing w:val="-1"/>
                <w:w w:val="95"/>
                <w:sz w:val="24"/>
              </w:rPr>
              <w:t>9,425</w:t>
            </w:r>
            <w:r>
              <w:rPr>
                <w:rFonts w:ascii="Arial"/>
                <w:sz w:val="24"/>
              </w:rPr>
            </w:r>
          </w:p>
        </w:tc>
      </w:tr>
      <w:tr>
        <w:trPr>
          <w:trHeight w:val="314"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78" w:lineRule="exact"/>
              <w:ind w:left="141" w:right="0"/>
              <w:jc w:val="left"/>
              <w:rPr>
                <w:rFonts w:ascii="Arial" w:hAnsi="Arial" w:cs="Arial" w:eastAsia="Arial" w:hint="default"/>
                <w:sz w:val="24"/>
                <w:szCs w:val="24"/>
              </w:rPr>
            </w:pPr>
            <w:r>
              <w:rPr>
                <w:rFonts w:ascii="宋体" w:hAnsi="宋体" w:cs="宋体" w:eastAsia="宋体" w:hint="default"/>
                <w:sz w:val="24"/>
                <w:szCs w:val="24"/>
              </w:rPr>
              <w:t>递延延保业务费用</w:t>
            </w:r>
            <w:r>
              <w:rPr>
                <w:rFonts w:ascii="Arial" w:hAnsi="Arial" w:cs="Arial" w:eastAsia="Arial" w:hint="default"/>
                <w:sz w:val="24"/>
                <w:szCs w:val="24"/>
              </w:rPr>
              <w:t>(b)</w:t>
            </w:r>
          </w:p>
        </w:tc>
        <w:tc>
          <w:tcPr>
            <w:tcW w:w="3182" w:type="dxa"/>
            <w:tcBorders>
              <w:top w:val="nil" w:sz="6" w:space="0" w:color="auto"/>
              <w:left w:val="nil" w:sz="6" w:space="0" w:color="auto"/>
              <w:bottom w:val="nil" w:sz="6" w:space="0" w:color="auto"/>
              <w:right w:val="nil" w:sz="6" w:space="0" w:color="auto"/>
            </w:tcBorders>
          </w:tcPr>
          <w:p>
            <w:pPr>
              <w:pStyle w:val="TableParagraph"/>
              <w:tabs>
                <w:tab w:pos="1583" w:val="left" w:leader="none"/>
                <w:tab w:pos="2359" w:val="left" w:leader="none"/>
              </w:tabs>
              <w:spacing w:line="240" w:lineRule="auto" w:before="20"/>
              <w:ind w:right="33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6,412</w:t>
              <w:tab/>
            </w:r>
            <w:r>
              <w:rPr>
                <w:rFonts w:ascii="Arial"/>
                <w:spacing w:val="-1"/>
                <w:sz w:val="24"/>
              </w:rPr>
            </w:r>
          </w:p>
        </w:tc>
        <w:tc>
          <w:tcPr>
            <w:tcW w:w="2807" w:type="dxa"/>
            <w:tcBorders>
              <w:top w:val="nil" w:sz="6" w:space="0" w:color="auto"/>
              <w:left w:val="nil" w:sz="6" w:space="0" w:color="auto"/>
              <w:bottom w:val="nil" w:sz="6" w:space="0" w:color="auto"/>
              <w:right w:val="nil" w:sz="6" w:space="0" w:color="auto"/>
            </w:tcBorders>
          </w:tcPr>
          <w:p>
            <w:pPr>
              <w:pStyle w:val="TableParagraph"/>
              <w:tabs>
                <w:tab w:pos="2208" w:val="left" w:leader="none"/>
                <w:tab w:pos="2435"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363" w:hRule="exact"/>
        </w:trPr>
        <w:tc>
          <w:tcPr>
            <w:tcW w:w="604"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3182" w:type="dxa"/>
            <w:tcBorders>
              <w:top w:val="nil" w:sz="6" w:space="0" w:color="auto"/>
              <w:left w:val="nil" w:sz="6" w:space="0" w:color="auto"/>
              <w:bottom w:val="nil" w:sz="6" w:space="0" w:color="auto"/>
              <w:right w:val="nil" w:sz="6" w:space="0" w:color="auto"/>
            </w:tcBorders>
          </w:tcPr>
          <w:p>
            <w:pPr>
              <w:pStyle w:val="TableParagraph"/>
              <w:tabs>
                <w:tab w:pos="1317" w:val="left" w:leader="none"/>
                <w:tab w:pos="2359" w:val="left" w:leader="none"/>
              </w:tabs>
              <w:spacing w:line="268" w:lineRule="exact"/>
              <w:ind w:right="33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233,253</w:t>
              <w:tab/>
            </w:r>
            <w:r>
              <w:rPr>
                <w:rFonts w:ascii="Arial"/>
                <w:spacing w:val="-1"/>
                <w:sz w:val="24"/>
              </w:rPr>
            </w:r>
          </w:p>
        </w:tc>
        <w:tc>
          <w:tcPr>
            <w:tcW w:w="2807" w:type="dxa"/>
            <w:tcBorders>
              <w:top w:val="nil" w:sz="6" w:space="0" w:color="auto"/>
              <w:left w:val="nil" w:sz="6" w:space="0" w:color="auto"/>
              <w:bottom w:val="nil" w:sz="6" w:space="0" w:color="auto"/>
              <w:right w:val="nil" w:sz="6" w:space="0" w:color="auto"/>
            </w:tcBorders>
          </w:tcPr>
          <w:p>
            <w:pPr>
              <w:pStyle w:val="TableParagraph"/>
              <w:tabs>
                <w:tab w:pos="1423" w:val="left" w:leader="none"/>
                <w:tab w:pos="2435"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197,717</w:t>
              <w:tab/>
            </w:r>
            <w:r>
              <w:rPr>
                <w:rFonts w:ascii="Arial"/>
                <w:spacing w:val="-1"/>
                <w:sz w:val="24"/>
              </w:rPr>
            </w:r>
          </w:p>
        </w:tc>
      </w:tr>
    </w:tbl>
    <w:p>
      <w:pPr>
        <w:spacing w:line="240" w:lineRule="auto" w:before="5"/>
        <w:rPr>
          <w:rFonts w:ascii="Arial" w:hAnsi="Arial" w:cs="Arial" w:eastAsia="Arial" w:hint="default"/>
          <w:sz w:val="12"/>
          <w:szCs w:val="12"/>
        </w:rPr>
      </w:pPr>
    </w:p>
    <w:p>
      <w:pPr>
        <w:pStyle w:val="BodyText"/>
        <w:tabs>
          <w:tab w:pos="913" w:val="left" w:leader="none"/>
        </w:tabs>
        <w:spacing w:line="322" w:lineRule="exact" w:before="32"/>
        <w:ind w:left="202" w:right="0"/>
        <w:jc w:val="left"/>
      </w:pPr>
      <w:r>
        <w:rPr>
          <w:rFonts w:ascii="Arial" w:hAnsi="Arial" w:cs="Arial" w:eastAsia="Arial" w:hint="default"/>
          <w:w w:val="95"/>
          <w:position w:val="2"/>
        </w:rPr>
        <w:t>(a)</w:t>
        <w:tab/>
      </w:r>
      <w:r>
        <w:rPr/>
        <w:t>根据本集团于</w:t>
      </w:r>
      <w:r>
        <w:rPr>
          <w:spacing w:val="-43"/>
        </w:rPr>
        <w:t> </w:t>
      </w:r>
      <w:r>
        <w:rPr>
          <w:rFonts w:ascii="Arial" w:hAnsi="Arial" w:cs="Arial" w:eastAsia="Arial" w:hint="default"/>
        </w:rPr>
        <w:t>2007</w:t>
      </w:r>
      <w:r>
        <w:rPr>
          <w:rFonts w:ascii="Arial" w:hAnsi="Arial" w:cs="Arial" w:eastAsia="Arial" w:hint="default"/>
          <w:spacing w:val="11"/>
        </w:rPr>
        <w:t> </w:t>
      </w:r>
      <w:r>
        <w:rPr/>
        <w:t>年</w:t>
      </w:r>
      <w:r>
        <w:rPr>
          <w:spacing w:val="-43"/>
        </w:rPr>
        <w:t> </w:t>
      </w:r>
      <w:r>
        <w:rPr>
          <w:rFonts w:ascii="Arial" w:hAnsi="Arial" w:cs="Arial" w:eastAsia="Arial" w:hint="default"/>
        </w:rPr>
        <w:t>12</w:t>
      </w:r>
      <w:r>
        <w:rPr>
          <w:rFonts w:ascii="Arial" w:hAnsi="Arial" w:cs="Arial" w:eastAsia="Arial" w:hint="default"/>
          <w:spacing w:val="10"/>
        </w:rPr>
        <w:t> </w:t>
      </w:r>
      <w:r>
        <w:rPr/>
        <w:t>月签订的合同，本集团预付合计约人民币</w:t>
      </w:r>
      <w:r>
        <w:rPr>
          <w:spacing w:val="-43"/>
        </w:rPr>
        <w:t> </w:t>
      </w:r>
      <w:r>
        <w:rPr>
          <w:rFonts w:ascii="Arial" w:hAnsi="Arial" w:cs="Arial" w:eastAsia="Arial" w:hint="default"/>
        </w:rPr>
        <w:t>8,200</w:t>
      </w:r>
      <w:r>
        <w:rPr>
          <w:rFonts w:ascii="Arial" w:hAnsi="Arial" w:cs="Arial" w:eastAsia="Arial" w:hint="default"/>
          <w:spacing w:val="11"/>
        </w:rPr>
        <w:t> </w:t>
      </w:r>
      <w:r>
        <w:rPr/>
        <w:t>万元的租赁</w:t>
      </w:r>
    </w:p>
    <w:p>
      <w:pPr>
        <w:pStyle w:val="BodyText"/>
        <w:spacing w:line="312" w:lineRule="exact"/>
        <w:ind w:left="913" w:right="0"/>
        <w:jc w:val="left"/>
      </w:pPr>
      <w:r>
        <w:rPr/>
        <w:t>费，包含两处商铺为期分别为</w:t>
      </w:r>
      <w:r>
        <w:rPr>
          <w:spacing w:val="-63"/>
        </w:rPr>
        <w:t> </w:t>
      </w:r>
      <w:r>
        <w:rPr>
          <w:rFonts w:ascii="Arial" w:hAnsi="Arial" w:cs="Arial" w:eastAsia="Arial" w:hint="default"/>
        </w:rPr>
        <w:t>2</w:t>
      </w:r>
      <w:r>
        <w:rPr>
          <w:rFonts w:ascii="Arial" w:hAnsi="Arial" w:cs="Arial" w:eastAsia="Arial" w:hint="default"/>
          <w:spacing w:val="-10"/>
        </w:rPr>
        <w:t> </w:t>
      </w:r>
      <w:r>
        <w:rPr/>
        <w:t>年及</w:t>
      </w:r>
      <w:r>
        <w:rPr>
          <w:spacing w:val="-63"/>
        </w:rPr>
        <w:t> </w:t>
      </w:r>
      <w:r>
        <w:rPr>
          <w:rFonts w:ascii="Arial" w:hAnsi="Arial" w:cs="Arial" w:eastAsia="Arial" w:hint="default"/>
        </w:rPr>
        <w:t>8</w:t>
      </w:r>
      <w:r>
        <w:rPr>
          <w:rFonts w:ascii="Arial" w:hAnsi="Arial" w:cs="Arial" w:eastAsia="Arial" w:hint="default"/>
          <w:spacing w:val="-10"/>
        </w:rPr>
        <w:t> </w:t>
      </w:r>
      <w:r>
        <w:rPr>
          <w:spacing w:val="-3"/>
        </w:rPr>
        <w:t>年的租赁权。截止</w:t>
      </w:r>
      <w:r>
        <w:rPr>
          <w:spacing w:val="-63"/>
        </w:rPr>
        <w:t> </w:t>
      </w:r>
      <w:r>
        <w:rPr>
          <w:rFonts w:ascii="Arial" w:hAnsi="Arial" w:cs="Arial" w:eastAsia="Arial" w:hint="default"/>
        </w:rPr>
        <w:t>2008</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spacing w:val="-4"/>
        </w:rPr>
        <w:t>日，其中预</w:t>
      </w:r>
    </w:p>
    <w:p>
      <w:pPr>
        <w:pStyle w:val="BodyText"/>
        <w:spacing w:line="322" w:lineRule="exact"/>
        <w:ind w:left="913" w:right="0"/>
        <w:jc w:val="left"/>
      </w:pPr>
      <w:r>
        <w:rPr/>
        <w:t>付的</w:t>
      </w:r>
      <w:r>
        <w:rPr>
          <w:spacing w:val="-62"/>
        </w:rPr>
        <w:t> </w:t>
      </w:r>
      <w:r>
        <w:rPr>
          <w:rFonts w:ascii="Arial" w:hAnsi="Arial" w:cs="Arial" w:eastAsia="Arial" w:hint="default"/>
        </w:rPr>
        <w:t>1</w:t>
      </w:r>
      <w:r>
        <w:rPr>
          <w:rFonts w:ascii="Arial" w:hAnsi="Arial" w:cs="Arial" w:eastAsia="Arial" w:hint="default"/>
          <w:spacing w:val="-9"/>
        </w:rPr>
        <w:t> </w:t>
      </w:r>
      <w:r>
        <w:rPr/>
        <w:t>年以上租赁费合计约人民币</w:t>
      </w:r>
      <w:r>
        <w:rPr>
          <w:spacing w:val="-62"/>
        </w:rPr>
        <w:t> </w:t>
      </w:r>
      <w:r>
        <w:rPr>
          <w:rFonts w:ascii="Arial" w:hAnsi="Arial" w:cs="Arial" w:eastAsia="Arial" w:hint="default"/>
        </w:rPr>
        <w:t>3,854</w:t>
      </w:r>
      <w:r>
        <w:rPr>
          <w:rFonts w:ascii="Arial" w:hAnsi="Arial" w:cs="Arial" w:eastAsia="Arial" w:hint="default"/>
          <w:spacing w:val="-9"/>
        </w:rPr>
        <w:t> </w:t>
      </w:r>
      <w:r>
        <w:rPr/>
        <w:t>万元。</w:t>
      </w:r>
    </w:p>
    <w:p>
      <w:pPr>
        <w:spacing w:line="240" w:lineRule="auto" w:before="13"/>
        <w:rPr>
          <w:rFonts w:ascii="宋体" w:hAnsi="宋体" w:cs="宋体" w:eastAsia="宋体" w:hint="default"/>
          <w:sz w:val="21"/>
          <w:szCs w:val="21"/>
        </w:rPr>
      </w:pPr>
    </w:p>
    <w:p>
      <w:pPr>
        <w:pStyle w:val="BodyText"/>
        <w:spacing w:line="312" w:lineRule="exact"/>
        <w:ind w:left="913" w:right="251" w:hanging="711"/>
        <w:jc w:val="both"/>
      </w:pPr>
      <w:r>
        <w:rPr>
          <w:rFonts w:ascii="Arial" w:hAnsi="Arial" w:cs="Arial" w:eastAsia="Arial" w:hint="default"/>
          <w:position w:val="2"/>
        </w:rPr>
        <w:t>(b)</w:t>
      </w:r>
      <w:r>
        <w:rPr>
          <w:rFonts w:ascii="Arial" w:hAnsi="Arial" w:cs="Arial" w:eastAsia="Arial" w:hint="default"/>
          <w:spacing w:val="41"/>
          <w:position w:val="2"/>
        </w:rPr>
        <w:t> </w:t>
      </w:r>
      <w:r>
        <w:rPr/>
        <w:t>本集团向顾客提供电器延长保修业务，并就提供的延长保修业务与第三方保险公司签订 </w:t>
      </w:r>
      <w:r>
        <w:rPr>
          <w:spacing w:val="-2"/>
        </w:rPr>
        <w:t>保险服务协议书，支付相应保险费用以确保在日后提供延长保修期服务时可按合同规定</w:t>
      </w:r>
      <w:r>
        <w:rPr/>
        <w:t> 向保险公司收取相关赔偿。截止</w:t>
      </w:r>
      <w:r>
        <w:rPr>
          <w:spacing w:val="-66"/>
        </w:rPr>
        <w:t> </w:t>
      </w:r>
      <w:r>
        <w:rPr>
          <w:rFonts w:ascii="Arial" w:hAnsi="Arial" w:cs="Arial" w:eastAsia="Arial" w:hint="default"/>
        </w:rPr>
        <w:t>2008</w:t>
      </w:r>
      <w:r>
        <w:rPr>
          <w:rFonts w:ascii="Arial" w:hAnsi="Arial" w:cs="Arial" w:eastAsia="Arial" w:hint="default"/>
          <w:spacing w:val="-13"/>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日，本集团确认递延延保业务收入和</w:t>
      </w:r>
    </w:p>
    <w:p>
      <w:pPr>
        <w:pStyle w:val="BodyText"/>
        <w:spacing w:line="300" w:lineRule="exact"/>
        <w:ind w:left="913" w:right="0"/>
        <w:jc w:val="left"/>
      </w:pPr>
      <w:r>
        <w:rPr/>
        <w:t>费用分别约为人民币</w:t>
      </w:r>
      <w:r>
        <w:rPr>
          <w:spacing w:val="-62"/>
        </w:rPr>
        <w:t> </w:t>
      </w:r>
      <w:r>
        <w:rPr>
          <w:rFonts w:ascii="Arial" w:hAnsi="Arial" w:cs="Arial" w:eastAsia="Arial" w:hint="default"/>
        </w:rPr>
        <w:t>2,289</w:t>
      </w:r>
      <w:r>
        <w:rPr>
          <w:rFonts w:ascii="Arial" w:hAnsi="Arial" w:cs="Arial" w:eastAsia="Arial" w:hint="default"/>
          <w:spacing w:val="-9"/>
        </w:rPr>
        <w:t> </w:t>
      </w:r>
      <w:r>
        <w:rPr/>
        <w:t>万元</w:t>
      </w:r>
      <w:r>
        <w:rPr>
          <w:rFonts w:ascii="Arial" w:hAnsi="Arial" w:cs="Arial" w:eastAsia="Arial" w:hint="default"/>
        </w:rPr>
        <w:t>(</w:t>
      </w:r>
      <w:r>
        <w:rPr/>
        <w:t>附注七</w:t>
      </w:r>
      <w:r>
        <w:rPr>
          <w:rFonts w:ascii="Arial" w:hAnsi="Arial" w:cs="Arial" w:eastAsia="Arial" w:hint="default"/>
        </w:rPr>
        <w:t>(23))</w:t>
      </w:r>
      <w:r>
        <w:rPr/>
        <w:t>和人民币</w:t>
      </w:r>
      <w:r>
        <w:rPr>
          <w:spacing w:val="-62"/>
        </w:rPr>
        <w:t> </w:t>
      </w:r>
      <w:r>
        <w:rPr>
          <w:rFonts w:ascii="Arial" w:hAnsi="Arial" w:cs="Arial" w:eastAsia="Arial" w:hint="default"/>
        </w:rPr>
        <w:t>641</w:t>
      </w:r>
      <w:r>
        <w:rPr>
          <w:rFonts w:ascii="Arial" w:hAnsi="Arial" w:cs="Arial" w:eastAsia="Arial" w:hint="default"/>
          <w:spacing w:val="-9"/>
        </w:rPr>
        <w:t> </w:t>
      </w:r>
      <w:r>
        <w:rPr/>
        <w:t>万元。</w:t>
      </w:r>
    </w:p>
    <w:p>
      <w:pPr>
        <w:spacing w:line="240" w:lineRule="auto" w:before="13"/>
        <w:rPr>
          <w:rFonts w:ascii="宋体" w:hAnsi="宋体" w:cs="宋体" w:eastAsia="宋体" w:hint="default"/>
          <w:sz w:val="16"/>
          <w:szCs w:val="16"/>
        </w:rPr>
      </w:pPr>
    </w:p>
    <w:p>
      <w:pPr>
        <w:tabs>
          <w:tab w:pos="913" w:val="left" w:leader="none"/>
        </w:tabs>
        <w:spacing w:before="0"/>
        <w:ind w:left="2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(13)</w:t>
        <w:tab/>
      </w:r>
      <w:r>
        <w:rPr>
          <w:rFonts w:ascii="宋体" w:hAnsi="宋体" w:cs="宋体" w:eastAsia="宋体" w:hint="default"/>
          <w:b/>
          <w:bCs/>
          <w:sz w:val="24"/>
          <w:szCs w:val="24"/>
        </w:rPr>
        <w:t>短期借款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4705" w:val="left" w:leader="none"/>
          <w:tab w:pos="7873" w:val="left" w:leader="none"/>
        </w:tabs>
        <w:spacing w:line="322" w:lineRule="exact"/>
        <w:ind w:left="2738" w:right="0"/>
        <w:jc w:val="left"/>
      </w:pPr>
      <w:r>
        <w:rPr/>
        <w:t>币种</w:t>
        <w:tab/>
      </w: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671" w:val="left" w:leader="none"/>
        </w:tabs>
        <w:spacing w:line="322" w:lineRule="exact"/>
        <w:ind w:left="5512"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tbl>
      <w:tblPr>
        <w:tblW w:w="0" w:type="auto"/>
        <w:jc w:val="left"/>
        <w:tblInd w:w="878" w:type="dxa"/>
        <w:tblLayout w:type="fixed"/>
        <w:tblCellMar>
          <w:top w:w="0" w:type="dxa"/>
          <w:left w:w="0" w:type="dxa"/>
          <w:bottom w:w="0" w:type="dxa"/>
          <w:right w:w="0" w:type="dxa"/>
        </w:tblCellMar>
        <w:tblLook w:val="01E0"/>
      </w:tblPr>
      <w:tblGrid>
        <w:gridCol w:w="1575"/>
        <w:gridCol w:w="1589"/>
        <w:gridCol w:w="6088"/>
      </w:tblGrid>
      <w:tr>
        <w:trPr>
          <w:trHeight w:val="636"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Arial" w:hAnsi="Arial" w:cs="Arial" w:eastAsia="Arial" w:hint="default"/>
                <w:sz w:val="24"/>
                <w:szCs w:val="24"/>
              </w:rPr>
            </w:pPr>
            <w:r>
              <w:rPr>
                <w:rFonts w:ascii="宋体" w:hAnsi="宋体" w:cs="宋体" w:eastAsia="宋体" w:hint="default"/>
                <w:sz w:val="24"/>
                <w:szCs w:val="24"/>
              </w:rPr>
              <w:t>担保借款</w:t>
            </w:r>
            <w:r>
              <w:rPr>
                <w:rFonts w:ascii="Arial" w:hAnsi="Arial" w:cs="Arial" w:eastAsia="Arial" w:hint="default"/>
                <w:sz w:val="24"/>
                <w:szCs w:val="24"/>
              </w:rPr>
              <w:t>(a)</w:t>
            </w:r>
          </w:p>
          <w:p>
            <w:pPr>
              <w:pStyle w:val="TableParagraph"/>
              <w:spacing w:line="304" w:lineRule="exact"/>
              <w:ind w:left="35"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left="28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6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9"/>
                <w:szCs w:val="29"/>
              </w:rPr>
            </w:pPr>
          </w:p>
          <w:p>
            <w:pPr>
              <w:pStyle w:val="TableParagraph"/>
              <w:tabs>
                <w:tab w:pos="5170" w:val="left" w:leader="none"/>
              </w:tabs>
              <w:spacing w:line="240" w:lineRule="auto"/>
              <w:ind w:left="2686" w:right="0"/>
              <w:jc w:val="left"/>
              <w:rPr>
                <w:rFonts w:ascii="Arial" w:hAnsi="Arial" w:cs="Arial" w:eastAsia="Arial" w:hint="default"/>
                <w:sz w:val="24"/>
                <w:szCs w:val="24"/>
              </w:rPr>
            </w:pPr>
            <w:r>
              <w:rPr>
                <w:rFonts w:ascii="Arial"/>
                <w:sz w:val="24"/>
              </w:rPr>
              <w:t>-</w:t>
              <w:tab/>
              <w:t>60,000</w:t>
            </w:r>
          </w:p>
        </w:tc>
      </w:tr>
      <w:tr>
        <w:trPr>
          <w:trHeight w:val="314"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－保证</w:t>
            </w:r>
          </w:p>
        </w:tc>
        <w:tc>
          <w:tcPr>
            <w:tcW w:w="1589" w:type="dxa"/>
            <w:tcBorders>
              <w:top w:val="nil" w:sz="6" w:space="0" w:color="auto"/>
              <w:left w:val="nil" w:sz="6" w:space="0" w:color="auto"/>
              <w:bottom w:val="nil" w:sz="6" w:space="0" w:color="auto"/>
              <w:right w:val="nil" w:sz="6" w:space="0" w:color="auto"/>
            </w:tcBorders>
          </w:tcPr>
          <w:p>
            <w:pPr>
              <w:pStyle w:val="TableParagraph"/>
              <w:spacing w:line="261" w:lineRule="exact"/>
              <w:ind w:left="28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6088" w:type="dxa"/>
            <w:tcBorders>
              <w:top w:val="nil" w:sz="6" w:space="0" w:color="auto"/>
              <w:left w:val="nil" w:sz="6" w:space="0" w:color="auto"/>
              <w:bottom w:val="nil" w:sz="6" w:space="0" w:color="auto"/>
              <w:right w:val="nil" w:sz="6" w:space="0" w:color="auto"/>
            </w:tcBorders>
          </w:tcPr>
          <w:p>
            <w:pPr>
              <w:pStyle w:val="TableParagraph"/>
              <w:tabs>
                <w:tab w:pos="1317" w:val="left" w:leader="none"/>
                <w:tab w:pos="3026" w:val="left" w:leader="none"/>
                <w:tab w:pos="4587" w:val="left" w:leader="none"/>
                <w:tab w:pos="5469"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156,000</w:t>
            </w:r>
            <w:r>
              <w:rPr>
                <w:rFonts w:ascii="Arial"/>
                <w:spacing w:val="-1"/>
                <w:sz w:val="24"/>
              </w:rPr>
              <w:tab/>
            </w:r>
            <w:r>
              <w:rPr>
                <w:rFonts w:ascii="Arial"/>
                <w:spacing w:val="-1"/>
                <w:sz w:val="24"/>
                <w:u w:val="single" w:color="000000"/>
              </w:rPr>
              <w:t> </w:t>
              <w:tab/>
              <w:t>80,000</w:t>
              <w:tab/>
            </w:r>
            <w:r>
              <w:rPr>
                <w:rFonts w:ascii="Arial"/>
                <w:spacing w:val="-1"/>
                <w:sz w:val="24"/>
              </w:rPr>
            </w:r>
          </w:p>
        </w:tc>
      </w:tr>
      <w:tr>
        <w:trPr>
          <w:trHeight w:val="363" w:hRule="exact"/>
        </w:trPr>
        <w:tc>
          <w:tcPr>
            <w:tcW w:w="157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6088" w:type="dxa"/>
            <w:tcBorders>
              <w:top w:val="nil" w:sz="6" w:space="0" w:color="auto"/>
              <w:left w:val="nil" w:sz="6" w:space="0" w:color="auto"/>
              <w:bottom w:val="nil" w:sz="6" w:space="0" w:color="auto"/>
              <w:right w:val="nil" w:sz="6" w:space="0" w:color="auto"/>
            </w:tcBorders>
          </w:tcPr>
          <w:p>
            <w:pPr>
              <w:pStyle w:val="TableParagraph"/>
              <w:tabs>
                <w:tab w:pos="1317" w:val="left" w:leader="none"/>
                <w:tab w:pos="3026" w:val="left" w:leader="none"/>
                <w:tab w:pos="4454" w:val="left" w:leader="none"/>
                <w:tab w:pos="5469"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156,000</w:t>
            </w:r>
            <w:r>
              <w:rPr>
                <w:rFonts w:ascii="Arial"/>
                <w:spacing w:val="-1"/>
                <w:sz w:val="24"/>
              </w:rPr>
              <w:tab/>
            </w:r>
            <w:r>
              <w:rPr>
                <w:rFonts w:ascii="Arial"/>
                <w:spacing w:val="-1"/>
                <w:sz w:val="24"/>
                <w:u w:val="thick" w:color="000000"/>
              </w:rPr>
              <w:t> </w:t>
              <w:tab/>
              <w:t>140,000</w:t>
              <w:tab/>
            </w:r>
            <w:r>
              <w:rPr>
                <w:rFonts w:ascii="Arial"/>
                <w:spacing w:val="-1"/>
                <w:sz w:val="24"/>
              </w:rPr>
            </w:r>
          </w:p>
        </w:tc>
      </w:tr>
    </w:tbl>
    <w:p>
      <w:pPr>
        <w:spacing w:line="240" w:lineRule="auto" w:before="2"/>
        <w:rPr>
          <w:rFonts w:ascii="Arial" w:hAnsi="Arial" w:cs="Arial" w:eastAsia="Arial" w:hint="default"/>
          <w:sz w:val="14"/>
          <w:szCs w:val="14"/>
        </w:rPr>
      </w:pPr>
    </w:p>
    <w:p>
      <w:pPr>
        <w:pStyle w:val="BodyText"/>
        <w:tabs>
          <w:tab w:pos="913" w:val="left" w:leader="none"/>
        </w:tabs>
        <w:spacing w:line="240" w:lineRule="auto" w:before="32"/>
        <w:ind w:left="202" w:right="0"/>
        <w:jc w:val="left"/>
      </w:pPr>
      <w:r>
        <w:rPr>
          <w:rFonts w:ascii="Arial" w:hAnsi="Arial" w:cs="Arial" w:eastAsia="Arial" w:hint="default"/>
          <w:w w:val="95"/>
          <w:position w:val="2"/>
        </w:rPr>
        <w:t>(a)</w:t>
        <w:tab/>
      </w: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日，短期担保借款包括：</w:t>
      </w:r>
    </w:p>
    <w:p>
      <w:pPr>
        <w:spacing w:line="240" w:lineRule="auto" w:before="8"/>
        <w:rPr>
          <w:rFonts w:ascii="宋体" w:hAnsi="宋体" w:cs="宋体" w:eastAsia="宋体" w:hint="default"/>
          <w:sz w:val="19"/>
          <w:szCs w:val="19"/>
        </w:rPr>
      </w:pPr>
    </w:p>
    <w:p>
      <w:pPr>
        <w:pStyle w:val="BodyText"/>
        <w:spacing w:line="322" w:lineRule="exact"/>
        <w:ind w:left="913" w:right="0"/>
        <w:jc w:val="left"/>
      </w:pPr>
      <w:r>
        <w:rPr/>
        <w:t>银行保证借款人民币</w:t>
      </w:r>
      <w:r>
        <w:rPr>
          <w:spacing w:val="-62"/>
        </w:rPr>
        <w:t> </w:t>
      </w:r>
      <w:r>
        <w:rPr>
          <w:rFonts w:ascii="Arial" w:hAnsi="Arial" w:cs="Arial" w:eastAsia="Arial" w:hint="default"/>
        </w:rPr>
        <w:t>1.56</w:t>
      </w:r>
      <w:r>
        <w:rPr>
          <w:rFonts w:ascii="Arial" w:hAnsi="Arial" w:cs="Arial" w:eastAsia="Arial" w:hint="default"/>
          <w:spacing w:val="-9"/>
        </w:rPr>
        <w:t> </w:t>
      </w:r>
      <w:r>
        <w:rPr/>
        <w:t>亿元</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日：人民币</w:t>
      </w:r>
      <w:r>
        <w:rPr>
          <w:spacing w:val="-62"/>
        </w:rPr>
        <w:t> </w:t>
      </w:r>
      <w:r>
        <w:rPr>
          <w:rFonts w:ascii="Arial" w:hAnsi="Arial" w:cs="Arial" w:eastAsia="Arial" w:hint="default"/>
        </w:rPr>
        <w:t>8,000</w:t>
      </w:r>
      <w:r>
        <w:rPr>
          <w:rFonts w:ascii="Arial" w:hAnsi="Arial" w:cs="Arial" w:eastAsia="Arial" w:hint="default"/>
          <w:spacing w:val="-9"/>
        </w:rPr>
        <w:t> </w:t>
      </w:r>
      <w:r>
        <w:rPr/>
        <w:t>万元</w:t>
      </w:r>
      <w:r>
        <w:rPr>
          <w:rFonts w:ascii="Arial" w:hAnsi="Arial" w:cs="Arial" w:eastAsia="Arial" w:hint="default"/>
        </w:rPr>
        <w:t>)</w:t>
      </w:r>
      <w:r>
        <w:rPr/>
        <w:t>，其中人民币</w:t>
      </w:r>
    </w:p>
    <w:p>
      <w:pPr>
        <w:pStyle w:val="BodyText"/>
        <w:spacing w:line="312" w:lineRule="exact"/>
        <w:ind w:left="913" w:right="0"/>
        <w:jc w:val="left"/>
      </w:pPr>
      <w:r>
        <w:rPr>
          <w:rFonts w:ascii="Arial" w:hAnsi="Arial" w:cs="Arial" w:eastAsia="Arial" w:hint="default"/>
        </w:rPr>
        <w:t>4,000</w:t>
      </w:r>
      <w:r>
        <w:rPr>
          <w:rFonts w:ascii="Arial" w:hAnsi="Arial" w:cs="Arial" w:eastAsia="Arial" w:hint="default"/>
          <w:spacing w:val="-9"/>
        </w:rPr>
        <w:t> </w:t>
      </w:r>
      <w:r>
        <w:rPr/>
        <w:t>万元</w:t>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spacing w:val="-14"/>
        </w:rPr>
        <w:t>日：人民币</w:t>
      </w:r>
      <w:r>
        <w:rPr>
          <w:spacing w:val="-62"/>
        </w:rPr>
        <w:t> </w:t>
      </w:r>
      <w:r>
        <w:rPr>
          <w:rFonts w:ascii="Arial" w:hAnsi="Arial" w:cs="Arial" w:eastAsia="Arial" w:hint="default"/>
        </w:rPr>
        <w:t>8,000</w:t>
      </w:r>
      <w:r>
        <w:rPr>
          <w:rFonts w:ascii="Arial" w:hAnsi="Arial" w:cs="Arial" w:eastAsia="Arial" w:hint="default"/>
          <w:spacing w:val="-9"/>
        </w:rPr>
        <w:t> </w:t>
      </w:r>
      <w:r>
        <w:rPr/>
        <w:t>万元</w:t>
      </w:r>
      <w:r>
        <w:rPr>
          <w:rFonts w:ascii="Arial" w:hAnsi="Arial" w:cs="Arial" w:eastAsia="Arial" w:hint="default"/>
        </w:rPr>
        <w:t>)</w:t>
      </w:r>
      <w:r>
        <w:rPr/>
        <w:t>系由本公司股东江苏苏宁电器集团</w:t>
      </w:r>
    </w:p>
    <w:p>
      <w:pPr>
        <w:pStyle w:val="BodyText"/>
        <w:spacing w:line="312" w:lineRule="exact"/>
        <w:ind w:left="913" w:right="0"/>
        <w:jc w:val="left"/>
      </w:pPr>
      <w:r>
        <w:rPr>
          <w:spacing w:val="2"/>
        </w:rPr>
        <w:t>有限公司</w:t>
      </w:r>
      <w:r>
        <w:rPr>
          <w:rFonts w:ascii="Arial" w:hAnsi="Arial" w:cs="Arial" w:eastAsia="Arial" w:hint="default"/>
          <w:spacing w:val="2"/>
        </w:rPr>
        <w:t>(</w:t>
      </w:r>
      <w:r>
        <w:rPr>
          <w:spacing w:val="2"/>
        </w:rPr>
        <w:t>原</w:t>
      </w:r>
      <w:r>
        <w:rPr>
          <w:rFonts w:ascii="Arial" w:hAnsi="Arial" w:cs="Arial" w:eastAsia="Arial" w:hint="default"/>
          <w:spacing w:val="2"/>
        </w:rPr>
        <w:t>“</w:t>
      </w:r>
      <w:r>
        <w:rPr>
          <w:spacing w:val="2"/>
        </w:rPr>
        <w:t>江苏苏宁电器有限公司</w:t>
      </w:r>
      <w:r>
        <w:rPr>
          <w:rFonts w:ascii="Arial" w:hAnsi="Arial" w:cs="Arial" w:eastAsia="Arial" w:hint="default"/>
          <w:spacing w:val="2"/>
        </w:rPr>
        <w:t>”)</w:t>
      </w:r>
      <w:r>
        <w:rPr>
          <w:spacing w:val="2"/>
        </w:rPr>
        <w:t>提供保证</w:t>
      </w:r>
      <w:r>
        <w:rPr>
          <w:rFonts w:ascii="Arial" w:hAnsi="Arial" w:cs="Arial" w:eastAsia="Arial" w:hint="default"/>
          <w:spacing w:val="2"/>
        </w:rPr>
        <w:t>(</w:t>
      </w:r>
      <w:r>
        <w:rPr>
          <w:spacing w:val="2"/>
        </w:rPr>
        <w:t>附注八</w:t>
      </w:r>
      <w:r>
        <w:rPr>
          <w:rFonts w:ascii="Arial" w:hAnsi="Arial" w:cs="Arial" w:eastAsia="Arial" w:hint="default"/>
          <w:spacing w:val="2"/>
        </w:rPr>
        <w:t>(3)(d))</w:t>
      </w:r>
      <w:r>
        <w:rPr>
          <w:spacing w:val="2"/>
        </w:rPr>
        <w:t>，其余人民币 </w:t>
      </w:r>
      <w:r>
        <w:rPr>
          <w:rFonts w:ascii="Arial" w:hAnsi="Arial" w:cs="Arial" w:eastAsia="Arial" w:hint="default"/>
        </w:rPr>
        <w:t>1.16</w:t>
      </w:r>
      <w:r>
        <w:rPr>
          <w:rFonts w:ascii="Arial" w:hAnsi="Arial" w:cs="Arial" w:eastAsia="Arial" w:hint="default"/>
          <w:spacing w:val="61"/>
        </w:rPr>
        <w:t> </w:t>
      </w:r>
      <w:r>
        <w:rPr/>
        <w:t>亿元</w:t>
      </w:r>
    </w:p>
    <w:p>
      <w:pPr>
        <w:pStyle w:val="BodyText"/>
        <w:spacing w:line="322" w:lineRule="exact"/>
        <w:ind w:left="913" w:right="0"/>
        <w:jc w:val="left"/>
      </w:pP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日：无</w:t>
      </w:r>
      <w:r>
        <w:rPr>
          <w:rFonts w:ascii="Arial" w:hAnsi="Arial" w:cs="Arial" w:eastAsia="Arial" w:hint="default"/>
        </w:rPr>
        <w:t>)</w:t>
      </w:r>
      <w:r>
        <w:rPr/>
        <w:t>系由本公司为下属子公司提供保证。</w:t>
      </w:r>
    </w:p>
    <w:p>
      <w:pPr>
        <w:spacing w:line="240" w:lineRule="auto" w:before="8"/>
        <w:rPr>
          <w:rFonts w:ascii="宋体" w:hAnsi="宋体" w:cs="宋体" w:eastAsia="宋体" w:hint="default"/>
          <w:sz w:val="19"/>
          <w:szCs w:val="19"/>
        </w:rPr>
      </w:pPr>
    </w:p>
    <w:p>
      <w:pPr>
        <w:pStyle w:val="BodyText"/>
        <w:spacing w:line="240" w:lineRule="auto"/>
        <w:ind w:left="913" w:right="0"/>
        <w:jc w:val="left"/>
      </w:pPr>
      <w:r>
        <w:rPr>
          <w:rFonts w:ascii="Arial" w:hAnsi="Arial" w:cs="Arial" w:eastAsia="Arial" w:hint="default"/>
        </w:rPr>
        <w:t>2008</w:t>
      </w:r>
      <w:r>
        <w:rPr>
          <w:rFonts w:ascii="Arial" w:hAnsi="Arial" w:cs="Arial" w:eastAsia="Arial" w:hint="default"/>
          <w:spacing w:val="-13"/>
        </w:rPr>
        <w:t> </w:t>
      </w:r>
      <w:r>
        <w:rPr/>
        <w:t>年度短期借款的加权平均年利率为</w:t>
      </w:r>
      <w:r>
        <w:rPr>
          <w:spacing w:val="-66"/>
        </w:rPr>
        <w:t> </w:t>
      </w:r>
      <w:r>
        <w:rPr>
          <w:rFonts w:ascii="Arial" w:hAnsi="Arial" w:cs="Arial" w:eastAsia="Arial" w:hint="default"/>
        </w:rPr>
        <w:t>7.06%(2007</w:t>
      </w:r>
      <w:r>
        <w:rPr>
          <w:rFonts w:ascii="Arial" w:hAnsi="Arial" w:cs="Arial" w:eastAsia="Arial" w:hint="default"/>
          <w:spacing w:val="-13"/>
        </w:rPr>
        <w:t> </w:t>
      </w:r>
      <w:r>
        <w:rPr/>
        <w:t>年度：</w:t>
      </w:r>
      <w:r>
        <w:rPr>
          <w:rFonts w:ascii="Arial" w:hAnsi="Arial" w:cs="Arial" w:eastAsia="Arial" w:hint="default"/>
        </w:rPr>
        <w:t>6.23%)</w:t>
      </w:r>
      <w:r>
        <w:rPr/>
        <w:t>。</w:t>
      </w:r>
    </w:p>
    <w:p>
      <w:pPr>
        <w:spacing w:after="0" w:line="240" w:lineRule="auto"/>
        <w:jc w:val="left"/>
        <w:sectPr>
          <w:headerReference w:type="default" r:id="rId20"/>
          <w:footerReference w:type="default" r:id="rId21"/>
          <w:pgSz w:w="11910" w:h="16840"/>
          <w:pgMar w:header="752" w:footer="707" w:top="1020" w:bottom="900" w:left="840" w:right="820"/>
          <w:pgNumType w:start="123"/>
        </w:sectPr>
      </w:pPr>
    </w:p>
    <w:p>
      <w:pPr>
        <w:spacing w:line="240" w:lineRule="auto" w:before="0"/>
        <w:rPr>
          <w:rFonts w:ascii="宋体" w:hAnsi="宋体" w:cs="宋体" w:eastAsia="宋体" w:hint="default"/>
          <w:sz w:val="20"/>
          <w:szCs w:val="20"/>
        </w:rPr>
      </w:pPr>
    </w:p>
    <w:p>
      <w:pPr>
        <w:pStyle w:val="Heading2"/>
        <w:tabs>
          <w:tab w:pos="813" w:val="left" w:leader="none"/>
        </w:tabs>
        <w:spacing w:line="240" w:lineRule="auto" w:before="158"/>
        <w:ind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77" w:val="left" w:leader="none"/>
        </w:tabs>
        <w:spacing w:before="0"/>
        <w:ind w:left="16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应付票据</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BodyText"/>
        <w:tabs>
          <w:tab w:pos="7870" w:val="left" w:leader="none"/>
        </w:tabs>
        <w:spacing w:line="322" w:lineRule="exact" w:before="26"/>
        <w:ind w:left="4859"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668" w:val="left" w:leader="none"/>
        </w:tabs>
        <w:spacing w:line="322" w:lineRule="exact"/>
        <w:ind w:left="5657"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4650" w:val="left" w:leader="none"/>
          <w:tab w:pos="5879" w:val="left" w:leader="none"/>
          <w:tab w:pos="7642" w:val="left" w:leader="none"/>
          <w:tab w:pos="8889" w:val="left" w:leader="none"/>
          <w:tab w:pos="10059" w:val="left" w:leader="none"/>
        </w:tabs>
        <w:spacing w:line="240" w:lineRule="auto"/>
        <w:ind w:left="877" w:right="0"/>
        <w:jc w:val="left"/>
        <w:rPr>
          <w:rFonts w:ascii="Arial" w:hAnsi="Arial" w:cs="Arial" w:eastAsia="Arial" w:hint="default"/>
        </w:rPr>
      </w:pPr>
      <w:r>
        <w:rPr>
          <w:position w:val="2"/>
        </w:rPr>
        <w:t>银行承兑汇票</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7,096,536</w:t>
      </w:r>
      <w:r>
        <w:rPr>
          <w:rFonts w:ascii="Arial" w:hAnsi="Arial" w:cs="Arial" w:eastAsia="Arial" w:hint="default"/>
          <w:spacing w:val="-1"/>
        </w:rPr>
        <w:tab/>
      </w:r>
      <w:r>
        <w:rPr>
          <w:rFonts w:ascii="Arial" w:hAnsi="Arial" w:cs="Arial" w:eastAsia="Arial" w:hint="default"/>
          <w:spacing w:val="-1"/>
          <w:u w:val="thick" w:color="000000"/>
        </w:rPr>
        <w:t> </w:t>
        <w:tab/>
        <w:t>6,582,678</w:t>
        <w:tab/>
      </w:r>
      <w:r>
        <w:rPr>
          <w:rFonts w:ascii="Arial" w:hAnsi="Arial" w:cs="Arial" w:eastAsia="Arial" w:hint="default"/>
          <w:spacing w:val="-1"/>
        </w:rPr>
      </w:r>
    </w:p>
    <w:p>
      <w:pPr>
        <w:spacing w:line="240" w:lineRule="auto" w:before="1"/>
        <w:rPr>
          <w:rFonts w:ascii="Arial" w:hAnsi="Arial" w:cs="Arial" w:eastAsia="Arial" w:hint="default"/>
          <w:sz w:val="21"/>
          <w:szCs w:val="21"/>
        </w:rPr>
      </w:pPr>
    </w:p>
    <w:p>
      <w:pPr>
        <w:pStyle w:val="BodyText"/>
        <w:spacing w:line="322" w:lineRule="exact" w:before="26"/>
        <w:ind w:left="878" w:right="0"/>
        <w:jc w:val="both"/>
      </w:pPr>
      <w:r>
        <w:rPr/>
        <w:t>于</w:t>
      </w:r>
      <w:r>
        <w:rPr>
          <w:spacing w:val="-66"/>
        </w:rPr>
        <w:t> </w:t>
      </w:r>
      <w:r>
        <w:rPr>
          <w:rFonts w:ascii="Arial" w:hAnsi="Arial" w:cs="Arial" w:eastAsia="Arial" w:hint="default"/>
        </w:rPr>
        <w:t>2008</w:t>
      </w:r>
      <w:r>
        <w:rPr>
          <w:rFonts w:ascii="Arial" w:hAnsi="Arial" w:cs="Arial" w:eastAsia="Arial" w:hint="default"/>
          <w:spacing w:val="-13"/>
        </w:rPr>
        <w:t> </w:t>
      </w:r>
      <w:r>
        <w:rPr/>
        <w:t>年</w:t>
      </w:r>
      <w:r>
        <w:rPr>
          <w:spacing w:val="-65"/>
        </w:rPr>
        <w:t> </w:t>
      </w:r>
      <w:r>
        <w:rPr>
          <w:rFonts w:ascii="Arial" w:hAnsi="Arial" w:cs="Arial" w:eastAsia="Arial" w:hint="default"/>
        </w:rPr>
        <w:t>12</w:t>
      </w:r>
      <w:r>
        <w:rPr>
          <w:rFonts w:ascii="Arial" w:hAnsi="Arial" w:cs="Arial" w:eastAsia="Arial" w:hint="default"/>
          <w:spacing w:val="-13"/>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日，本集团开立的银行承兑汇票以存于银行的汇票保证金约人民币</w:t>
      </w:r>
    </w:p>
    <w:p>
      <w:pPr>
        <w:pStyle w:val="BodyText"/>
        <w:spacing w:line="322" w:lineRule="exact"/>
        <w:ind w:left="877" w:right="0"/>
        <w:jc w:val="both"/>
      </w:pPr>
      <w:r>
        <w:rPr>
          <w:rFonts w:ascii="Arial" w:hAnsi="Arial" w:cs="Arial" w:eastAsia="Arial" w:hint="default"/>
        </w:rPr>
        <w:t>36.3</w:t>
      </w:r>
      <w:r>
        <w:rPr>
          <w:rFonts w:ascii="Arial" w:hAnsi="Arial" w:cs="Arial" w:eastAsia="Arial" w:hint="default"/>
          <w:spacing w:val="-10"/>
        </w:rPr>
        <w:t> </w:t>
      </w:r>
      <w:r>
        <w:rPr/>
        <w:t>亿元</w:t>
      </w:r>
      <w:r>
        <w:rPr>
          <w:rFonts w:ascii="Arial" w:hAnsi="Arial" w:cs="Arial" w:eastAsia="Arial" w:hint="default"/>
        </w:rPr>
        <w:t>(2007</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日：共约人民币</w:t>
      </w:r>
      <w:r>
        <w:rPr>
          <w:spacing w:val="-63"/>
        </w:rPr>
        <w:t> </w:t>
      </w:r>
      <w:r>
        <w:rPr>
          <w:rFonts w:ascii="Arial" w:hAnsi="Arial" w:cs="Arial" w:eastAsia="Arial" w:hint="default"/>
        </w:rPr>
        <w:t>39.6</w:t>
      </w:r>
      <w:r>
        <w:rPr>
          <w:rFonts w:ascii="Arial" w:hAnsi="Arial" w:cs="Arial" w:eastAsia="Arial" w:hint="default"/>
          <w:spacing w:val="-10"/>
        </w:rPr>
        <w:t> </w:t>
      </w:r>
      <w:r>
        <w:rPr/>
        <w:t>亿元</w:t>
      </w:r>
      <w:r>
        <w:rPr>
          <w:rFonts w:ascii="Arial" w:hAnsi="Arial" w:cs="Arial" w:eastAsia="Arial" w:hint="default"/>
        </w:rPr>
        <w:t>)(</w:t>
      </w:r>
      <w:r>
        <w:rPr/>
        <w:t>附注七</w:t>
      </w:r>
      <w:r>
        <w:rPr>
          <w:rFonts w:ascii="Arial" w:hAnsi="Arial" w:cs="Arial" w:eastAsia="Arial" w:hint="default"/>
        </w:rPr>
        <w:t>(1))</w:t>
      </w:r>
      <w:r>
        <w:rPr/>
        <w:t>作为质押保证。</w:t>
      </w:r>
    </w:p>
    <w:p>
      <w:pPr>
        <w:spacing w:line="240" w:lineRule="auto" w:before="13"/>
        <w:rPr>
          <w:rFonts w:ascii="宋体" w:hAnsi="宋体" w:cs="宋体" w:eastAsia="宋体" w:hint="default"/>
          <w:sz w:val="21"/>
          <w:szCs w:val="21"/>
        </w:rPr>
      </w:pPr>
    </w:p>
    <w:p>
      <w:pPr>
        <w:pStyle w:val="BodyText"/>
        <w:spacing w:line="312" w:lineRule="exact"/>
        <w:ind w:left="877" w:right="199"/>
        <w:jc w:val="both"/>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8"/>
        </w:rPr>
        <w:t>日，约人民币</w:t>
      </w:r>
      <w:r>
        <w:rPr>
          <w:spacing w:val="-62"/>
        </w:rPr>
        <w:t> </w:t>
      </w:r>
      <w:r>
        <w:rPr>
          <w:rFonts w:ascii="Arial" w:hAnsi="Arial" w:cs="Arial" w:eastAsia="Arial" w:hint="default"/>
        </w:rPr>
        <w:t>4.09</w:t>
      </w:r>
      <w:r>
        <w:rPr>
          <w:rFonts w:ascii="Arial" w:hAnsi="Arial" w:cs="Arial" w:eastAsia="Arial" w:hint="default"/>
          <w:spacing w:val="-8"/>
        </w:rPr>
        <w:t> </w:t>
      </w:r>
      <w:r>
        <w:rPr/>
        <w:t>亿元</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8"/>
        </w:rPr>
        <w:t>日：约人民币</w:t>
      </w:r>
      <w:r>
        <w:rPr>
          <w:spacing w:val="-61"/>
        </w:rPr>
        <w:t> </w:t>
      </w:r>
      <w:r>
        <w:rPr>
          <w:rFonts w:ascii="Arial" w:hAnsi="Arial" w:cs="Arial" w:eastAsia="Arial" w:hint="default"/>
        </w:rPr>
        <w:t>1.36</w:t>
      </w:r>
      <w:r>
        <w:rPr>
          <w:rFonts w:ascii="Arial" w:hAnsi="Arial" w:cs="Arial" w:eastAsia="Arial" w:hint="default"/>
          <w:spacing w:val="-8"/>
        </w:rPr>
        <w:t> </w:t>
      </w:r>
      <w:r>
        <w:rPr/>
        <w:t>亿元</w:t>
      </w:r>
      <w:r>
        <w:rPr>
          <w:rFonts w:ascii="Arial" w:hAnsi="Arial" w:cs="Arial" w:eastAsia="Arial" w:hint="default"/>
        </w:rPr>
        <w:t>) </w:t>
      </w:r>
      <w:r>
        <w:rPr>
          <w:spacing w:val="3"/>
        </w:rPr>
        <w:t>的银行承兑汇票以本公司股东江苏苏宁电器集团有限公司提供的担保作为保证</w:t>
      </w:r>
      <w:r>
        <w:rPr>
          <w:rFonts w:ascii="Arial" w:hAnsi="Arial" w:cs="Arial" w:eastAsia="Arial" w:hint="default"/>
          <w:spacing w:val="3"/>
        </w:rPr>
        <w:t>(</w:t>
      </w:r>
      <w:r>
        <w:rPr>
          <w:spacing w:val="3"/>
        </w:rPr>
        <w:t>附注八</w:t>
      </w:r>
      <w:r>
        <w:rPr>
          <w:spacing w:val="-118"/>
        </w:rPr>
        <w:t> </w:t>
      </w:r>
      <w:r>
        <w:rPr>
          <w:rFonts w:ascii="Arial" w:hAnsi="Arial" w:cs="Arial" w:eastAsia="Arial" w:hint="default"/>
        </w:rPr>
        <w:t>(3)(d))</w:t>
      </w:r>
      <w:r>
        <w:rPr/>
        <w:t>。</w:t>
      </w:r>
    </w:p>
    <w:p>
      <w:pPr>
        <w:spacing w:line="240" w:lineRule="auto" w:before="10"/>
        <w:rPr>
          <w:rFonts w:ascii="宋体" w:hAnsi="宋体" w:cs="宋体" w:eastAsia="宋体" w:hint="default"/>
          <w:sz w:val="18"/>
          <w:szCs w:val="18"/>
        </w:rPr>
      </w:pPr>
    </w:p>
    <w:p>
      <w:pPr>
        <w:pStyle w:val="BodyText"/>
        <w:spacing w:line="240" w:lineRule="auto"/>
        <w:ind w:left="877" w:right="0"/>
        <w:jc w:val="both"/>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日，银行承兑汇票余额全部将在</w:t>
      </w:r>
      <w:r>
        <w:rPr>
          <w:spacing w:val="-62"/>
        </w:rPr>
        <w:t> </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6</w:t>
      </w:r>
      <w:r>
        <w:rPr>
          <w:rFonts w:ascii="Arial" w:hAnsi="Arial" w:cs="Arial" w:eastAsia="Arial" w:hint="default"/>
          <w:spacing w:val="-8"/>
        </w:rPr>
        <w:t> </w:t>
      </w:r>
      <w:r>
        <w:rPr/>
        <w:t>月</w:t>
      </w:r>
      <w:r>
        <w:rPr>
          <w:spacing w:val="-61"/>
        </w:rPr>
        <w:t> </w:t>
      </w:r>
      <w:r>
        <w:rPr>
          <w:rFonts w:ascii="Arial" w:hAnsi="Arial" w:cs="Arial" w:eastAsia="Arial" w:hint="default"/>
        </w:rPr>
        <w:t>30</w:t>
      </w:r>
      <w:r>
        <w:rPr>
          <w:rFonts w:ascii="Arial" w:hAnsi="Arial" w:cs="Arial" w:eastAsia="Arial" w:hint="default"/>
          <w:spacing w:val="-8"/>
        </w:rPr>
        <w:t> </w:t>
      </w:r>
      <w:r>
        <w:rPr/>
        <w:t>日之前到期。</w:t>
      </w:r>
    </w:p>
    <w:p>
      <w:pPr>
        <w:spacing w:line="240" w:lineRule="auto" w:before="13"/>
        <w:rPr>
          <w:rFonts w:ascii="宋体" w:hAnsi="宋体" w:cs="宋体" w:eastAsia="宋体" w:hint="default"/>
          <w:sz w:val="16"/>
          <w:szCs w:val="16"/>
        </w:rPr>
      </w:pPr>
    </w:p>
    <w:p>
      <w:pPr>
        <w:tabs>
          <w:tab w:pos="881" w:val="left" w:leader="none"/>
        </w:tabs>
        <w:spacing w:before="0"/>
        <w:ind w:left="16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(15)</w:t>
        <w:tab/>
      </w:r>
      <w:r>
        <w:rPr>
          <w:rFonts w:ascii="宋体" w:hAnsi="宋体" w:cs="宋体" w:eastAsia="宋体" w:hint="default"/>
          <w:b/>
          <w:bCs/>
          <w:sz w:val="24"/>
          <w:szCs w:val="24"/>
        </w:rPr>
        <w:t>应付账款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22" w:lineRule="exact"/>
        <w:ind w:left="881" w:right="0"/>
        <w:jc w:val="both"/>
        <w:rPr>
          <w:rFonts w:ascii="Arial" w:hAnsi="Arial" w:cs="Arial" w:eastAsia="Arial" w:hint="default"/>
        </w:rPr>
      </w:pPr>
      <w:r>
        <w:rPr/>
        <w:t>于</w:t>
      </w:r>
      <w:r>
        <w:rPr>
          <w:spacing w:val="-69"/>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16"/>
        </w:rPr>
        <w:t> </w:t>
      </w:r>
      <w:r>
        <w:rPr/>
        <w:t>年</w:t>
      </w:r>
      <w:r>
        <w:rPr>
          <w:spacing w:val="-6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6"/>
        </w:rPr>
        <w:t> </w:t>
      </w:r>
      <w:r>
        <w:rPr/>
        <w:t>月</w:t>
      </w:r>
      <w:r>
        <w:rPr>
          <w:spacing w:val="-69"/>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6"/>
        </w:rPr>
        <w:t> </w:t>
      </w:r>
      <w:r>
        <w:rPr/>
        <w:t>日及</w:t>
      </w:r>
      <w:r>
        <w:rPr>
          <w:spacing w:val="-69"/>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6"/>
        </w:rPr>
        <w:t> </w:t>
      </w:r>
      <w:r>
        <w:rPr/>
        <w:t>年</w:t>
      </w:r>
      <w:r>
        <w:rPr>
          <w:spacing w:val="-6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6"/>
        </w:rPr>
        <w:t> </w:t>
      </w:r>
      <w:r>
        <w:rPr/>
        <w:t>月</w:t>
      </w:r>
      <w:r>
        <w:rPr>
          <w:spacing w:val="-69"/>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6"/>
        </w:rPr>
        <w:t> </w:t>
      </w:r>
      <w:r>
        <w:rPr/>
        <w:t>日</w:t>
      </w:r>
      <w:r>
        <w:rPr>
          <w:spacing w:val="-120"/>
        </w:rPr>
        <w:t>，</w:t>
      </w:r>
      <w:r>
        <w:rPr/>
        <w:t>应付账款中无应付持有本公司</w:t>
      </w:r>
      <w:r>
        <w:rPr>
          <w:spacing w:val="-69"/>
        </w:rPr>
        <w:t> </w:t>
      </w:r>
      <w:r>
        <w:rPr>
          <w:rFonts w:ascii="Arial" w:hAnsi="Arial" w:cs="Arial" w:eastAsia="Arial" w:hint="default"/>
          <w:spacing w:val="-1"/>
          <w:w w:val="99"/>
        </w:rPr>
        <w:t>5%</w:t>
      </w:r>
      <w:r>
        <w:rPr>
          <w:rFonts w:ascii="Arial" w:hAnsi="Arial" w:cs="Arial" w:eastAsia="Arial" w:hint="default"/>
          <w:w w:val="99"/>
        </w:rPr>
        <w:t>(</w:t>
      </w:r>
      <w:r>
        <w:rPr/>
        <w:t>含</w:t>
      </w:r>
      <w:r>
        <w:rPr>
          <w:spacing w:val="-69"/>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81" w:right="0"/>
        <w:jc w:val="both"/>
      </w:pPr>
      <w:r>
        <w:rPr/>
        <w:t>以上表决权股份的股东的款项。</w:t>
      </w:r>
    </w:p>
    <w:p>
      <w:pPr>
        <w:spacing w:line="240" w:lineRule="auto" w:before="12"/>
        <w:rPr>
          <w:rFonts w:ascii="宋体" w:hAnsi="宋体" w:cs="宋体" w:eastAsia="宋体" w:hint="default"/>
          <w:sz w:val="20"/>
          <w:szCs w:val="20"/>
        </w:rPr>
      </w:pPr>
    </w:p>
    <w:p>
      <w:pPr>
        <w:pStyle w:val="BodyText"/>
        <w:spacing w:line="322" w:lineRule="exact"/>
        <w:ind w:left="881" w:right="0"/>
        <w:jc w:val="both"/>
        <w:rPr>
          <w:rFonts w:ascii="Arial" w:hAnsi="Arial" w:cs="Arial" w:eastAsia="Arial" w:hint="default"/>
        </w:rPr>
      </w:pPr>
      <w:r>
        <w:rPr/>
        <w:t>于</w:t>
      </w:r>
      <w:r>
        <w:rPr>
          <w:spacing w:val="-43"/>
        </w:rPr>
        <w:t> </w:t>
      </w:r>
      <w:r>
        <w:rPr>
          <w:rFonts w:ascii="Arial" w:hAnsi="Arial" w:cs="Arial" w:eastAsia="Arial" w:hint="default"/>
        </w:rPr>
        <w:t>2008</w:t>
      </w:r>
      <w:r>
        <w:rPr>
          <w:rFonts w:ascii="Arial" w:hAnsi="Arial" w:cs="Arial" w:eastAsia="Arial" w:hint="default"/>
          <w:spacing w:val="11"/>
        </w:rPr>
        <w:t> </w:t>
      </w:r>
      <w:r>
        <w:rPr/>
        <w:t>年</w:t>
      </w:r>
      <w:r>
        <w:rPr>
          <w:spacing w:val="-43"/>
        </w:rPr>
        <w:t> </w:t>
      </w:r>
      <w:r>
        <w:rPr>
          <w:rFonts w:ascii="Arial" w:hAnsi="Arial" w:cs="Arial" w:eastAsia="Arial" w:hint="default"/>
        </w:rPr>
        <w:t>12</w:t>
      </w:r>
      <w:r>
        <w:rPr>
          <w:rFonts w:ascii="Arial" w:hAnsi="Arial" w:cs="Arial" w:eastAsia="Arial" w:hint="default"/>
          <w:spacing w:val="10"/>
        </w:rPr>
        <w:t> </w:t>
      </w:r>
      <w:r>
        <w:rPr/>
        <w:t>月</w:t>
      </w:r>
      <w:r>
        <w:rPr>
          <w:spacing w:val="-43"/>
        </w:rPr>
        <w:t> </w:t>
      </w:r>
      <w:r>
        <w:rPr>
          <w:rFonts w:ascii="Arial" w:hAnsi="Arial" w:cs="Arial" w:eastAsia="Arial" w:hint="default"/>
        </w:rPr>
        <w:t>31</w:t>
      </w:r>
      <w:r>
        <w:rPr>
          <w:rFonts w:ascii="Arial" w:hAnsi="Arial" w:cs="Arial" w:eastAsia="Arial" w:hint="default"/>
          <w:spacing w:val="10"/>
        </w:rPr>
        <w:t> </w:t>
      </w:r>
      <w:r>
        <w:rPr/>
        <w:t>日，账龄超过一年的应付账款约为人民币</w:t>
      </w:r>
      <w:r>
        <w:rPr>
          <w:spacing w:val="-43"/>
        </w:rPr>
        <w:t> </w:t>
      </w:r>
      <w:r>
        <w:rPr>
          <w:rFonts w:ascii="Arial" w:hAnsi="Arial" w:cs="Arial" w:eastAsia="Arial" w:hint="default"/>
        </w:rPr>
        <w:t>4,179</w:t>
      </w:r>
      <w:r>
        <w:rPr>
          <w:rFonts w:ascii="Arial" w:hAnsi="Arial" w:cs="Arial" w:eastAsia="Arial" w:hint="default"/>
          <w:spacing w:val="10"/>
        </w:rPr>
        <w:t> </w:t>
      </w:r>
      <w:r>
        <w:rPr/>
        <w:t>万元</w:t>
      </w:r>
      <w:r>
        <w:rPr>
          <w:rFonts w:ascii="Arial" w:hAnsi="Arial" w:cs="Arial" w:eastAsia="Arial" w:hint="default"/>
        </w:rPr>
        <w:t>(2007</w:t>
      </w:r>
      <w:r>
        <w:rPr>
          <w:rFonts w:ascii="Arial" w:hAnsi="Arial" w:cs="Arial" w:eastAsia="Arial" w:hint="default"/>
          <w:spacing w:val="10"/>
        </w:rPr>
        <w:t> </w:t>
      </w:r>
      <w:r>
        <w:rPr/>
        <w:t>年</w:t>
      </w:r>
      <w:r>
        <w:rPr>
          <w:spacing w:val="-42"/>
        </w:rPr>
        <w:t> </w:t>
      </w:r>
      <w:r>
        <w:rPr>
          <w:rFonts w:ascii="Arial" w:hAnsi="Arial" w:cs="Arial" w:eastAsia="Arial" w:hint="default"/>
        </w:rPr>
        <w:t>12</w:t>
      </w:r>
    </w:p>
    <w:p>
      <w:pPr>
        <w:pStyle w:val="BodyText"/>
        <w:spacing w:line="312" w:lineRule="exact" w:before="21"/>
        <w:ind w:left="881" w:right="165"/>
        <w:jc w:val="left"/>
      </w:pP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日：约人民币</w:t>
      </w:r>
      <w:r>
        <w:rPr>
          <w:spacing w:val="-60"/>
        </w:rPr>
        <w:t> </w:t>
      </w:r>
      <w:r>
        <w:rPr>
          <w:rFonts w:ascii="Arial" w:hAnsi="Arial" w:cs="Arial" w:eastAsia="Arial" w:hint="default"/>
        </w:rPr>
        <w:t>3,635</w:t>
      </w:r>
      <w:r>
        <w:rPr>
          <w:rFonts w:ascii="Arial" w:hAnsi="Arial" w:cs="Arial" w:eastAsia="Arial" w:hint="default"/>
          <w:spacing w:val="-7"/>
        </w:rPr>
        <w:t> </w:t>
      </w:r>
      <w:r>
        <w:rPr/>
        <w:t>万元</w:t>
      </w:r>
      <w:r>
        <w:rPr>
          <w:rFonts w:ascii="Arial" w:hAnsi="Arial" w:cs="Arial" w:eastAsia="Arial" w:hint="default"/>
        </w:rPr>
        <w:t>)</w:t>
      </w:r>
      <w:r>
        <w:rPr>
          <w:rFonts w:ascii="Arial" w:hAnsi="Arial" w:cs="Arial" w:eastAsia="Arial" w:hint="default"/>
          <w:spacing w:val="32"/>
        </w:rPr>
        <w:t> </w:t>
      </w:r>
      <w:r>
        <w:rPr>
          <w:spacing w:val="-3"/>
        </w:rPr>
        <w:t>，主要为以前年度滚存的供应商货款，供应商未及时与</w:t>
      </w:r>
      <w:r>
        <w:rPr/>
        <w:t> 本集团进行结算。</w:t>
      </w:r>
    </w:p>
    <w:p>
      <w:pPr>
        <w:spacing w:line="240" w:lineRule="auto" w:before="10"/>
        <w:rPr>
          <w:rFonts w:ascii="宋体" w:hAnsi="宋体" w:cs="宋体" w:eastAsia="宋体" w:hint="default"/>
          <w:sz w:val="18"/>
          <w:szCs w:val="18"/>
        </w:rPr>
      </w:pPr>
    </w:p>
    <w:p>
      <w:pPr>
        <w:pStyle w:val="BodyText"/>
        <w:spacing w:line="240" w:lineRule="auto"/>
        <w:ind w:left="881" w:right="0"/>
        <w:jc w:val="both"/>
      </w:pPr>
      <w:r>
        <w:rPr/>
        <w:t>本集团的应付账款均为人民币余额。</w:t>
      </w:r>
    </w:p>
    <w:p>
      <w:pPr>
        <w:spacing w:line="240" w:lineRule="auto" w:before="12"/>
        <w:rPr>
          <w:rFonts w:ascii="宋体" w:hAnsi="宋体" w:cs="宋体" w:eastAsia="宋体" w:hint="default"/>
          <w:sz w:val="20"/>
          <w:szCs w:val="20"/>
        </w:rPr>
      </w:pPr>
    </w:p>
    <w:p>
      <w:pPr>
        <w:tabs>
          <w:tab w:pos="881" w:val="left" w:leader="none"/>
        </w:tabs>
        <w:spacing w:before="0"/>
        <w:ind w:left="16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(16)</w:t>
        <w:tab/>
      </w:r>
      <w:r>
        <w:rPr>
          <w:rFonts w:ascii="宋体" w:hAnsi="宋体" w:cs="宋体" w:eastAsia="宋体" w:hint="default"/>
          <w:b/>
          <w:bCs/>
          <w:sz w:val="24"/>
          <w:szCs w:val="24"/>
        </w:rPr>
        <w:t>预收款项</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22" w:lineRule="exact"/>
        <w:ind w:left="881" w:right="0"/>
        <w:jc w:val="both"/>
        <w:rPr>
          <w:rFonts w:ascii="Arial" w:hAnsi="Arial" w:cs="Arial" w:eastAsia="Arial" w:hint="default"/>
        </w:rPr>
      </w:pPr>
      <w:r>
        <w:rPr/>
        <w:t>于</w:t>
      </w:r>
      <w:r>
        <w:rPr>
          <w:spacing w:val="-69"/>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16"/>
        </w:rPr>
        <w:t> </w:t>
      </w:r>
      <w:r>
        <w:rPr/>
        <w:t>年</w:t>
      </w:r>
      <w:r>
        <w:rPr>
          <w:spacing w:val="-6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6"/>
        </w:rPr>
        <w:t> </w:t>
      </w:r>
      <w:r>
        <w:rPr/>
        <w:t>月</w:t>
      </w:r>
      <w:r>
        <w:rPr>
          <w:spacing w:val="-69"/>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6"/>
        </w:rPr>
        <w:t> </w:t>
      </w:r>
      <w:r>
        <w:rPr/>
        <w:t>日及</w:t>
      </w:r>
      <w:r>
        <w:rPr>
          <w:spacing w:val="-69"/>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6"/>
        </w:rPr>
        <w:t> </w:t>
      </w:r>
      <w:r>
        <w:rPr/>
        <w:t>年</w:t>
      </w:r>
      <w:r>
        <w:rPr>
          <w:spacing w:val="-6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6"/>
        </w:rPr>
        <w:t> </w:t>
      </w:r>
      <w:r>
        <w:rPr/>
        <w:t>月</w:t>
      </w:r>
      <w:r>
        <w:rPr>
          <w:spacing w:val="-69"/>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6"/>
        </w:rPr>
        <w:t> </w:t>
      </w:r>
      <w:r>
        <w:rPr/>
        <w:t>日</w:t>
      </w:r>
      <w:r>
        <w:rPr>
          <w:spacing w:val="-120"/>
        </w:rPr>
        <w:t>，</w:t>
      </w:r>
      <w:r>
        <w:rPr/>
        <w:t>预收款项中无预收持有本公司</w:t>
      </w:r>
      <w:r>
        <w:rPr>
          <w:spacing w:val="-69"/>
        </w:rPr>
        <w:t> </w:t>
      </w:r>
      <w:r>
        <w:rPr>
          <w:rFonts w:ascii="Arial" w:hAnsi="Arial" w:cs="Arial" w:eastAsia="Arial" w:hint="default"/>
          <w:spacing w:val="-1"/>
          <w:w w:val="99"/>
        </w:rPr>
        <w:t>5%</w:t>
      </w:r>
      <w:r>
        <w:rPr>
          <w:rFonts w:ascii="Arial" w:hAnsi="Arial" w:cs="Arial" w:eastAsia="Arial" w:hint="default"/>
          <w:w w:val="99"/>
        </w:rPr>
        <w:t>(</w:t>
      </w:r>
      <w:r>
        <w:rPr/>
        <w:t>含</w:t>
      </w:r>
      <w:r>
        <w:rPr>
          <w:spacing w:val="-69"/>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81" w:right="0"/>
        <w:jc w:val="both"/>
      </w:pPr>
      <w:r>
        <w:rPr/>
        <w:t>以上表决权股份的股东的款项。</w:t>
      </w:r>
    </w:p>
    <w:p>
      <w:pPr>
        <w:spacing w:line="240" w:lineRule="auto" w:before="12"/>
        <w:rPr>
          <w:rFonts w:ascii="宋体" w:hAnsi="宋体" w:cs="宋体" w:eastAsia="宋体" w:hint="default"/>
          <w:sz w:val="20"/>
          <w:szCs w:val="20"/>
        </w:rPr>
      </w:pPr>
    </w:p>
    <w:p>
      <w:pPr>
        <w:pStyle w:val="BodyText"/>
        <w:spacing w:line="322" w:lineRule="exact"/>
        <w:ind w:left="881" w:right="0"/>
        <w:jc w:val="both"/>
      </w:pPr>
      <w:r>
        <w:rPr/>
        <w:t>于</w:t>
      </w:r>
      <w:r>
        <w:rPr>
          <w:spacing w:val="-54"/>
        </w:rPr>
        <w:t> </w:t>
      </w:r>
      <w:r>
        <w:rPr>
          <w:rFonts w:ascii="Arial" w:hAnsi="Arial" w:cs="Arial" w:eastAsia="Arial" w:hint="default"/>
        </w:rPr>
        <w:t>2008</w:t>
      </w:r>
      <w:r>
        <w:rPr>
          <w:rFonts w:ascii="Arial" w:hAnsi="Arial" w:cs="Arial" w:eastAsia="Arial" w:hint="default"/>
          <w:spacing w:val="-1"/>
        </w:rPr>
        <w:t> </w:t>
      </w:r>
      <w:r>
        <w:rPr/>
        <w:t>年</w:t>
      </w:r>
      <w:r>
        <w:rPr>
          <w:spacing w:val="-53"/>
        </w:rPr>
        <w:t> </w:t>
      </w:r>
      <w:r>
        <w:rPr>
          <w:rFonts w:ascii="Arial" w:hAnsi="Arial" w:cs="Arial" w:eastAsia="Arial" w:hint="default"/>
        </w:rPr>
        <w:t>12</w:t>
      </w:r>
      <w:r>
        <w:rPr>
          <w:rFonts w:ascii="Arial" w:hAnsi="Arial" w:cs="Arial" w:eastAsia="Arial" w:hint="default"/>
          <w:spacing w:val="-1"/>
        </w:rPr>
        <w:t> </w:t>
      </w:r>
      <w:r>
        <w:rPr/>
        <w:t>月</w:t>
      </w:r>
      <w:r>
        <w:rPr>
          <w:spacing w:val="-54"/>
        </w:rPr>
        <w:t> </w:t>
      </w:r>
      <w:r>
        <w:rPr>
          <w:rFonts w:ascii="Arial" w:hAnsi="Arial" w:cs="Arial" w:eastAsia="Arial" w:hint="default"/>
        </w:rPr>
        <w:t>31</w:t>
      </w:r>
      <w:r>
        <w:rPr>
          <w:rFonts w:ascii="Arial" w:hAnsi="Arial" w:cs="Arial" w:eastAsia="Arial" w:hint="default"/>
          <w:spacing w:val="-1"/>
        </w:rPr>
        <w:t> </w:t>
      </w:r>
      <w:r>
        <w:rPr/>
        <w:t>日，账龄超过一年的预收款项约为人民币</w:t>
      </w:r>
      <w:r>
        <w:rPr>
          <w:spacing w:val="-54"/>
        </w:rPr>
        <w:t> </w:t>
      </w:r>
      <w:r>
        <w:rPr>
          <w:rFonts w:ascii="Arial" w:hAnsi="Arial" w:cs="Arial" w:eastAsia="Arial" w:hint="default"/>
        </w:rPr>
        <w:t>414 </w:t>
      </w:r>
      <w:r>
        <w:rPr/>
        <w:t>万元</w:t>
      </w:r>
      <w:r>
        <w:rPr>
          <w:rFonts w:ascii="Arial" w:hAnsi="Arial" w:cs="Arial" w:eastAsia="Arial" w:hint="default"/>
        </w:rPr>
        <w:t>(2007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p>
    <w:p>
      <w:pPr>
        <w:pStyle w:val="BodyText"/>
        <w:spacing w:line="427" w:lineRule="auto"/>
        <w:ind w:left="881" w:right="2953"/>
        <w:jc w:val="left"/>
      </w:pPr>
      <w:r>
        <w:rPr>
          <w:rFonts w:ascii="Arial" w:hAnsi="Arial" w:cs="Arial" w:eastAsia="Arial" w:hint="default"/>
        </w:rPr>
        <w:t>31</w:t>
      </w:r>
      <w:r>
        <w:rPr>
          <w:rFonts w:ascii="Arial" w:hAnsi="Arial" w:cs="Arial" w:eastAsia="Arial" w:hint="default"/>
          <w:spacing w:val="-8"/>
        </w:rPr>
        <w:t> </w:t>
      </w:r>
      <w:r>
        <w:rPr/>
        <w:t>日：约人民币</w:t>
      </w:r>
      <w:r>
        <w:rPr>
          <w:spacing w:val="-61"/>
        </w:rPr>
        <w:t> </w:t>
      </w:r>
      <w:r>
        <w:rPr>
          <w:rFonts w:ascii="Arial" w:hAnsi="Arial" w:cs="Arial" w:eastAsia="Arial" w:hint="default"/>
        </w:rPr>
        <w:t>92</w:t>
      </w:r>
      <w:r>
        <w:rPr>
          <w:rFonts w:ascii="Arial" w:hAnsi="Arial" w:cs="Arial" w:eastAsia="Arial" w:hint="default"/>
          <w:spacing w:val="-8"/>
        </w:rPr>
        <w:t> </w:t>
      </w:r>
      <w:r>
        <w:rPr/>
        <w:t>万元</w:t>
      </w:r>
      <w:r>
        <w:rPr>
          <w:rFonts w:ascii="Arial" w:hAnsi="Arial" w:cs="Arial" w:eastAsia="Arial" w:hint="default"/>
        </w:rPr>
        <w:t>)</w:t>
      </w:r>
      <w:r>
        <w:rPr/>
        <w:t>，主要为尚未与客户结算的尾款。 本集团的预收款项均为人民币余额。</w:t>
      </w:r>
    </w:p>
    <w:p>
      <w:pPr>
        <w:spacing w:after="0" w:line="427" w:lineRule="auto"/>
        <w:jc w:val="left"/>
        <w:sectPr>
          <w:pgSz w:w="11910" w:h="16840"/>
          <w:pgMar w:header="752" w:footer="707" w:top="1020" w:bottom="900" w:left="940" w:right="8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64"/>
        <w:gridCol w:w="2437"/>
        <w:gridCol w:w="409"/>
        <w:gridCol w:w="1511"/>
        <w:gridCol w:w="3368"/>
        <w:gridCol w:w="1563"/>
      </w:tblGrid>
      <w:tr>
        <w:trPr>
          <w:trHeight w:val="1102"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55" w:right="0"/>
              <w:jc w:val="left"/>
              <w:rPr>
                <w:rFonts w:ascii="Arial" w:hAnsi="Arial" w:cs="Arial" w:eastAsia="Arial" w:hint="default"/>
                <w:sz w:val="24"/>
                <w:szCs w:val="24"/>
              </w:rPr>
            </w:pPr>
            <w:r>
              <w:rPr>
                <w:rFonts w:ascii="Arial"/>
                <w:sz w:val="24"/>
              </w:rPr>
              <w:t>(17)</w:t>
            </w:r>
          </w:p>
        </w:tc>
        <w:tc>
          <w:tcPr>
            <w:tcW w:w="4357" w:type="dxa"/>
            <w:gridSpan w:val="3"/>
            <w:tcBorders>
              <w:top w:val="nil" w:sz="6" w:space="0" w:color="auto"/>
              <w:left w:val="nil" w:sz="6" w:space="0" w:color="auto"/>
              <w:bottom w:val="nil" w:sz="6" w:space="0" w:color="auto"/>
              <w:right w:val="nil" w:sz="6" w:space="0" w:color="auto"/>
            </w:tcBorders>
          </w:tcPr>
          <w:p>
            <w:pPr>
              <w:pStyle w:val="TableParagraph"/>
              <w:spacing w:line="427" w:lineRule="auto" w:before="26"/>
              <w:ind w:left="82" w:right="1470"/>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应付职工薪酬</w:t>
            </w:r>
            <w:r>
              <w:rPr>
                <w:rFonts w:ascii="宋体" w:hAnsi="宋体" w:cs="宋体" w:eastAsia="宋体" w:hint="default"/>
                <w:sz w:val="24"/>
                <w:szCs w:val="24"/>
              </w:rPr>
            </w:r>
          </w:p>
        </w:tc>
        <w:tc>
          <w:tcPr>
            <w:tcW w:w="4932" w:type="dxa"/>
            <w:gridSpan w:val="2"/>
            <w:tcBorders>
              <w:top w:val="nil" w:sz="6" w:space="0" w:color="auto"/>
              <w:left w:val="nil" w:sz="6" w:space="0" w:color="auto"/>
              <w:bottom w:val="nil" w:sz="6" w:space="0" w:color="auto"/>
              <w:right w:val="nil" w:sz="6" w:space="0" w:color="auto"/>
            </w:tcBorders>
          </w:tcPr>
          <w:p>
            <w:pPr/>
          </w:p>
        </w:tc>
      </w:tr>
      <w:tr>
        <w:trPr>
          <w:trHeight w:val="768" w:hRule="exact"/>
        </w:trPr>
        <w:tc>
          <w:tcPr>
            <w:tcW w:w="664" w:type="dxa"/>
            <w:tcBorders>
              <w:top w:val="nil" w:sz="6" w:space="0" w:color="auto"/>
              <w:left w:val="nil" w:sz="6" w:space="0" w:color="auto"/>
              <w:bottom w:val="nil" w:sz="6" w:space="0" w:color="auto"/>
              <w:right w:val="nil" w:sz="6" w:space="0" w:color="auto"/>
            </w:tcBorders>
          </w:tcPr>
          <w:p>
            <w:pPr/>
          </w:p>
        </w:tc>
        <w:tc>
          <w:tcPr>
            <w:tcW w:w="2846" w:type="dxa"/>
            <w:gridSpan w:val="2"/>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32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tabs>
                <w:tab w:pos="2153" w:val="left" w:leader="none"/>
              </w:tabs>
              <w:spacing w:line="240" w:lineRule="auto"/>
              <w:ind w:left="424" w:right="0"/>
              <w:jc w:val="left"/>
              <w:rPr>
                <w:rFonts w:ascii="宋体" w:hAnsi="宋体" w:cs="宋体" w:eastAsia="宋体" w:hint="default"/>
                <w:sz w:val="24"/>
                <w:szCs w:val="24"/>
              </w:rPr>
            </w:pPr>
            <w:r>
              <w:rPr>
                <w:rFonts w:ascii="宋体" w:hAnsi="宋体" w:cs="宋体" w:eastAsia="宋体" w:hint="default"/>
                <w:sz w:val="24"/>
                <w:szCs w:val="24"/>
              </w:rPr>
              <w:t>本年增加</w:t>
              <w:tab/>
              <w:t>本年减少</w:t>
            </w:r>
          </w:p>
        </w:tc>
        <w:tc>
          <w:tcPr>
            <w:tcW w:w="1563"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550"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18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64" w:type="dxa"/>
            <w:tcBorders>
              <w:top w:val="nil" w:sz="6" w:space="0" w:color="auto"/>
              <w:left w:val="nil" w:sz="6" w:space="0" w:color="auto"/>
              <w:bottom w:val="nil" w:sz="6" w:space="0" w:color="auto"/>
              <w:right w:val="nil" w:sz="6" w:space="0" w:color="auto"/>
            </w:tcBorders>
          </w:tcPr>
          <w:p>
            <w:pPr/>
          </w:p>
        </w:tc>
        <w:tc>
          <w:tcPr>
            <w:tcW w:w="2846" w:type="dxa"/>
            <w:gridSpan w:val="2"/>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87" w:lineRule="exact"/>
              <w:ind w:left="85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563" w:type="dxa"/>
            <w:tcBorders>
              <w:top w:val="nil" w:sz="6" w:space="0" w:color="auto"/>
              <w:left w:val="nil" w:sz="6" w:space="0" w:color="auto"/>
              <w:bottom w:val="nil" w:sz="6" w:space="0" w:color="auto"/>
              <w:right w:val="nil" w:sz="6" w:space="0" w:color="auto"/>
            </w:tcBorders>
          </w:tcPr>
          <w:p>
            <w:pPr/>
          </w:p>
        </w:tc>
      </w:tr>
      <w:tr>
        <w:trPr>
          <w:trHeight w:val="444" w:hRule="exact"/>
        </w:trPr>
        <w:tc>
          <w:tcPr>
            <w:tcW w:w="664" w:type="dxa"/>
            <w:tcBorders>
              <w:top w:val="nil" w:sz="6" w:space="0" w:color="auto"/>
              <w:left w:val="nil" w:sz="6" w:space="0" w:color="auto"/>
              <w:bottom w:val="nil" w:sz="6" w:space="0" w:color="auto"/>
              <w:right w:val="nil" w:sz="6" w:space="0" w:color="auto"/>
            </w:tcBorders>
          </w:tcPr>
          <w:p>
            <w:pPr/>
          </w:p>
        </w:tc>
        <w:tc>
          <w:tcPr>
            <w:tcW w:w="28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48" w:right="0"/>
              <w:jc w:val="left"/>
              <w:rPr>
                <w:rFonts w:ascii="宋体" w:hAnsi="宋体" w:cs="宋体" w:eastAsia="宋体" w:hint="default"/>
                <w:sz w:val="24"/>
                <w:szCs w:val="24"/>
              </w:rPr>
            </w:pPr>
            <w:r>
              <w:rPr>
                <w:rFonts w:ascii="宋体" w:hAnsi="宋体" w:cs="宋体" w:eastAsia="宋体" w:hint="default"/>
                <w:spacing w:val="-9"/>
                <w:sz w:val="24"/>
                <w:szCs w:val="24"/>
              </w:rPr>
              <w:t>工资、奖金、津贴和补</w:t>
            </w:r>
          </w:p>
        </w:tc>
        <w:tc>
          <w:tcPr>
            <w:tcW w:w="1511"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r>
      <w:tr>
        <w:trPr>
          <w:trHeight w:val="483" w:hRule="exact"/>
        </w:trPr>
        <w:tc>
          <w:tcPr>
            <w:tcW w:w="664" w:type="dxa"/>
            <w:tcBorders>
              <w:top w:val="nil" w:sz="6" w:space="0" w:color="auto"/>
              <w:left w:val="nil" w:sz="6" w:space="0" w:color="auto"/>
              <w:bottom w:val="nil" w:sz="6" w:space="0" w:color="auto"/>
              <w:right w:val="nil" w:sz="6" w:space="0" w:color="auto"/>
            </w:tcBorders>
          </w:tcPr>
          <w:p>
            <w:pPr/>
          </w:p>
        </w:tc>
        <w:tc>
          <w:tcPr>
            <w:tcW w:w="2846" w:type="dxa"/>
            <w:gridSpan w:val="2"/>
            <w:tcBorders>
              <w:top w:val="nil" w:sz="6" w:space="0" w:color="auto"/>
              <w:left w:val="nil" w:sz="6" w:space="0" w:color="auto"/>
              <w:bottom w:val="nil" w:sz="6" w:space="0" w:color="auto"/>
              <w:right w:val="nil" w:sz="6" w:space="0" w:color="auto"/>
            </w:tcBorders>
          </w:tcPr>
          <w:p>
            <w:pPr>
              <w:pStyle w:val="TableParagraph"/>
              <w:spacing w:line="275" w:lineRule="exact"/>
              <w:ind w:left="321" w:right="0"/>
              <w:jc w:val="left"/>
              <w:rPr>
                <w:rFonts w:ascii="宋体" w:hAnsi="宋体" w:cs="宋体" w:eastAsia="宋体" w:hint="default"/>
                <w:sz w:val="24"/>
                <w:szCs w:val="24"/>
              </w:rPr>
            </w:pPr>
            <w:r>
              <w:rPr>
                <w:rFonts w:ascii="宋体" w:hAnsi="宋体" w:cs="宋体" w:eastAsia="宋体" w:hint="default"/>
                <w:sz w:val="24"/>
                <w:szCs w:val="24"/>
              </w:rPr>
              <w:t>贴</w:t>
            </w:r>
          </w:p>
          <w:p>
            <w:pPr>
              <w:pStyle w:val="TableParagraph"/>
              <w:spacing w:line="248" w:lineRule="exact"/>
              <w:ind w:left="148" w:right="0"/>
              <w:jc w:val="left"/>
              <w:rPr>
                <w:rFonts w:ascii="宋体" w:hAnsi="宋体" w:cs="宋体" w:eastAsia="宋体" w:hint="default"/>
                <w:sz w:val="24"/>
                <w:szCs w:val="24"/>
              </w:rPr>
            </w:pPr>
            <w:r>
              <w:rPr>
                <w:rFonts w:ascii="宋体" w:hAnsi="宋体" w:cs="宋体" w:eastAsia="宋体" w:hint="default"/>
                <w:spacing w:val="19"/>
                <w:sz w:val="24"/>
                <w:szCs w:val="24"/>
              </w:rPr>
              <w:t>工会经费和职工教育</w:t>
            </w:r>
            <w:r>
              <w:rPr>
                <w:rFonts w:ascii="宋体" w:hAnsi="宋体" w:cs="宋体" w:eastAsia="宋体" w:hint="default"/>
                <w:sz w:val="24"/>
                <w:szCs w:val="24"/>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0" w:right="0"/>
              <w:jc w:val="left"/>
              <w:rPr>
                <w:rFonts w:ascii="Arial" w:hAnsi="Arial" w:cs="Arial" w:eastAsia="Arial" w:hint="default"/>
                <w:sz w:val="24"/>
                <w:szCs w:val="24"/>
              </w:rPr>
            </w:pPr>
            <w:r>
              <w:rPr>
                <w:rFonts w:ascii="Arial"/>
                <w:sz w:val="24"/>
              </w:rPr>
              <w:t>65,273</w:t>
            </w:r>
          </w:p>
        </w:tc>
        <w:tc>
          <w:tcPr>
            <w:tcW w:w="3368" w:type="dxa"/>
            <w:tcBorders>
              <w:top w:val="nil" w:sz="6" w:space="0" w:color="auto"/>
              <w:left w:val="nil" w:sz="6" w:space="0" w:color="auto"/>
              <w:bottom w:val="nil" w:sz="6" w:space="0" w:color="auto"/>
              <w:right w:val="nil" w:sz="6" w:space="0" w:color="auto"/>
            </w:tcBorders>
          </w:tcPr>
          <w:p>
            <w:pPr>
              <w:pStyle w:val="TableParagraph"/>
              <w:tabs>
                <w:tab w:pos="1970" w:val="left" w:leader="none"/>
              </w:tabs>
              <w:spacing w:line="240" w:lineRule="auto" w:before="35"/>
              <w:ind w:left="317" w:right="0"/>
              <w:jc w:val="left"/>
              <w:rPr>
                <w:rFonts w:ascii="Arial" w:hAnsi="Arial" w:cs="Arial" w:eastAsia="Arial" w:hint="default"/>
                <w:sz w:val="24"/>
                <w:szCs w:val="24"/>
              </w:rPr>
            </w:pPr>
            <w:r>
              <w:rPr>
                <w:rFonts w:ascii="Arial"/>
                <w:spacing w:val="-1"/>
                <w:sz w:val="24"/>
              </w:rPr>
              <w:t>1,160,123</w:t>
              <w:tab/>
            </w:r>
            <w:r>
              <w:rPr>
                <w:rFonts w:ascii="Arial"/>
                <w:spacing w:val="-3"/>
                <w:sz w:val="24"/>
              </w:rPr>
              <w:t>(1,113,591)</w:t>
            </w:r>
            <w:r>
              <w:rPr>
                <w:rFonts w:ascii="Arial"/>
                <w:sz w:val="24"/>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8" w:right="0"/>
              <w:jc w:val="left"/>
              <w:rPr>
                <w:rFonts w:ascii="Arial" w:hAnsi="Arial" w:cs="Arial" w:eastAsia="Arial" w:hint="default"/>
                <w:sz w:val="24"/>
                <w:szCs w:val="24"/>
              </w:rPr>
            </w:pPr>
            <w:r>
              <w:rPr>
                <w:rFonts w:ascii="Arial"/>
                <w:spacing w:val="-7"/>
                <w:sz w:val="24"/>
              </w:rPr>
              <w:t>111,805</w:t>
            </w:r>
            <w:r>
              <w:rPr>
                <w:rFonts w:ascii="Arial"/>
                <w:sz w:val="24"/>
              </w:rPr>
            </w:r>
          </w:p>
        </w:tc>
      </w:tr>
      <w:tr>
        <w:trPr>
          <w:trHeight w:val="468"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00" w:right="0"/>
              <w:jc w:val="left"/>
              <w:rPr>
                <w:rFonts w:ascii="宋体" w:hAnsi="宋体" w:cs="宋体" w:eastAsia="宋体" w:hint="default"/>
                <w:sz w:val="24"/>
                <w:szCs w:val="24"/>
              </w:rPr>
            </w:pPr>
            <w:r>
              <w:rPr>
                <w:rFonts w:ascii="宋体" w:hAnsi="宋体" w:cs="宋体" w:eastAsia="宋体" w:hint="default"/>
                <w:sz w:val="24"/>
                <w:szCs w:val="24"/>
              </w:rPr>
              <w:t>经费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704" w:val="left" w:leader="none"/>
                <w:tab w:pos="4205" w:val="left" w:leader="none"/>
                <w:tab w:pos="5922" w:val="left" w:leader="none"/>
              </w:tabs>
              <w:spacing w:line="240" w:lineRule="auto" w:before="176"/>
              <w:ind w:left="869" w:right="0"/>
              <w:jc w:val="left"/>
              <w:rPr>
                <w:rFonts w:ascii="Arial" w:hAnsi="Arial" w:cs="Arial" w:eastAsia="Arial" w:hint="default"/>
                <w:sz w:val="24"/>
                <w:szCs w:val="24"/>
              </w:rPr>
            </w:pPr>
            <w:r>
              <w:rPr>
                <w:rFonts w:ascii="Arial"/>
                <w:spacing w:val="-1"/>
                <w:sz w:val="24"/>
              </w:rPr>
              <w:t>27,748</w:t>
              <w:tab/>
              <w:t>2,529</w:t>
              <w:tab/>
              <w:t>(10,001)</w:t>
              <w:tab/>
              <w:t>20,276</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455" w:val="left" w:leader="none"/>
                <w:tab w:pos="4090" w:val="left" w:leader="none"/>
                <w:tab w:pos="6055" w:val="left" w:leader="none"/>
              </w:tabs>
              <w:spacing w:line="240" w:lineRule="auto" w:before="20"/>
              <w:ind w:left="1002" w:right="0"/>
              <w:jc w:val="left"/>
              <w:rPr>
                <w:rFonts w:ascii="Arial" w:hAnsi="Arial" w:cs="Arial" w:eastAsia="Arial" w:hint="default"/>
                <w:sz w:val="24"/>
                <w:szCs w:val="24"/>
              </w:rPr>
            </w:pPr>
            <w:r>
              <w:rPr>
                <w:rFonts w:ascii="Arial"/>
                <w:spacing w:val="-1"/>
                <w:sz w:val="24"/>
              </w:rPr>
              <w:t>1,514</w:t>
              <w:tab/>
            </w:r>
            <w:r>
              <w:rPr>
                <w:rFonts w:ascii="Arial"/>
                <w:spacing w:val="-4"/>
                <w:sz w:val="24"/>
              </w:rPr>
              <w:t>211,662</w:t>
              <w:tab/>
            </w:r>
            <w:r>
              <w:rPr>
                <w:rFonts w:ascii="Arial"/>
                <w:spacing w:val="-3"/>
                <w:sz w:val="24"/>
              </w:rPr>
              <w:t>(211,685)</w:t>
              <w:tab/>
            </w:r>
            <w:r>
              <w:rPr>
                <w:rFonts w:ascii="Arial"/>
                <w:spacing w:val="-1"/>
                <w:sz w:val="24"/>
              </w:rPr>
              <w:t>1,491</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其中：基本养老保险</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437" w:val="left" w:leader="none"/>
                <w:tab w:pos="4072" w:val="left" w:leader="none"/>
                <w:tab w:pos="6256" w:val="left" w:leader="none"/>
              </w:tabs>
              <w:spacing w:line="240" w:lineRule="auto" w:before="20"/>
              <w:ind w:left="1002" w:right="0"/>
              <w:jc w:val="left"/>
              <w:rPr>
                <w:rFonts w:ascii="Arial" w:hAnsi="Arial" w:cs="Arial" w:eastAsia="Arial" w:hint="default"/>
                <w:sz w:val="24"/>
                <w:szCs w:val="24"/>
              </w:rPr>
            </w:pPr>
            <w:r>
              <w:rPr>
                <w:rFonts w:ascii="Arial"/>
                <w:spacing w:val="-1"/>
                <w:sz w:val="24"/>
              </w:rPr>
              <w:t>1,317</w:t>
              <w:tab/>
              <w:t>129,854</w:t>
              <w:tab/>
              <w:t>(130,461)</w:t>
              <w:tab/>
              <w:t>710</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868" w:right="0"/>
              <w:jc w:val="left"/>
              <w:rPr>
                <w:rFonts w:ascii="宋体" w:hAnsi="宋体" w:cs="宋体" w:eastAsia="宋体" w:hint="default"/>
                <w:sz w:val="24"/>
                <w:szCs w:val="24"/>
              </w:rPr>
            </w:pPr>
            <w:r>
              <w:rPr>
                <w:rFonts w:ascii="宋体" w:hAnsi="宋体" w:cs="宋体" w:eastAsia="宋体" w:hint="default"/>
                <w:sz w:val="24"/>
                <w:szCs w:val="24"/>
              </w:rPr>
              <w:t>医疗保险费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570" w:val="left" w:leader="none"/>
                <w:tab w:pos="4205" w:val="left" w:leader="none"/>
                <w:tab w:pos="6256" w:val="left" w:leader="none"/>
              </w:tabs>
              <w:spacing w:line="240" w:lineRule="auto" w:before="20"/>
              <w:ind w:left="1202" w:right="0"/>
              <w:jc w:val="left"/>
              <w:rPr>
                <w:rFonts w:ascii="Arial" w:hAnsi="Arial" w:cs="Arial" w:eastAsia="Arial" w:hint="default"/>
                <w:sz w:val="24"/>
                <w:szCs w:val="24"/>
              </w:rPr>
            </w:pPr>
            <w:r>
              <w:rPr>
                <w:rFonts w:ascii="Arial"/>
                <w:spacing w:val="-1"/>
                <w:sz w:val="24"/>
              </w:rPr>
              <w:t>135</w:t>
              <w:tab/>
              <w:t>58,434</w:t>
              <w:tab/>
              <w:t>(58,017)</w:t>
              <w:tab/>
              <w:t>552</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868" w:right="0"/>
              <w:jc w:val="left"/>
              <w:rPr>
                <w:rFonts w:ascii="宋体" w:hAnsi="宋体" w:cs="宋体" w:eastAsia="宋体" w:hint="default"/>
                <w:sz w:val="24"/>
                <w:szCs w:val="24"/>
              </w:rPr>
            </w:pPr>
            <w:r>
              <w:rPr>
                <w:rFonts w:ascii="宋体" w:hAnsi="宋体" w:cs="宋体" w:eastAsia="宋体" w:hint="default"/>
                <w:sz w:val="24"/>
                <w:szCs w:val="24"/>
              </w:rPr>
              <w:t>失业保险费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570" w:val="left" w:leader="none"/>
                <w:tab w:pos="4205" w:val="left" w:leader="none"/>
                <w:tab w:pos="6256" w:val="left" w:leader="none"/>
              </w:tabs>
              <w:spacing w:line="240" w:lineRule="auto" w:before="20"/>
              <w:ind w:left="1336" w:right="0"/>
              <w:jc w:val="left"/>
              <w:rPr>
                <w:rFonts w:ascii="Arial" w:hAnsi="Arial" w:cs="Arial" w:eastAsia="Arial" w:hint="default"/>
                <w:sz w:val="24"/>
                <w:szCs w:val="24"/>
              </w:rPr>
            </w:pPr>
            <w:r>
              <w:rPr>
                <w:rFonts w:ascii="Arial"/>
                <w:spacing w:val="-1"/>
                <w:sz w:val="24"/>
              </w:rPr>
              <w:t>39</w:t>
              <w:tab/>
              <w:t>12,985</w:t>
              <w:tab/>
              <w:t>(12,893)</w:t>
              <w:tab/>
              <w:t>131</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868" w:right="0"/>
              <w:jc w:val="left"/>
              <w:rPr>
                <w:rFonts w:ascii="宋体" w:hAnsi="宋体" w:cs="宋体" w:eastAsia="宋体" w:hint="default"/>
                <w:sz w:val="24"/>
                <w:szCs w:val="24"/>
              </w:rPr>
            </w:pPr>
            <w:r>
              <w:rPr>
                <w:rFonts w:ascii="宋体" w:hAnsi="宋体" w:cs="宋体" w:eastAsia="宋体" w:hint="default"/>
                <w:sz w:val="24"/>
                <w:szCs w:val="24"/>
              </w:rPr>
              <w:t>工伤保险费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704" w:val="left" w:leader="none"/>
                <w:tab w:pos="4338" w:val="left" w:leader="none"/>
                <w:tab w:pos="6389" w:val="left" w:leader="none"/>
              </w:tabs>
              <w:spacing w:line="240" w:lineRule="auto" w:before="20"/>
              <w:ind w:left="1469" w:right="0"/>
              <w:jc w:val="left"/>
              <w:rPr>
                <w:rFonts w:ascii="Arial" w:hAnsi="Arial" w:cs="Arial" w:eastAsia="Arial" w:hint="default"/>
                <w:sz w:val="24"/>
                <w:szCs w:val="24"/>
              </w:rPr>
            </w:pPr>
            <w:r>
              <w:rPr>
                <w:rFonts w:ascii="Arial"/>
                <w:w w:val="95"/>
                <w:sz w:val="24"/>
              </w:rPr>
              <w:t>8</w:t>
              <w:tab/>
            </w:r>
            <w:r>
              <w:rPr>
                <w:rFonts w:ascii="Arial"/>
                <w:spacing w:val="-1"/>
                <w:sz w:val="24"/>
              </w:rPr>
              <w:t>3,896</w:t>
              <w:tab/>
              <w:t>(3,868)</w:t>
              <w:tab/>
              <w:t>36</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868" w:right="0"/>
              <w:jc w:val="left"/>
              <w:rPr>
                <w:rFonts w:ascii="宋体" w:hAnsi="宋体" w:cs="宋体" w:eastAsia="宋体" w:hint="default"/>
                <w:sz w:val="24"/>
                <w:szCs w:val="24"/>
              </w:rPr>
            </w:pPr>
            <w:r>
              <w:rPr>
                <w:rFonts w:ascii="宋体" w:hAnsi="宋体" w:cs="宋体" w:eastAsia="宋体" w:hint="default"/>
                <w:sz w:val="24"/>
                <w:szCs w:val="24"/>
              </w:rPr>
              <w:t>生育保险费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704" w:val="left" w:leader="none"/>
                <w:tab w:pos="4338" w:val="left" w:leader="none"/>
                <w:tab w:pos="6389" w:val="left" w:leader="none"/>
              </w:tabs>
              <w:spacing w:line="240" w:lineRule="auto" w:before="20"/>
              <w:ind w:left="1336" w:right="0"/>
              <w:jc w:val="left"/>
              <w:rPr>
                <w:rFonts w:ascii="Arial" w:hAnsi="Arial" w:cs="Arial" w:eastAsia="Arial" w:hint="default"/>
                <w:sz w:val="24"/>
                <w:szCs w:val="24"/>
              </w:rPr>
            </w:pPr>
            <w:r>
              <w:rPr>
                <w:rFonts w:ascii="Arial"/>
                <w:spacing w:val="-1"/>
                <w:sz w:val="24"/>
              </w:rPr>
              <w:t>15</w:t>
              <w:tab/>
              <w:t>6,493</w:t>
              <w:tab/>
              <w:t>(6,446)</w:t>
              <w:tab/>
              <w:t>62</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437" w:val="left" w:leader="none"/>
                <w:tab w:pos="4072" w:val="left" w:leader="none"/>
                <w:tab w:pos="6576" w:val="left" w:leader="none"/>
              </w:tabs>
              <w:spacing w:line="240" w:lineRule="auto" w:before="20"/>
              <w:ind w:left="1002" w:right="0"/>
              <w:jc w:val="left"/>
              <w:rPr>
                <w:rFonts w:ascii="Arial" w:hAnsi="Arial" w:cs="Arial" w:eastAsia="Arial" w:hint="default"/>
                <w:sz w:val="24"/>
                <w:szCs w:val="24"/>
              </w:rPr>
            </w:pPr>
            <w:r>
              <w:rPr>
                <w:rFonts w:ascii="Arial"/>
                <w:spacing w:val="-1"/>
                <w:sz w:val="24"/>
              </w:rPr>
              <w:t>4,781</w:t>
              <w:tab/>
              <w:t>138,920</w:t>
              <w:tab/>
              <w:t>(143,701)</w:t>
              <w:tab/>
            </w:r>
            <w:r>
              <w:rPr>
                <w:rFonts w:ascii="Arial"/>
                <w:sz w:val="24"/>
              </w:rPr>
              <w:t>-</w:t>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劳务薪资</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570" w:val="left" w:leader="none"/>
                <w:tab w:pos="4205" w:val="left" w:leader="none"/>
                <w:tab w:pos="6256" w:val="left" w:leader="none"/>
              </w:tabs>
              <w:spacing w:line="240" w:lineRule="auto" w:before="20"/>
              <w:ind w:left="1002" w:right="0"/>
              <w:jc w:val="left"/>
              <w:rPr>
                <w:rFonts w:ascii="Arial" w:hAnsi="Arial" w:cs="Arial" w:eastAsia="Arial" w:hint="default"/>
                <w:sz w:val="24"/>
                <w:szCs w:val="24"/>
              </w:rPr>
            </w:pPr>
            <w:r>
              <w:rPr>
                <w:rFonts w:ascii="Arial"/>
                <w:spacing w:val="-1"/>
                <w:sz w:val="24"/>
              </w:rPr>
              <w:t>1,491</w:t>
              <w:tab/>
              <w:t>13,596</w:t>
              <w:tab/>
              <w:t>(14,653)</w:t>
              <w:tab/>
              <w:t>434</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570" w:val="left" w:leader="none"/>
                <w:tab w:pos="4205" w:val="left" w:leader="none"/>
                <w:tab w:pos="6389" w:val="left" w:leader="none"/>
              </w:tabs>
              <w:spacing w:line="240" w:lineRule="auto" w:before="20"/>
              <w:ind w:left="1202" w:right="0"/>
              <w:jc w:val="left"/>
              <w:rPr>
                <w:rFonts w:ascii="Arial" w:hAnsi="Arial" w:cs="Arial" w:eastAsia="Arial" w:hint="default"/>
                <w:sz w:val="24"/>
                <w:szCs w:val="24"/>
              </w:rPr>
            </w:pPr>
            <w:r>
              <w:rPr>
                <w:rFonts w:ascii="Arial"/>
                <w:spacing w:val="-1"/>
                <w:sz w:val="24"/>
              </w:rPr>
              <w:t>218</w:t>
              <w:tab/>
              <w:t>30,017</w:t>
              <w:tab/>
              <w:t>(30,166)</w:t>
              <w:tab/>
              <w:t>69</w:t>
            </w:r>
            <w:r>
              <w:rPr>
                <w:rFonts w:ascii="Arial"/>
                <w:sz w:val="24"/>
              </w:rPr>
            </w:r>
          </w:p>
        </w:tc>
      </w:tr>
      <w:tr>
        <w:trPr>
          <w:trHeight w:val="314"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1202" w:val="left" w:leader="none"/>
                <w:tab w:pos="1997" w:val="left" w:leader="none"/>
                <w:tab w:pos="2904" w:val="left" w:leader="none"/>
                <w:tab w:pos="3688" w:val="left" w:leader="none"/>
                <w:tab w:pos="4338" w:val="left" w:leader="none"/>
                <w:tab w:pos="5389" w:val="left" w:leader="none"/>
                <w:tab w:pos="6389" w:val="left" w:leader="none"/>
                <w:tab w:pos="6809" w:val="left" w:leader="none"/>
              </w:tabs>
              <w:spacing w:line="240" w:lineRule="auto" w:before="20"/>
              <w:ind w:left="12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445</w:t>
            </w:r>
            <w:r>
              <w:rPr>
                <w:rFonts w:ascii="Arial"/>
                <w:spacing w:val="-1"/>
                <w:sz w:val="24"/>
              </w:rPr>
              <w:tab/>
            </w:r>
            <w:r>
              <w:rPr>
                <w:rFonts w:ascii="Arial"/>
                <w:spacing w:val="-1"/>
                <w:sz w:val="24"/>
                <w:u w:val="single" w:color="000000"/>
              </w:rPr>
              <w:t> </w:t>
              <w:tab/>
              <w:t>759</w:t>
            </w:r>
            <w:r>
              <w:rPr>
                <w:rFonts w:ascii="Arial"/>
                <w:spacing w:val="-1"/>
                <w:sz w:val="24"/>
              </w:rPr>
              <w:tab/>
            </w:r>
            <w:r>
              <w:rPr>
                <w:rFonts w:ascii="Arial"/>
                <w:spacing w:val="-1"/>
                <w:sz w:val="24"/>
                <w:u w:val="single" w:color="000000"/>
              </w:rPr>
              <w:t> </w:t>
              <w:tab/>
              <w:t>(1,194)</w:t>
            </w:r>
            <w:r>
              <w:rPr>
                <w:rFonts w:ascii="Arial"/>
                <w:spacing w:val="-1"/>
                <w:sz w:val="24"/>
              </w:rPr>
              <w:tab/>
            </w:r>
            <w:r>
              <w:rPr>
                <w:rFonts w:ascii="Arial"/>
                <w:spacing w:val="-1"/>
                <w:sz w:val="24"/>
                <w:u w:val="single" w:color="000000"/>
              </w:rPr>
              <w:t> </w:t>
              <w:tab/>
              <w:t>10</w:t>
              <w:tab/>
            </w:r>
            <w:r>
              <w:rPr>
                <w:rFonts w:ascii="Arial"/>
                <w:spacing w:val="-1"/>
                <w:sz w:val="24"/>
              </w:rPr>
            </w:r>
          </w:p>
        </w:tc>
      </w:tr>
      <w:tr>
        <w:trPr>
          <w:trHeight w:val="434"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736" w:val="left" w:leader="none"/>
                <w:tab w:pos="1997" w:val="left" w:leader="none"/>
                <w:tab w:pos="3688" w:val="left" w:leader="none"/>
                <w:tab w:pos="5389" w:val="left" w:leader="none"/>
                <w:tab w:pos="5789" w:val="left" w:leader="none"/>
                <w:tab w:pos="6809" w:val="left" w:leader="none"/>
              </w:tabs>
              <w:spacing w:line="268" w:lineRule="exact"/>
              <w:ind w:left="12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101,470</w:t>
            </w:r>
            <w:r>
              <w:rPr>
                <w:rFonts w:ascii="Arial"/>
                <w:spacing w:val="-1"/>
                <w:sz w:val="24"/>
              </w:rPr>
              <w:tab/>
            </w:r>
            <w:r>
              <w:rPr>
                <w:rFonts w:ascii="Arial"/>
                <w:spacing w:val="-1"/>
                <w:sz w:val="24"/>
                <w:u w:val="thick" w:color="000000"/>
              </w:rPr>
              <w:t> 1,557,606</w:t>
            </w:r>
            <w:r>
              <w:rPr>
                <w:rFonts w:ascii="Arial"/>
                <w:spacing w:val="-1"/>
                <w:sz w:val="24"/>
              </w:rPr>
              <w:tab/>
            </w:r>
            <w:r>
              <w:rPr>
                <w:rFonts w:ascii="Arial"/>
                <w:spacing w:val="-1"/>
                <w:sz w:val="24"/>
                <w:u w:val="thick" w:color="000000"/>
              </w:rPr>
              <w:t> (1,524,991)</w:t>
            </w:r>
            <w:r>
              <w:rPr>
                <w:rFonts w:ascii="Arial"/>
                <w:spacing w:val="-1"/>
                <w:sz w:val="24"/>
              </w:rPr>
              <w:tab/>
            </w:r>
            <w:r>
              <w:rPr>
                <w:rFonts w:ascii="Arial"/>
                <w:spacing w:val="-1"/>
                <w:sz w:val="24"/>
                <w:u w:val="thick" w:color="000000"/>
              </w:rPr>
              <w:t> </w:t>
              <w:tab/>
              <w:t>134,085</w:t>
              <w:tab/>
            </w:r>
            <w:r>
              <w:rPr>
                <w:rFonts w:ascii="Arial"/>
                <w:spacing w:val="-1"/>
                <w:sz w:val="24"/>
              </w:rPr>
            </w:r>
          </w:p>
        </w:tc>
      </w:tr>
      <w:tr>
        <w:trPr>
          <w:trHeight w:val="592"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99" w:right="0"/>
              <w:jc w:val="left"/>
              <w:rPr>
                <w:rFonts w:ascii="Arial" w:hAnsi="Arial" w:cs="Arial" w:eastAsia="Arial" w:hint="default"/>
                <w:sz w:val="24"/>
                <w:szCs w:val="24"/>
              </w:rPr>
            </w:pPr>
            <w:r>
              <w:rPr>
                <w:rFonts w:ascii="Arial"/>
                <w:sz w:val="24"/>
              </w:rPr>
              <w:t>(18)</w:t>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8" w:right="0"/>
              <w:jc w:val="left"/>
              <w:rPr>
                <w:rFonts w:ascii="宋体" w:hAnsi="宋体" w:cs="宋体" w:eastAsia="宋体" w:hint="default"/>
                <w:sz w:val="24"/>
                <w:szCs w:val="24"/>
              </w:rPr>
            </w:pPr>
            <w:r>
              <w:rPr>
                <w:rFonts w:ascii="宋体" w:hAnsi="宋体" w:cs="宋体" w:eastAsia="宋体" w:hint="default"/>
                <w:b/>
                <w:bCs/>
                <w:sz w:val="24"/>
                <w:szCs w:val="24"/>
              </w:rPr>
              <w:t>应交税费</w:t>
            </w:r>
            <w:r>
              <w:rPr>
                <w:rFonts w:ascii="宋体" w:hAnsi="宋体" w:cs="宋体" w:eastAsia="宋体" w:hint="default"/>
                <w:sz w:val="24"/>
                <w:szCs w:val="24"/>
              </w:rPr>
            </w:r>
          </w:p>
        </w:tc>
        <w:tc>
          <w:tcPr>
            <w:tcW w:w="6852" w:type="dxa"/>
            <w:gridSpan w:val="4"/>
            <w:tcBorders>
              <w:top w:val="nil" w:sz="6" w:space="0" w:color="auto"/>
              <w:left w:val="nil" w:sz="6" w:space="0" w:color="auto"/>
              <w:bottom w:val="nil" w:sz="6" w:space="0" w:color="auto"/>
              <w:right w:val="nil" w:sz="6" w:space="0" w:color="auto"/>
            </w:tcBorders>
          </w:tcPr>
          <w:p>
            <w:pPr/>
          </w:p>
        </w:tc>
      </w:tr>
      <w:tr>
        <w:trPr>
          <w:trHeight w:val="456"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4566" w:val="left" w:leader="none"/>
              </w:tabs>
              <w:spacing w:line="240" w:lineRule="auto" w:before="100"/>
              <w:ind w:left="1783"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tab/>
            </w: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0"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5351" w:val="left" w:leader="none"/>
              </w:tabs>
              <w:spacing w:line="287" w:lineRule="exact"/>
              <w:ind w:left="2593" w:right="0"/>
              <w:jc w:val="lef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tab/>
            </w: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8"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5790" w:val="left" w:leader="none"/>
              </w:tabs>
              <w:spacing w:line="240" w:lineRule="auto" w:before="167"/>
              <w:ind w:left="2962" w:right="0"/>
              <w:jc w:val="left"/>
              <w:rPr>
                <w:rFonts w:ascii="Arial" w:hAnsi="Arial" w:cs="Arial" w:eastAsia="Arial" w:hint="default"/>
                <w:sz w:val="24"/>
                <w:szCs w:val="24"/>
              </w:rPr>
            </w:pPr>
            <w:r>
              <w:rPr>
                <w:rFonts w:ascii="Arial"/>
                <w:spacing w:val="-1"/>
                <w:sz w:val="24"/>
              </w:rPr>
              <w:t>401,615</w:t>
              <w:tab/>
              <w:t>445,461</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待抵扣增值税</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5728" w:val="left" w:leader="none"/>
              </w:tabs>
              <w:spacing w:line="240" w:lineRule="auto" w:before="20"/>
              <w:ind w:left="3014" w:right="0"/>
              <w:jc w:val="left"/>
              <w:rPr>
                <w:rFonts w:ascii="Arial" w:hAnsi="Arial" w:cs="Arial" w:eastAsia="Arial" w:hint="default"/>
                <w:sz w:val="24"/>
                <w:szCs w:val="24"/>
              </w:rPr>
            </w:pPr>
            <w:r>
              <w:rPr>
                <w:rFonts w:ascii="Arial"/>
                <w:spacing w:val="-1"/>
                <w:sz w:val="24"/>
              </w:rPr>
              <w:t>(49,493)</w:t>
              <w:tab/>
            </w:r>
            <w:r>
              <w:rPr>
                <w:rFonts w:ascii="Arial"/>
                <w:spacing w:val="-3"/>
                <w:sz w:val="24"/>
              </w:rPr>
              <w:t>(181,011)</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6056" w:val="left" w:leader="none"/>
              </w:tabs>
              <w:spacing w:line="240" w:lineRule="auto" w:before="20"/>
              <w:ind w:left="3228" w:right="0"/>
              <w:jc w:val="left"/>
              <w:rPr>
                <w:rFonts w:ascii="Arial" w:hAnsi="Arial" w:cs="Arial" w:eastAsia="Arial" w:hint="default"/>
                <w:sz w:val="24"/>
                <w:szCs w:val="24"/>
              </w:rPr>
            </w:pPr>
            <w:r>
              <w:rPr>
                <w:rFonts w:ascii="Arial"/>
                <w:spacing w:val="-1"/>
                <w:sz w:val="24"/>
              </w:rPr>
              <w:t>5,566</w:t>
              <w:tab/>
              <w:t>9,777</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6056" w:val="left" w:leader="none"/>
              </w:tabs>
              <w:spacing w:line="240" w:lineRule="auto" w:before="20"/>
              <w:ind w:left="3095" w:right="0"/>
              <w:jc w:val="left"/>
              <w:rPr>
                <w:rFonts w:ascii="Arial" w:hAnsi="Arial" w:cs="Arial" w:eastAsia="Arial" w:hint="default"/>
                <w:sz w:val="24"/>
                <w:szCs w:val="24"/>
              </w:rPr>
            </w:pPr>
            <w:r>
              <w:rPr>
                <w:rFonts w:ascii="Arial"/>
                <w:spacing w:val="-1"/>
                <w:sz w:val="24"/>
              </w:rPr>
              <w:t>14,776</w:t>
              <w:tab/>
              <w:t>8,969</w:t>
            </w:r>
            <w:r>
              <w:rPr>
                <w:rFonts w:ascii="Arial"/>
                <w:sz w:val="24"/>
              </w:rPr>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6056" w:val="left" w:leader="none"/>
              </w:tabs>
              <w:spacing w:line="240" w:lineRule="auto" w:before="20"/>
              <w:ind w:left="3228" w:right="0"/>
              <w:jc w:val="left"/>
              <w:rPr>
                <w:rFonts w:ascii="Arial" w:hAnsi="Arial" w:cs="Arial" w:eastAsia="Arial" w:hint="default"/>
                <w:sz w:val="24"/>
                <w:szCs w:val="24"/>
              </w:rPr>
            </w:pPr>
            <w:r>
              <w:rPr>
                <w:rFonts w:ascii="Arial"/>
                <w:spacing w:val="-1"/>
                <w:sz w:val="24"/>
              </w:rPr>
              <w:t>8,415</w:t>
              <w:tab/>
              <w:t>4,914</w:t>
            </w:r>
            <w:r>
              <w:rPr>
                <w:rFonts w:ascii="Arial"/>
                <w:sz w:val="24"/>
              </w:rPr>
            </w:r>
          </w:p>
        </w:tc>
      </w:tr>
      <w:tr>
        <w:trPr>
          <w:trHeight w:val="314"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261" w:lineRule="exact"/>
              <w:ind w:left="14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3228" w:val="left" w:leader="none"/>
                <w:tab w:pos="4396" w:val="left" w:leader="none"/>
                <w:tab w:pos="6056" w:val="left" w:leader="none"/>
                <w:tab w:pos="6809" w:val="left" w:leader="none"/>
              </w:tabs>
              <w:spacing w:line="240" w:lineRule="auto" w:before="20"/>
              <w:ind w:left="141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7,082</w:t>
            </w:r>
            <w:r>
              <w:rPr>
                <w:rFonts w:ascii="Arial"/>
                <w:spacing w:val="-1"/>
                <w:sz w:val="24"/>
              </w:rPr>
              <w:tab/>
            </w:r>
            <w:r>
              <w:rPr>
                <w:rFonts w:ascii="Arial"/>
                <w:spacing w:val="-1"/>
                <w:sz w:val="24"/>
                <w:u w:val="single" w:color="000000"/>
              </w:rPr>
              <w:t> </w:t>
              <w:tab/>
              <w:t>5,868</w:t>
              <w:tab/>
            </w:r>
            <w:r>
              <w:rPr>
                <w:rFonts w:ascii="Arial"/>
                <w:spacing w:val="-1"/>
                <w:sz w:val="24"/>
              </w:rPr>
            </w:r>
          </w:p>
        </w:tc>
      </w:tr>
      <w:tr>
        <w:trPr>
          <w:trHeight w:val="363" w:hRule="exact"/>
        </w:trPr>
        <w:tc>
          <w:tcPr>
            <w:tcW w:w="66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
        </w:tc>
        <w:tc>
          <w:tcPr>
            <w:tcW w:w="6852" w:type="dxa"/>
            <w:gridSpan w:val="4"/>
            <w:tcBorders>
              <w:top w:val="nil" w:sz="6" w:space="0" w:color="auto"/>
              <w:left w:val="nil" w:sz="6" w:space="0" w:color="auto"/>
              <w:bottom w:val="nil" w:sz="6" w:space="0" w:color="auto"/>
              <w:right w:val="nil" w:sz="6" w:space="0" w:color="auto"/>
            </w:tcBorders>
          </w:tcPr>
          <w:p>
            <w:pPr>
              <w:pStyle w:val="TableParagraph"/>
              <w:tabs>
                <w:tab w:pos="2962" w:val="left" w:leader="none"/>
                <w:tab w:pos="4388" w:val="left" w:leader="none"/>
                <w:tab w:pos="5790" w:val="left" w:leader="none"/>
                <w:tab w:pos="6816" w:val="left" w:leader="none"/>
              </w:tabs>
              <w:spacing w:line="268" w:lineRule="exact"/>
              <w:ind w:left="141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387,961</w:t>
            </w:r>
            <w:r>
              <w:rPr>
                <w:rFonts w:ascii="Arial"/>
                <w:spacing w:val="-1"/>
                <w:sz w:val="24"/>
              </w:rPr>
              <w:tab/>
            </w:r>
            <w:r>
              <w:rPr>
                <w:rFonts w:ascii="Arial"/>
                <w:spacing w:val="-1"/>
                <w:sz w:val="24"/>
                <w:u w:val="thick" w:color="000000"/>
              </w:rPr>
              <w:t> </w:t>
              <w:tab/>
              <w:t>293,978</w:t>
              <w:tab/>
            </w:r>
            <w:r>
              <w:rPr>
                <w:rFonts w:ascii="Arial"/>
                <w:spacing w:val="-1"/>
                <w:sz w:val="24"/>
              </w:rPr>
            </w:r>
          </w:p>
        </w:tc>
      </w:tr>
    </w:tbl>
    <w:p>
      <w:pPr>
        <w:spacing w:after="0" w:line="268" w:lineRule="exact"/>
        <w:jc w:val="left"/>
        <w:rPr>
          <w:rFonts w:ascii="Arial" w:hAnsi="Arial" w:cs="Arial" w:eastAsia="Arial" w:hint="default"/>
          <w:sz w:val="24"/>
          <w:szCs w:val="24"/>
        </w:rPr>
        <w:sectPr>
          <w:pgSz w:w="11910" w:h="16840"/>
          <w:pgMar w:header="752" w:footer="707" w:top="1020" w:bottom="900" w:left="840" w:right="9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37"/>
        <w:gridCol w:w="3557"/>
        <w:gridCol w:w="3282"/>
        <w:gridCol w:w="2610"/>
      </w:tblGrid>
      <w:tr>
        <w:trPr>
          <w:trHeight w:val="1102"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(19)</w:t>
            </w:r>
          </w:p>
        </w:tc>
        <w:tc>
          <w:tcPr>
            <w:tcW w:w="3557"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75" w:right="641" w:hanging="65"/>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5891" w:type="dxa"/>
            <w:gridSpan w:val="2"/>
            <w:tcBorders>
              <w:top w:val="nil" w:sz="6" w:space="0" w:color="auto"/>
              <w:left w:val="nil" w:sz="6" w:space="0" w:color="auto"/>
              <w:bottom w:val="nil" w:sz="6" w:space="0" w:color="auto"/>
              <w:right w:val="nil" w:sz="6" w:space="0" w:color="auto"/>
            </w:tcBorders>
          </w:tcPr>
          <w:p>
            <w:pPr/>
          </w:p>
        </w:tc>
      </w:tr>
      <w:tr>
        <w:trPr>
          <w:trHeight w:val="456"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3"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13"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0"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87" w:lineRule="exact"/>
              <w:ind w:right="372"/>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610" w:type="dxa"/>
            <w:tcBorders>
              <w:top w:val="nil" w:sz="6" w:space="0" w:color="auto"/>
              <w:left w:val="nil" w:sz="6" w:space="0" w:color="auto"/>
              <w:bottom w:val="nil" w:sz="6" w:space="0" w:color="auto"/>
              <w:right w:val="nil" w:sz="6" w:space="0" w:color="auto"/>
            </w:tcBorders>
          </w:tcPr>
          <w:p>
            <w:pPr>
              <w:pStyle w:val="TableParagraph"/>
              <w:spacing w:line="287" w:lineRule="exact"/>
              <w:ind w:right="134"/>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4"/>
                <w:szCs w:val="24"/>
              </w:rPr>
            </w:pPr>
            <w:r>
              <w:rPr>
                <w:rFonts w:ascii="宋体" w:hAnsi="宋体" w:cs="宋体" w:eastAsia="宋体" w:hint="default"/>
                <w:sz w:val="24"/>
                <w:szCs w:val="24"/>
              </w:rPr>
              <w:t>收取的保证金及押金</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953" w:right="0"/>
              <w:jc w:val="left"/>
              <w:rPr>
                <w:rFonts w:ascii="Arial" w:hAnsi="Arial" w:cs="Arial" w:eastAsia="Arial" w:hint="default"/>
                <w:sz w:val="24"/>
                <w:szCs w:val="24"/>
              </w:rPr>
            </w:pPr>
            <w:r>
              <w:rPr>
                <w:rFonts w:ascii="Arial"/>
                <w:sz w:val="24"/>
              </w:rPr>
              <w:t>238,633</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541" w:right="0"/>
              <w:jc w:val="left"/>
              <w:rPr>
                <w:rFonts w:ascii="Arial" w:hAnsi="Arial" w:cs="Arial" w:eastAsia="Arial" w:hint="default"/>
                <w:sz w:val="24"/>
                <w:szCs w:val="24"/>
              </w:rPr>
            </w:pPr>
            <w:r>
              <w:rPr>
                <w:rFonts w:ascii="Arial"/>
                <w:sz w:val="24"/>
              </w:rPr>
              <w:t>137,417</w:t>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53" w:right="0"/>
              <w:jc w:val="left"/>
              <w:rPr>
                <w:rFonts w:ascii="Arial" w:hAnsi="Arial" w:cs="Arial" w:eastAsia="Arial" w:hint="default"/>
                <w:sz w:val="24"/>
                <w:szCs w:val="24"/>
              </w:rPr>
            </w:pPr>
            <w:r>
              <w:rPr>
                <w:rFonts w:ascii="Arial"/>
                <w:sz w:val="24"/>
              </w:rPr>
              <w:t>197,300</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41" w:right="0"/>
              <w:jc w:val="left"/>
              <w:rPr>
                <w:rFonts w:ascii="Arial" w:hAnsi="Arial" w:cs="Arial" w:eastAsia="Arial" w:hint="default"/>
                <w:sz w:val="24"/>
                <w:szCs w:val="24"/>
              </w:rPr>
            </w:pPr>
            <w:r>
              <w:rPr>
                <w:rFonts w:ascii="Arial"/>
                <w:sz w:val="24"/>
              </w:rPr>
              <w:t>196,089</w:t>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应付广告费</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53" w:right="0"/>
              <w:jc w:val="left"/>
              <w:rPr>
                <w:rFonts w:ascii="Arial" w:hAnsi="Arial" w:cs="Arial" w:eastAsia="Arial" w:hint="default"/>
                <w:sz w:val="24"/>
                <w:szCs w:val="24"/>
              </w:rPr>
            </w:pPr>
            <w:r>
              <w:rPr>
                <w:rFonts w:ascii="Arial"/>
                <w:sz w:val="24"/>
              </w:rPr>
              <w:t>122,573</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74" w:right="0"/>
              <w:jc w:val="left"/>
              <w:rPr>
                <w:rFonts w:ascii="Arial" w:hAnsi="Arial" w:cs="Arial" w:eastAsia="Arial" w:hint="default"/>
                <w:sz w:val="24"/>
                <w:szCs w:val="24"/>
              </w:rPr>
            </w:pPr>
            <w:r>
              <w:rPr>
                <w:rFonts w:ascii="Arial"/>
                <w:sz w:val="24"/>
              </w:rPr>
              <w:t>59,274</w:t>
            </w:r>
          </w:p>
        </w:tc>
      </w:tr>
      <w:tr>
        <w:trPr>
          <w:trHeight w:val="312"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应付终止特许加盟的款项</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9"/>
              <w:jc w:val="right"/>
              <w:rPr>
                <w:rFonts w:ascii="Arial" w:hAnsi="Arial" w:cs="Arial" w:eastAsia="Arial" w:hint="default"/>
                <w:sz w:val="24"/>
                <w:szCs w:val="24"/>
              </w:rPr>
            </w:pPr>
            <w:r>
              <w:rPr>
                <w:rFonts w:ascii="Arial"/>
                <w:w w:val="99"/>
                <w:sz w:val="24"/>
              </w:rPr>
              <w:t>-</w:t>
            </w:r>
            <w:r>
              <w:rPr>
                <w:rFonts w:ascii="Arial"/>
                <w:sz w:val="24"/>
              </w:rPr>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41" w:right="0"/>
              <w:jc w:val="left"/>
              <w:rPr>
                <w:rFonts w:ascii="Arial" w:hAnsi="Arial" w:cs="Arial" w:eastAsia="Arial" w:hint="default"/>
                <w:sz w:val="24"/>
                <w:szCs w:val="24"/>
              </w:rPr>
            </w:pPr>
            <w:r>
              <w:rPr>
                <w:rFonts w:ascii="Arial"/>
                <w:sz w:val="24"/>
              </w:rPr>
              <w:t>266,789</w:t>
            </w:r>
          </w:p>
        </w:tc>
      </w:tr>
      <w:tr>
        <w:trPr>
          <w:trHeight w:val="314"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282" w:type="dxa"/>
            <w:tcBorders>
              <w:top w:val="nil" w:sz="6" w:space="0" w:color="auto"/>
              <w:left w:val="nil" w:sz="6" w:space="0" w:color="auto"/>
              <w:bottom w:val="nil" w:sz="6" w:space="0" w:color="auto"/>
              <w:right w:val="nil" w:sz="6" w:space="0" w:color="auto"/>
            </w:tcBorders>
          </w:tcPr>
          <w:p>
            <w:pPr>
              <w:pStyle w:val="TableParagraph"/>
              <w:tabs>
                <w:tab w:pos="1443" w:val="left" w:leader="none"/>
                <w:tab w:pos="2365" w:val="left" w:leader="none"/>
              </w:tabs>
              <w:spacing w:line="240" w:lineRule="auto" w:before="20"/>
              <w:ind w:right="27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49,540</w:t>
              <w:tab/>
            </w:r>
            <w:r>
              <w:rPr>
                <w:rFonts w:ascii="Arial"/>
                <w:spacing w:val="-1"/>
                <w:sz w:val="24"/>
              </w:rPr>
            </w:r>
          </w:p>
        </w:tc>
        <w:tc>
          <w:tcPr>
            <w:tcW w:w="2610" w:type="dxa"/>
            <w:tcBorders>
              <w:top w:val="nil" w:sz="6" w:space="0" w:color="auto"/>
              <w:left w:val="nil" w:sz="6" w:space="0" w:color="auto"/>
              <w:bottom w:val="nil" w:sz="6" w:space="0" w:color="auto"/>
              <w:right w:val="nil" w:sz="6" w:space="0" w:color="auto"/>
            </w:tcBorders>
          </w:tcPr>
          <w:p>
            <w:pPr>
              <w:pStyle w:val="TableParagraph"/>
              <w:tabs>
                <w:tab w:pos="1401" w:val="left" w:leader="none"/>
                <w:tab w:pos="2301"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43,377</w:t>
              <w:tab/>
            </w:r>
            <w:r>
              <w:rPr>
                <w:rFonts w:ascii="Arial"/>
                <w:spacing w:val="-1"/>
                <w:sz w:val="24"/>
              </w:rPr>
            </w:r>
          </w:p>
        </w:tc>
      </w:tr>
      <w:tr>
        <w:trPr>
          <w:trHeight w:val="363" w:hRule="exact"/>
        </w:trPr>
        <w:tc>
          <w:tcPr>
            <w:tcW w:w="637" w:type="dxa"/>
            <w:tcBorders>
              <w:top w:val="nil" w:sz="6" w:space="0" w:color="auto"/>
              <w:left w:val="nil" w:sz="6" w:space="0" w:color="auto"/>
              <w:bottom w:val="nil" w:sz="6" w:space="0" w:color="auto"/>
              <w:right w:val="nil" w:sz="6" w:space="0" w:color="auto"/>
            </w:tcBorders>
          </w:tcPr>
          <w:p>
            <w:pPr/>
          </w:p>
        </w:tc>
        <w:tc>
          <w:tcPr>
            <w:tcW w:w="3557"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tabs>
                <w:tab w:pos="1310" w:val="left" w:leader="none"/>
                <w:tab w:pos="2365" w:val="left" w:leader="none"/>
              </w:tabs>
              <w:spacing w:line="268" w:lineRule="exact"/>
              <w:ind w:right="27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608,046</w:t>
              <w:tab/>
            </w:r>
            <w:r>
              <w:rPr>
                <w:rFonts w:ascii="Arial"/>
                <w:spacing w:val="-1"/>
                <w:sz w:val="24"/>
              </w:rPr>
            </w:r>
          </w:p>
        </w:tc>
        <w:tc>
          <w:tcPr>
            <w:tcW w:w="2610" w:type="dxa"/>
            <w:tcBorders>
              <w:top w:val="nil" w:sz="6" w:space="0" w:color="auto"/>
              <w:left w:val="nil" w:sz="6" w:space="0" w:color="auto"/>
              <w:bottom w:val="nil" w:sz="6" w:space="0" w:color="auto"/>
              <w:right w:val="nil" w:sz="6" w:space="0" w:color="auto"/>
            </w:tcBorders>
          </w:tcPr>
          <w:p>
            <w:pPr>
              <w:pStyle w:val="TableParagraph"/>
              <w:tabs>
                <w:tab w:pos="1268" w:val="left" w:leader="none"/>
                <w:tab w:pos="2301"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702,946</w:t>
              <w:tab/>
            </w:r>
            <w:r>
              <w:rPr>
                <w:rFonts w:ascii="Arial"/>
                <w:spacing w:val="-1"/>
                <w:sz w:val="24"/>
              </w:rPr>
            </w:r>
          </w:p>
        </w:tc>
      </w:tr>
    </w:tbl>
    <w:p>
      <w:pPr>
        <w:spacing w:line="240" w:lineRule="auto" w:before="11"/>
        <w:rPr>
          <w:rFonts w:ascii="Times New Roman" w:hAnsi="Times New Roman" w:cs="Times New Roman" w:eastAsia="Times New Roman" w:hint="default"/>
          <w:sz w:val="12"/>
          <w:szCs w:val="12"/>
        </w:rPr>
      </w:pPr>
    </w:p>
    <w:p>
      <w:pPr>
        <w:pStyle w:val="BodyText"/>
        <w:spacing w:line="312" w:lineRule="exact" w:before="56"/>
        <w:ind w:left="915" w:right="0"/>
        <w:jc w:val="left"/>
      </w:pPr>
      <w:r>
        <w:rPr/>
        <w:t>于</w:t>
      </w:r>
      <w:r>
        <w:rPr>
          <w:spacing w:val="-57"/>
        </w:rPr>
        <w:t> </w:t>
      </w:r>
      <w:r>
        <w:rPr>
          <w:rFonts w:ascii="Arial" w:hAnsi="Arial" w:cs="Arial" w:eastAsia="Arial" w:hint="default"/>
        </w:rPr>
        <w:t>2008</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日及</w:t>
      </w:r>
      <w:r>
        <w:rPr>
          <w:spacing w:val="-57"/>
        </w:rPr>
        <w:t> </w:t>
      </w:r>
      <w:r>
        <w:rPr>
          <w:rFonts w:ascii="Arial" w:hAnsi="Arial" w:cs="Arial" w:eastAsia="Arial" w:hint="default"/>
        </w:rPr>
        <w:t>2007</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日，其他应付款中无应付持有本公司</w:t>
      </w:r>
      <w:r>
        <w:rPr>
          <w:spacing w:val="-57"/>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spacing w:line="322" w:lineRule="exact"/>
        <w:ind w:left="915" w:right="0"/>
        <w:jc w:val="left"/>
        <w:rPr>
          <w:rFonts w:ascii="Arial" w:hAnsi="Arial" w:cs="Arial" w:eastAsia="Arial" w:hint="default"/>
        </w:rPr>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日，账龄超过一年的其他应付款约为人民币</w:t>
      </w:r>
      <w:r>
        <w:rPr>
          <w:spacing w:val="-61"/>
        </w:rPr>
        <w:t> </w:t>
      </w:r>
      <w:r>
        <w:rPr>
          <w:rFonts w:ascii="Arial" w:hAnsi="Arial" w:cs="Arial" w:eastAsia="Arial" w:hint="default"/>
        </w:rPr>
        <w:t>6,395</w:t>
      </w:r>
      <w:r>
        <w:rPr>
          <w:rFonts w:ascii="Arial" w:hAnsi="Arial" w:cs="Arial" w:eastAsia="Arial" w:hint="default"/>
          <w:spacing w:val="-8"/>
        </w:rPr>
        <w:t> </w:t>
      </w:r>
      <w:r>
        <w:rPr/>
        <w:t>万元</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p>
    <w:p>
      <w:pPr>
        <w:pStyle w:val="BodyText"/>
        <w:spacing w:line="427" w:lineRule="auto"/>
        <w:ind w:left="915" w:right="2190"/>
        <w:jc w:val="left"/>
      </w:pP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3,846</w:t>
      </w:r>
      <w:r>
        <w:rPr>
          <w:rFonts w:ascii="Arial" w:hAnsi="Arial" w:cs="Arial" w:eastAsia="Arial" w:hint="default"/>
          <w:spacing w:val="-9"/>
        </w:rPr>
        <w:t> </w:t>
      </w:r>
      <w:r>
        <w:rPr/>
        <w:t>万元</w:t>
      </w:r>
      <w:r>
        <w:rPr>
          <w:rFonts w:ascii="Arial" w:hAnsi="Arial" w:cs="Arial" w:eastAsia="Arial" w:hint="default"/>
        </w:rPr>
        <w:t>)</w:t>
      </w:r>
      <w:r>
        <w:rPr/>
        <w:t>，主要为收取的各类保证金和押金。 本集团的其他应付款均为人民币余额。</w:t>
      </w:r>
    </w:p>
    <w:p>
      <w:pPr>
        <w:tabs>
          <w:tab w:pos="911" w:val="left" w:leader="none"/>
        </w:tabs>
        <w:spacing w:line="313" w:lineRule="exact" w:before="52"/>
        <w:ind w:left="202" w:right="3753" w:firstLine="0"/>
        <w:jc w:val="left"/>
        <w:rPr>
          <w:rFonts w:ascii="宋体" w:hAnsi="宋体" w:cs="宋体" w:eastAsia="宋体" w:hint="default"/>
          <w:sz w:val="24"/>
          <w:szCs w:val="24"/>
        </w:rPr>
      </w:pPr>
      <w:r>
        <w:rPr>
          <w:rFonts w:ascii="Arial" w:hAnsi="Arial" w:cs="Arial" w:eastAsia="Arial" w:hint="default"/>
          <w:w w:val="95"/>
          <w:position w:val="2"/>
          <w:sz w:val="24"/>
          <w:szCs w:val="24"/>
        </w:rPr>
        <w:t>(20)</w:t>
        <w:tab/>
      </w:r>
      <w:r>
        <w:rPr>
          <w:rFonts w:ascii="宋体" w:hAnsi="宋体" w:cs="宋体" w:eastAsia="宋体" w:hint="default"/>
          <w:b/>
          <w:bCs/>
          <w:sz w:val="24"/>
          <w:szCs w:val="24"/>
        </w:rPr>
        <w:t>一年内到期的非流动负债</w:t>
      </w:r>
      <w:r>
        <w:rPr>
          <w:rFonts w:ascii="宋体" w:hAnsi="宋体" w:cs="宋体" w:eastAsia="宋体" w:hint="default"/>
          <w:sz w:val="24"/>
          <w:szCs w:val="24"/>
        </w:rPr>
      </w:r>
    </w:p>
    <w:p>
      <w:pPr>
        <w:pStyle w:val="BodyText"/>
        <w:tabs>
          <w:tab w:pos="7882" w:val="left" w:leader="none"/>
        </w:tabs>
        <w:spacing w:line="330" w:lineRule="exact"/>
        <w:ind w:left="5055" w:right="0"/>
        <w:jc w:val="left"/>
      </w:pPr>
      <w:r>
        <w:rPr>
          <w:rFonts w:ascii="Arial" w:hAnsi="Arial" w:cs="Arial" w:eastAsia="Arial" w:hint="default"/>
        </w:rPr>
        <w:t>2008</w:t>
      </w:r>
      <w:r>
        <w:rPr>
          <w:rFonts w:ascii="Arial" w:hAnsi="Arial" w:cs="Arial" w:eastAsia="Arial" w:hint="default"/>
          <w:spacing w:val="-12"/>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31</w:t>
      </w:r>
      <w:r>
        <w:rPr>
          <w:rFonts w:ascii="Arial" w:hAnsi="Arial" w:cs="Arial" w:eastAsia="Arial" w:hint="default"/>
          <w:spacing w:val="-12"/>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tbl>
      <w:tblPr>
        <w:tblW w:w="0" w:type="auto"/>
        <w:jc w:val="left"/>
        <w:tblInd w:w="167" w:type="dxa"/>
        <w:tblLayout w:type="fixed"/>
        <w:tblCellMar>
          <w:top w:w="0" w:type="dxa"/>
          <w:left w:w="0" w:type="dxa"/>
          <w:bottom w:w="0" w:type="dxa"/>
          <w:right w:w="0" w:type="dxa"/>
        </w:tblCellMar>
        <w:tblLook w:val="01E0"/>
      </w:tblPr>
      <w:tblGrid>
        <w:gridCol w:w="603"/>
        <w:gridCol w:w="3355"/>
        <w:gridCol w:w="3446"/>
        <w:gridCol w:w="2616"/>
      </w:tblGrid>
      <w:tr>
        <w:trPr>
          <w:trHeight w:val="1062"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3446" w:type="dxa"/>
            <w:tcBorders>
              <w:top w:val="nil" w:sz="6" w:space="0" w:color="auto"/>
              <w:left w:val="nil" w:sz="6" w:space="0" w:color="auto"/>
              <w:bottom w:val="nil" w:sz="6" w:space="0" w:color="auto"/>
              <w:right w:val="nil" w:sz="6" w:space="0" w:color="auto"/>
            </w:tcBorders>
          </w:tcPr>
          <w:p>
            <w:pPr>
              <w:pStyle w:val="TableParagraph"/>
              <w:spacing w:line="291" w:lineRule="exact"/>
              <w:ind w:left="171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p>
            <w:pPr>
              <w:pStyle w:val="TableParagraph"/>
              <w:spacing w:line="240" w:lineRule="auto" w:before="3"/>
              <w:ind w:right="0"/>
              <w:jc w:val="left"/>
              <w:rPr>
                <w:rFonts w:ascii="宋体" w:hAnsi="宋体" w:cs="宋体" w:eastAsia="宋体" w:hint="default"/>
                <w:sz w:val="25"/>
                <w:szCs w:val="25"/>
              </w:rPr>
            </w:pPr>
          </w:p>
          <w:p>
            <w:pPr>
              <w:pStyle w:val="TableParagraph"/>
              <w:tabs>
                <w:tab w:pos="2110" w:val="left" w:leader="none"/>
                <w:tab w:pos="3173" w:val="left" w:leader="none"/>
              </w:tabs>
              <w:spacing w:line="240" w:lineRule="auto"/>
              <w:ind w:left="81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152,870</w:t>
              <w:tab/>
            </w:r>
            <w:r>
              <w:rPr>
                <w:rFonts w:ascii="Arial"/>
                <w:sz w:val="24"/>
              </w:rPr>
            </w:r>
          </w:p>
        </w:tc>
        <w:tc>
          <w:tcPr>
            <w:tcW w:w="2616" w:type="dxa"/>
            <w:tcBorders>
              <w:top w:val="nil" w:sz="6" w:space="0" w:color="auto"/>
              <w:left w:val="nil" w:sz="6" w:space="0" w:color="auto"/>
              <w:bottom w:val="nil" w:sz="6" w:space="0" w:color="auto"/>
              <w:right w:val="nil" w:sz="6" w:space="0" w:color="auto"/>
            </w:tcBorders>
          </w:tcPr>
          <w:p>
            <w:pPr>
              <w:pStyle w:val="TableParagraph"/>
              <w:spacing w:line="291" w:lineRule="exact"/>
              <w:ind w:left="111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p>
            <w:pPr>
              <w:pStyle w:val="TableParagraph"/>
              <w:spacing w:line="240" w:lineRule="auto" w:before="3"/>
              <w:ind w:right="0"/>
              <w:jc w:val="left"/>
              <w:rPr>
                <w:rFonts w:ascii="宋体" w:hAnsi="宋体" w:cs="宋体" w:eastAsia="宋体" w:hint="default"/>
                <w:sz w:val="25"/>
                <w:szCs w:val="25"/>
              </w:rPr>
            </w:pPr>
          </w:p>
          <w:p>
            <w:pPr>
              <w:pStyle w:val="TableParagraph"/>
              <w:tabs>
                <w:tab w:pos="1505" w:val="left" w:leader="none"/>
                <w:tab w:pos="2581" w:val="left" w:leader="none"/>
              </w:tabs>
              <w:spacing w:line="240" w:lineRule="auto"/>
              <w:ind w:left="27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106,506</w:t>
              <w:tab/>
            </w:r>
            <w:r>
              <w:rPr>
                <w:rFonts w:ascii="Arial"/>
                <w:sz w:val="24"/>
              </w:rPr>
            </w:r>
          </w:p>
        </w:tc>
      </w:tr>
      <w:tr>
        <w:trPr>
          <w:trHeight w:val="591" w:hRule="exact"/>
        </w:trPr>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(21)</w:t>
            </w: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b/>
                <w:bCs/>
                <w:sz w:val="24"/>
                <w:szCs w:val="24"/>
              </w:rPr>
              <w:t>其他流动负债</w:t>
            </w:r>
            <w:r>
              <w:rPr>
                <w:rFonts w:ascii="宋体" w:hAnsi="宋体" w:cs="宋体" w:eastAsia="宋体" w:hint="default"/>
                <w:sz w:val="24"/>
                <w:szCs w:val="24"/>
              </w:rPr>
            </w:r>
          </w:p>
        </w:tc>
        <w:tc>
          <w:tcPr>
            <w:tcW w:w="3446"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nil" w:sz="6" w:space="0" w:color="auto"/>
              <w:right w:val="nil" w:sz="6" w:space="0" w:color="auto"/>
            </w:tcBorders>
          </w:tcPr>
          <w:p>
            <w:pPr/>
          </w:p>
        </w:tc>
      </w:tr>
      <w:tr>
        <w:trPr>
          <w:trHeight w:val="456"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99"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26"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0"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Style w:val="TableParagraph"/>
              <w:spacing w:line="287" w:lineRule="exact"/>
              <w:ind w:left="171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616" w:type="dxa"/>
            <w:tcBorders>
              <w:top w:val="nil" w:sz="6" w:space="0" w:color="auto"/>
              <w:left w:val="nil" w:sz="6" w:space="0" w:color="auto"/>
              <w:bottom w:val="nil" w:sz="6" w:space="0" w:color="auto"/>
              <w:right w:val="nil" w:sz="6" w:space="0" w:color="auto"/>
            </w:tcBorders>
          </w:tcPr>
          <w:p>
            <w:pPr>
              <w:pStyle w:val="TableParagraph"/>
              <w:spacing w:line="287" w:lineRule="exact"/>
              <w:ind w:right="135"/>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228" w:right="0"/>
              <w:jc w:val="left"/>
              <w:rPr>
                <w:rFonts w:ascii="Arial" w:hAnsi="Arial" w:cs="Arial" w:eastAsia="Arial" w:hint="default"/>
                <w:sz w:val="24"/>
                <w:szCs w:val="24"/>
              </w:rPr>
            </w:pPr>
            <w:r>
              <w:rPr>
                <w:rFonts w:ascii="Arial"/>
                <w:sz w:val="24"/>
              </w:rPr>
              <w:t>61,030</w:t>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666" w:right="0"/>
              <w:jc w:val="left"/>
              <w:rPr>
                <w:rFonts w:ascii="Arial" w:hAnsi="Arial" w:cs="Arial" w:eastAsia="Arial" w:hint="default"/>
                <w:sz w:val="24"/>
                <w:szCs w:val="24"/>
              </w:rPr>
            </w:pPr>
            <w:r>
              <w:rPr>
                <w:rFonts w:ascii="Arial"/>
                <w:sz w:val="24"/>
              </w:rPr>
              <w:t>16,279</w:t>
            </w:r>
          </w:p>
        </w:tc>
      </w:tr>
      <w:tr>
        <w:trPr>
          <w:trHeight w:val="312"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Style w:val="TableParagraph"/>
              <w:spacing w:line="261" w:lineRule="exact"/>
              <w:ind w:left="141"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228" w:right="0"/>
              <w:jc w:val="left"/>
              <w:rPr>
                <w:rFonts w:ascii="Arial" w:hAnsi="Arial" w:cs="Arial" w:eastAsia="Arial" w:hint="default"/>
                <w:sz w:val="24"/>
                <w:szCs w:val="24"/>
              </w:rPr>
            </w:pPr>
            <w:r>
              <w:rPr>
                <w:rFonts w:ascii="Arial"/>
                <w:sz w:val="24"/>
              </w:rPr>
              <w:t>33,743</w:t>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66" w:right="0"/>
              <w:jc w:val="left"/>
              <w:rPr>
                <w:rFonts w:ascii="Arial" w:hAnsi="Arial" w:cs="Arial" w:eastAsia="Arial" w:hint="default"/>
                <w:sz w:val="24"/>
                <w:szCs w:val="24"/>
              </w:rPr>
            </w:pPr>
            <w:r>
              <w:rPr>
                <w:rFonts w:ascii="Arial"/>
                <w:sz w:val="24"/>
              </w:rPr>
              <w:t>18,378</w:t>
            </w:r>
          </w:p>
        </w:tc>
      </w:tr>
      <w:tr>
        <w:trPr>
          <w:trHeight w:val="314"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Style w:val="TableParagraph"/>
              <w:spacing w:line="278" w:lineRule="exact"/>
              <w:ind w:left="141"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3446" w:type="dxa"/>
            <w:tcBorders>
              <w:top w:val="nil" w:sz="6" w:space="0" w:color="auto"/>
              <w:left w:val="nil" w:sz="6" w:space="0" w:color="auto"/>
              <w:bottom w:val="nil" w:sz="6" w:space="0" w:color="auto"/>
              <w:right w:val="nil" w:sz="6" w:space="0" w:color="auto"/>
            </w:tcBorders>
          </w:tcPr>
          <w:p>
            <w:pPr>
              <w:pStyle w:val="TableParagraph"/>
              <w:tabs>
                <w:tab w:pos="1414" w:val="left" w:leader="none"/>
                <w:tab w:pos="2359" w:val="left" w:leader="none"/>
              </w:tabs>
              <w:spacing w:line="240" w:lineRule="auto" w:before="20"/>
              <w:ind w:right="27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30,079</w:t>
              <w:tab/>
            </w:r>
            <w:r>
              <w:rPr>
                <w:rFonts w:ascii="Arial"/>
                <w:spacing w:val="-1"/>
                <w:sz w:val="24"/>
              </w:rPr>
            </w:r>
          </w:p>
        </w:tc>
        <w:tc>
          <w:tcPr>
            <w:tcW w:w="2616" w:type="dxa"/>
            <w:tcBorders>
              <w:top w:val="nil" w:sz="6" w:space="0" w:color="auto"/>
              <w:left w:val="nil" w:sz="6" w:space="0" w:color="auto"/>
              <w:bottom w:val="nil" w:sz="6" w:space="0" w:color="auto"/>
              <w:right w:val="nil" w:sz="6" w:space="0" w:color="auto"/>
            </w:tcBorders>
          </w:tcPr>
          <w:p>
            <w:pPr>
              <w:pStyle w:val="TableParagraph"/>
              <w:tabs>
                <w:tab w:pos="2047" w:val="left" w:leader="none"/>
                <w:tab w:pos="2308"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363" w:hRule="exact"/>
        </w:trPr>
        <w:tc>
          <w:tcPr>
            <w:tcW w:w="60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Style w:val="TableParagraph"/>
              <w:tabs>
                <w:tab w:pos="1281" w:val="left" w:leader="none"/>
                <w:tab w:pos="2359" w:val="left" w:leader="none"/>
              </w:tabs>
              <w:spacing w:line="268" w:lineRule="exact"/>
              <w:ind w:right="27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124,852</w:t>
              <w:tab/>
            </w:r>
            <w:r>
              <w:rPr>
                <w:rFonts w:ascii="Arial"/>
                <w:spacing w:val="-1"/>
                <w:sz w:val="24"/>
              </w:rPr>
            </w:r>
          </w:p>
        </w:tc>
        <w:tc>
          <w:tcPr>
            <w:tcW w:w="2616" w:type="dxa"/>
            <w:tcBorders>
              <w:top w:val="nil" w:sz="6" w:space="0" w:color="auto"/>
              <w:left w:val="nil" w:sz="6" w:space="0" w:color="auto"/>
              <w:bottom w:val="nil" w:sz="6" w:space="0" w:color="auto"/>
              <w:right w:val="nil" w:sz="6" w:space="0" w:color="auto"/>
            </w:tcBorders>
          </w:tcPr>
          <w:p>
            <w:pPr>
              <w:pStyle w:val="TableParagraph"/>
              <w:tabs>
                <w:tab w:pos="1394" w:val="left" w:leader="none"/>
                <w:tab w:pos="2308"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34,657</w:t>
              <w:tab/>
            </w:r>
            <w:r>
              <w:rPr>
                <w:rFonts w:ascii="Arial"/>
                <w:spacing w:val="-1"/>
                <w:sz w:val="24"/>
              </w:rPr>
            </w:r>
          </w:p>
        </w:tc>
      </w:tr>
    </w:tbl>
    <w:p>
      <w:pPr>
        <w:spacing w:line="240" w:lineRule="auto" w:before="6"/>
        <w:rPr>
          <w:rFonts w:ascii="宋体" w:hAnsi="宋体" w:cs="宋体" w:eastAsia="宋体" w:hint="default"/>
          <w:sz w:val="12"/>
          <w:szCs w:val="12"/>
        </w:rPr>
      </w:pPr>
    </w:p>
    <w:p>
      <w:pPr>
        <w:pStyle w:val="BodyText"/>
        <w:tabs>
          <w:tab w:pos="911" w:val="left" w:leader="none"/>
        </w:tabs>
        <w:spacing w:line="312" w:lineRule="exact" w:before="63"/>
        <w:ind w:left="912" w:right="251" w:hanging="710"/>
        <w:jc w:val="left"/>
      </w:pPr>
      <w:r>
        <w:rPr>
          <w:rFonts w:ascii="Arial" w:hAnsi="Arial" w:cs="Arial" w:eastAsia="Arial" w:hint="default"/>
          <w:w w:val="95"/>
          <w:position w:val="2"/>
        </w:rPr>
        <w:t>(a)</w:t>
        <w:tab/>
      </w:r>
      <w:r>
        <w:rPr/>
        <w:t>根据积分计划递延确认的收益，以授予顾客的积分为基准，并根据本集团已公布的积分 使用方法和积分的预期兑付率后，按公允价值确认。</w:t>
      </w:r>
    </w:p>
    <w:p>
      <w:pPr>
        <w:spacing w:after="0" w:line="312" w:lineRule="exact"/>
        <w:jc w:val="left"/>
        <w:sectPr>
          <w:pgSz w:w="11910" w:h="16840"/>
          <w:pgMar w:header="752" w:footer="707" w:top="1020" w:bottom="900" w:left="840" w:right="760"/>
        </w:sectPr>
      </w:pPr>
    </w:p>
    <w:p>
      <w:pPr>
        <w:spacing w:line="240" w:lineRule="auto" w:before="0"/>
        <w:rPr>
          <w:rFonts w:ascii="宋体" w:hAnsi="宋体" w:cs="宋体" w:eastAsia="宋体" w:hint="default"/>
          <w:sz w:val="20"/>
          <w:szCs w:val="20"/>
        </w:rPr>
      </w:pPr>
    </w:p>
    <w:p>
      <w:pPr>
        <w:pStyle w:val="Heading2"/>
        <w:tabs>
          <w:tab w:pos="811" w:val="left" w:leader="none"/>
        </w:tabs>
        <w:spacing w:line="240" w:lineRule="auto" w:before="158"/>
        <w:ind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1"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(22)</w:t>
        <w:tab/>
      </w:r>
      <w:r>
        <w:rPr>
          <w:rFonts w:ascii="宋体" w:hAnsi="宋体" w:cs="宋体" w:eastAsia="宋体" w:hint="default"/>
          <w:b/>
          <w:bCs/>
          <w:sz w:val="24"/>
          <w:szCs w:val="24"/>
        </w:rPr>
        <w:t>递延所得税资产和负债</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1" w:val="left" w:leader="none"/>
        </w:tabs>
        <w:spacing w:line="240" w:lineRule="auto"/>
        <w:ind w:left="102" w:right="0"/>
        <w:jc w:val="left"/>
      </w:pPr>
      <w:r>
        <w:rPr>
          <w:rFonts w:ascii="Arial" w:hAnsi="Arial" w:cs="Arial" w:eastAsia="Arial" w:hint="default"/>
          <w:w w:val="95"/>
          <w:position w:val="2"/>
        </w:rPr>
        <w:t>(a)</w:t>
        <w:tab/>
      </w:r>
      <w:r>
        <w:rPr/>
        <w:t>递延所得税资产</w:t>
      </w:r>
    </w:p>
    <w:p>
      <w:pPr>
        <w:spacing w:line="240" w:lineRule="auto" w:before="12"/>
        <w:rPr>
          <w:rFonts w:ascii="宋体" w:hAnsi="宋体" w:cs="宋体" w:eastAsia="宋体" w:hint="default"/>
          <w:sz w:val="20"/>
          <w:szCs w:val="20"/>
        </w:rPr>
      </w:pPr>
    </w:p>
    <w:p>
      <w:pPr>
        <w:pStyle w:val="BodyText"/>
        <w:tabs>
          <w:tab w:pos="7296" w:val="left" w:leader="none"/>
        </w:tabs>
        <w:spacing w:line="240" w:lineRule="auto"/>
        <w:ind w:left="3393"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after="0" w:line="240" w:lineRule="auto"/>
        <w:jc w:val="left"/>
        <w:sectPr>
          <w:pgSz w:w="11910" w:h="16840"/>
          <w:pgMar w:header="752" w:footer="707" w:top="1020" w:bottom="900" w:left="940" w:right="760"/>
        </w:sectPr>
      </w:pPr>
    </w:p>
    <w:p>
      <w:pPr>
        <w:spacing w:line="260"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递延所得税</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资产</w:t>
      </w:r>
    </w:p>
    <w:p>
      <w:pPr>
        <w:spacing w:line="274" w:lineRule="exact" w:before="12"/>
        <w:ind w:left="1032" w:right="-20" w:firstLine="420"/>
        <w:jc w:val="left"/>
        <w:rPr>
          <w:rFonts w:ascii="宋体" w:hAnsi="宋体" w:cs="宋体" w:eastAsia="宋体" w:hint="default"/>
          <w:sz w:val="21"/>
          <w:szCs w:val="21"/>
        </w:rPr>
      </w:pPr>
      <w:r>
        <w:rPr/>
        <w:br w:type="column"/>
      </w:r>
      <w:r>
        <w:rPr>
          <w:rFonts w:ascii="宋体" w:hAnsi="宋体" w:cs="宋体" w:eastAsia="宋体" w:hint="default"/>
          <w:sz w:val="21"/>
          <w:szCs w:val="21"/>
        </w:rPr>
        <w:t>可抵扣 暂时性差异</w:t>
      </w:r>
    </w:p>
    <w:p>
      <w:pPr>
        <w:spacing w:line="260" w:lineRule="exact" w:before="0"/>
        <w:ind w:left="0" w:right="0" w:firstLine="0"/>
        <w:jc w:val="right"/>
        <w:rPr>
          <w:rFonts w:ascii="宋体" w:hAnsi="宋体" w:cs="宋体" w:eastAsia="宋体" w:hint="default"/>
          <w:sz w:val="21"/>
          <w:szCs w:val="21"/>
        </w:rPr>
      </w:pPr>
      <w:r>
        <w:rPr/>
        <w:br w:type="column"/>
      </w:r>
      <w:r>
        <w:rPr>
          <w:rFonts w:ascii="宋体" w:hAnsi="宋体" w:cs="宋体" w:eastAsia="宋体" w:hint="default"/>
          <w:sz w:val="21"/>
          <w:szCs w:val="21"/>
        </w:rPr>
        <w:t>递延所得税</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资产</w:t>
      </w:r>
    </w:p>
    <w:p>
      <w:pPr>
        <w:spacing w:line="274" w:lineRule="exact" w:before="12"/>
        <w:ind w:left="981" w:right="232" w:firstLine="420"/>
        <w:jc w:val="left"/>
        <w:rPr>
          <w:rFonts w:ascii="宋体" w:hAnsi="宋体" w:cs="宋体" w:eastAsia="宋体" w:hint="default"/>
          <w:sz w:val="21"/>
          <w:szCs w:val="21"/>
        </w:rPr>
      </w:pPr>
      <w:r>
        <w:rPr/>
        <w:br w:type="column"/>
      </w:r>
      <w:r>
        <w:rPr>
          <w:rFonts w:ascii="宋体" w:hAnsi="宋体" w:cs="宋体" w:eastAsia="宋体" w:hint="default"/>
          <w:sz w:val="21"/>
          <w:szCs w:val="21"/>
        </w:rPr>
        <w:t>可抵扣 暂时性差异</w:t>
      </w:r>
    </w:p>
    <w:p>
      <w:pPr>
        <w:spacing w:after="0" w:line="274" w:lineRule="exact"/>
        <w:jc w:val="left"/>
        <w:rPr>
          <w:rFonts w:ascii="宋体" w:hAnsi="宋体" w:cs="宋体" w:eastAsia="宋体" w:hint="default"/>
          <w:sz w:val="21"/>
          <w:szCs w:val="21"/>
        </w:rPr>
        <w:sectPr>
          <w:type w:val="continuous"/>
          <w:pgSz w:w="11910" w:h="16840"/>
          <w:pgMar w:top="1600" w:bottom="280" w:left="940" w:right="760"/>
          <w:cols w:num="4" w:equalWidth="0">
            <w:col w:w="4106" w:space="40"/>
            <w:col w:w="2083" w:space="40"/>
            <w:col w:w="1613" w:space="40"/>
            <w:col w:w="2288"/>
          </w:cols>
        </w:sectPr>
      </w:pPr>
    </w:p>
    <w:p>
      <w:pPr>
        <w:spacing w:line="262" w:lineRule="exact" w:before="0"/>
        <w:ind w:left="5703"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40" w:lineRule="auto" w:before="9"/>
        <w:rPr>
          <w:rFonts w:ascii="Arial" w:hAnsi="Arial" w:cs="Arial" w:eastAsia="Arial" w:hint="default"/>
          <w:sz w:val="19"/>
          <w:szCs w:val="19"/>
        </w:rPr>
      </w:pPr>
    </w:p>
    <w:tbl>
      <w:tblPr>
        <w:tblW w:w="0" w:type="auto"/>
        <w:jc w:val="left"/>
        <w:tblInd w:w="776" w:type="dxa"/>
        <w:tblLayout w:type="fixed"/>
        <w:tblCellMar>
          <w:top w:w="0" w:type="dxa"/>
          <w:left w:w="0" w:type="dxa"/>
          <w:bottom w:w="0" w:type="dxa"/>
          <w:right w:w="0" w:type="dxa"/>
        </w:tblCellMar>
        <w:tblLook w:val="01E0"/>
      </w:tblPr>
      <w:tblGrid>
        <w:gridCol w:w="1734"/>
        <w:gridCol w:w="1838"/>
        <w:gridCol w:w="2123"/>
        <w:gridCol w:w="1646"/>
        <w:gridCol w:w="1970"/>
      </w:tblGrid>
      <w:tr>
        <w:trPr>
          <w:trHeight w:val="615"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16"/>
              <w:jc w:val="left"/>
              <w:rPr>
                <w:rFonts w:ascii="宋体" w:hAnsi="宋体" w:cs="宋体" w:eastAsia="宋体" w:hint="default"/>
                <w:sz w:val="21"/>
                <w:szCs w:val="21"/>
              </w:rPr>
            </w:pPr>
            <w:r>
              <w:rPr>
                <w:rFonts w:ascii="宋体" w:hAnsi="宋体" w:cs="宋体" w:eastAsia="宋体" w:hint="default"/>
                <w:sz w:val="21"/>
                <w:szCs w:val="21"/>
              </w:rPr>
              <w:t>长期待摊费用摊销 </w:t>
            </w:r>
            <w:r>
              <w:rPr>
                <w:rFonts w:ascii="宋体" w:hAnsi="宋体" w:cs="宋体" w:eastAsia="宋体" w:hint="default"/>
                <w:spacing w:val="20"/>
                <w:sz w:val="21"/>
                <w:szCs w:val="21"/>
              </w:rPr>
              <w:t>尚未支付的广告</w:t>
            </w:r>
            <w:r>
              <w:rPr>
                <w:rFonts w:ascii="宋体" w:hAnsi="宋体" w:cs="宋体" w:eastAsia="宋体" w:hint="default"/>
                <w:spacing w:val="-81"/>
                <w:sz w:val="21"/>
                <w:szCs w:val="21"/>
              </w:rPr>
              <w:t> </w:t>
            </w:r>
            <w:r>
              <w:rPr>
                <w:rFonts w:ascii="宋体" w:hAnsi="宋体" w:cs="宋体" w:eastAsia="宋体" w:hint="default"/>
                <w:sz w:val="21"/>
                <w:szCs w:val="21"/>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0"/>
              <w:jc w:val="right"/>
              <w:rPr>
                <w:rFonts w:ascii="Arial" w:hAnsi="Arial" w:cs="Arial" w:eastAsia="Arial" w:hint="default"/>
                <w:sz w:val="21"/>
                <w:szCs w:val="21"/>
              </w:rPr>
            </w:pPr>
            <w:r>
              <w:rPr>
                <w:rFonts w:ascii="Arial"/>
                <w:spacing w:val="-1"/>
                <w:w w:val="95"/>
                <w:sz w:val="21"/>
              </w:rPr>
              <w:t>50,105</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1"/>
              <w:jc w:val="right"/>
              <w:rPr>
                <w:rFonts w:ascii="Arial" w:hAnsi="Arial" w:cs="Arial" w:eastAsia="Arial" w:hint="default"/>
                <w:sz w:val="21"/>
                <w:szCs w:val="21"/>
              </w:rPr>
            </w:pPr>
            <w:r>
              <w:rPr>
                <w:rFonts w:ascii="Arial"/>
                <w:spacing w:val="-1"/>
                <w:w w:val="95"/>
                <w:sz w:val="21"/>
              </w:rPr>
              <w:t>213,282</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68" w:right="0"/>
              <w:jc w:val="left"/>
              <w:rPr>
                <w:rFonts w:ascii="Arial" w:hAnsi="Arial" w:cs="Arial" w:eastAsia="Arial" w:hint="default"/>
                <w:sz w:val="21"/>
                <w:szCs w:val="21"/>
              </w:rPr>
            </w:pPr>
            <w:r>
              <w:rPr>
                <w:rFonts w:ascii="Arial"/>
                <w:sz w:val="21"/>
              </w:rPr>
              <w:t>46,129</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Arial" w:hAnsi="Arial" w:cs="Arial" w:eastAsia="Arial" w:hint="default"/>
                <w:sz w:val="21"/>
                <w:szCs w:val="21"/>
              </w:rPr>
            </w:pPr>
            <w:r>
              <w:rPr>
                <w:rFonts w:ascii="Arial"/>
                <w:spacing w:val="-1"/>
                <w:w w:val="95"/>
                <w:sz w:val="21"/>
              </w:rPr>
              <w:t>189,729</w:t>
            </w:r>
            <w:r>
              <w:rPr>
                <w:rFonts w:ascii="Arial"/>
                <w:sz w:val="21"/>
              </w:rPr>
            </w:r>
          </w:p>
        </w:tc>
      </w:tr>
      <w:tr>
        <w:trPr>
          <w:trHeight w:val="28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0"/>
              <w:jc w:val="right"/>
              <w:rPr>
                <w:rFonts w:ascii="Arial" w:hAnsi="Arial" w:cs="Arial" w:eastAsia="Arial" w:hint="default"/>
                <w:sz w:val="21"/>
                <w:szCs w:val="21"/>
              </w:rPr>
            </w:pPr>
            <w:r>
              <w:rPr>
                <w:rFonts w:ascii="Arial"/>
                <w:spacing w:val="-1"/>
                <w:w w:val="95"/>
                <w:sz w:val="21"/>
              </w:rPr>
              <w:t>29,201</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1"/>
              <w:jc w:val="right"/>
              <w:rPr>
                <w:rFonts w:ascii="Arial" w:hAnsi="Arial" w:cs="Arial" w:eastAsia="Arial" w:hint="default"/>
                <w:sz w:val="21"/>
                <w:szCs w:val="21"/>
              </w:rPr>
            </w:pPr>
            <w:r>
              <w:rPr>
                <w:rFonts w:ascii="Arial"/>
                <w:spacing w:val="-1"/>
                <w:w w:val="95"/>
                <w:sz w:val="21"/>
              </w:rPr>
              <w:t>122,573</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68" w:right="0"/>
              <w:jc w:val="left"/>
              <w:rPr>
                <w:rFonts w:ascii="Arial" w:hAnsi="Arial" w:cs="Arial" w:eastAsia="Arial" w:hint="default"/>
                <w:sz w:val="21"/>
                <w:szCs w:val="21"/>
              </w:rPr>
            </w:pPr>
            <w:r>
              <w:rPr>
                <w:rFonts w:ascii="Arial"/>
                <w:sz w:val="21"/>
              </w:rPr>
              <w:t>14,471</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3"/>
              <w:jc w:val="right"/>
              <w:rPr>
                <w:rFonts w:ascii="Arial" w:hAnsi="Arial" w:cs="Arial" w:eastAsia="Arial" w:hint="default"/>
                <w:sz w:val="21"/>
                <w:szCs w:val="21"/>
              </w:rPr>
            </w:pPr>
            <w:r>
              <w:rPr>
                <w:rFonts w:ascii="Arial"/>
                <w:spacing w:val="-1"/>
                <w:w w:val="95"/>
                <w:sz w:val="21"/>
              </w:rPr>
              <w:t>59,274</w:t>
            </w:r>
            <w:r>
              <w:rPr>
                <w:rFonts w:ascii="Arial"/>
                <w:sz w:val="21"/>
              </w:rPr>
            </w:r>
          </w:p>
        </w:tc>
      </w:tr>
      <w:tr>
        <w:trPr>
          <w:trHeight w:val="272"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预提租赁费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1"/>
                <w:szCs w:val="21"/>
              </w:rPr>
            </w:pPr>
            <w:r>
              <w:rPr>
                <w:rFonts w:ascii="Arial"/>
                <w:spacing w:val="-1"/>
                <w:w w:val="95"/>
                <w:sz w:val="21"/>
              </w:rPr>
              <w:t>23,362</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w w:val="95"/>
                <w:sz w:val="21"/>
              </w:rPr>
              <w:t>93,447</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5"/>
              <w:jc w:val="right"/>
              <w:rPr>
                <w:rFonts w:ascii="Arial" w:hAnsi="Arial" w:cs="Arial" w:eastAsia="Arial" w:hint="default"/>
                <w:sz w:val="21"/>
                <w:szCs w:val="21"/>
              </w:rPr>
            </w:pPr>
            <w:r>
              <w:rPr>
                <w:rFonts w:ascii="Arial"/>
                <w:w w:val="99"/>
                <w:sz w:val="21"/>
              </w:rPr>
              <w:t>-</w:t>
            </w:r>
            <w:r>
              <w:rPr>
                <w:rFonts w:ascii="Arial"/>
                <w:sz w:val="21"/>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1"/>
                <w:szCs w:val="21"/>
              </w:rPr>
            </w:pPr>
            <w:r>
              <w:rPr>
                <w:rFonts w:ascii="Arial"/>
                <w:w w:val="99"/>
                <w:sz w:val="21"/>
              </w:rPr>
              <w:t>-</w:t>
            </w:r>
            <w:r>
              <w:rPr>
                <w:rFonts w:ascii="Arial"/>
                <w:sz w:val="21"/>
              </w:rPr>
            </w:r>
          </w:p>
        </w:tc>
      </w:tr>
      <w:tr>
        <w:trPr>
          <w:trHeight w:val="273"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1"/>
                <w:szCs w:val="21"/>
              </w:rPr>
            </w:pPr>
            <w:r>
              <w:rPr>
                <w:rFonts w:ascii="Arial"/>
                <w:spacing w:val="-1"/>
                <w:w w:val="95"/>
                <w:sz w:val="21"/>
              </w:rPr>
              <w:t>16,346</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w w:val="95"/>
                <w:sz w:val="21"/>
              </w:rPr>
              <w:t>67,746</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4" w:right="0"/>
              <w:jc w:val="left"/>
              <w:rPr>
                <w:rFonts w:ascii="Arial" w:hAnsi="Arial" w:cs="Arial" w:eastAsia="Arial" w:hint="default"/>
                <w:sz w:val="21"/>
                <w:szCs w:val="21"/>
              </w:rPr>
            </w:pPr>
            <w:r>
              <w:rPr>
                <w:rFonts w:ascii="Arial"/>
                <w:sz w:val="21"/>
              </w:rPr>
              <w:t>5,663</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1"/>
                <w:szCs w:val="21"/>
              </w:rPr>
            </w:pPr>
            <w:r>
              <w:rPr>
                <w:rFonts w:ascii="Arial"/>
                <w:spacing w:val="-1"/>
                <w:w w:val="95"/>
                <w:sz w:val="21"/>
              </w:rPr>
              <w:t>24,129</w:t>
            </w:r>
            <w:r>
              <w:rPr>
                <w:rFonts w:ascii="Arial"/>
                <w:sz w:val="21"/>
              </w:rPr>
            </w:r>
          </w:p>
        </w:tc>
      </w:tr>
      <w:tr>
        <w:trPr>
          <w:trHeight w:val="273"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1"/>
                <w:szCs w:val="21"/>
              </w:rPr>
            </w:pPr>
            <w:r>
              <w:rPr>
                <w:rFonts w:ascii="Arial"/>
                <w:spacing w:val="-1"/>
                <w:w w:val="95"/>
                <w:sz w:val="21"/>
              </w:rPr>
              <w:t>12,920</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w w:val="95"/>
                <w:sz w:val="21"/>
              </w:rPr>
              <w:t>52,742</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4" w:right="0"/>
              <w:jc w:val="left"/>
              <w:rPr>
                <w:rFonts w:ascii="Arial" w:hAnsi="Arial" w:cs="Arial" w:eastAsia="Arial" w:hint="default"/>
                <w:sz w:val="21"/>
                <w:szCs w:val="21"/>
              </w:rPr>
            </w:pPr>
            <w:r>
              <w:rPr>
                <w:rFonts w:ascii="Arial"/>
                <w:sz w:val="21"/>
              </w:rPr>
              <w:t>6,315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1"/>
                <w:szCs w:val="21"/>
              </w:rPr>
            </w:pPr>
            <w:r>
              <w:rPr>
                <w:rFonts w:ascii="Arial"/>
                <w:spacing w:val="-1"/>
                <w:w w:val="95"/>
                <w:sz w:val="21"/>
              </w:rPr>
              <w:t>25,579</w:t>
            </w:r>
            <w:r>
              <w:rPr>
                <w:rFonts w:ascii="Arial"/>
                <w:sz w:val="21"/>
              </w:rPr>
            </w:r>
          </w:p>
        </w:tc>
      </w:tr>
      <w:tr>
        <w:trPr>
          <w:trHeight w:val="273"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内部利润抵消</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1"/>
                <w:szCs w:val="21"/>
              </w:rPr>
            </w:pPr>
            <w:r>
              <w:rPr>
                <w:rFonts w:ascii="Arial"/>
                <w:spacing w:val="-1"/>
                <w:w w:val="95"/>
                <w:sz w:val="21"/>
              </w:rPr>
              <w:t>15,879</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w w:val="95"/>
                <w:sz w:val="21"/>
              </w:rPr>
              <w:t>63,515</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5"/>
              <w:jc w:val="right"/>
              <w:rPr>
                <w:rFonts w:ascii="Arial" w:hAnsi="Arial" w:cs="Arial" w:eastAsia="Arial" w:hint="default"/>
                <w:sz w:val="21"/>
                <w:szCs w:val="21"/>
              </w:rPr>
            </w:pPr>
            <w:r>
              <w:rPr>
                <w:rFonts w:ascii="Arial"/>
                <w:w w:val="99"/>
                <w:sz w:val="21"/>
              </w:rPr>
              <w:t>-</w:t>
            </w:r>
            <w:r>
              <w:rPr>
                <w:rFonts w:ascii="Arial"/>
                <w:sz w:val="21"/>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1"/>
                <w:szCs w:val="21"/>
              </w:rPr>
            </w:pPr>
            <w:r>
              <w:rPr>
                <w:rFonts w:ascii="Arial"/>
                <w:w w:val="99"/>
                <w:sz w:val="21"/>
              </w:rPr>
              <w:t>-</w:t>
            </w:r>
            <w:r>
              <w:rPr>
                <w:rFonts w:ascii="Arial"/>
                <w:sz w:val="21"/>
              </w:rPr>
            </w:r>
          </w:p>
        </w:tc>
      </w:tr>
      <w:tr>
        <w:trPr>
          <w:trHeight w:val="273"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积分计划</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1"/>
                <w:szCs w:val="21"/>
              </w:rPr>
            </w:pPr>
            <w:r>
              <w:rPr>
                <w:rFonts w:ascii="Arial"/>
                <w:spacing w:val="-1"/>
                <w:w w:val="95"/>
                <w:sz w:val="21"/>
              </w:rPr>
              <w:t>7,520</w:t>
            </w:r>
            <w:r>
              <w:rPr>
                <w:rFonts w:ascii="Arial"/>
                <w:sz w:val="21"/>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21"/>
                <w:szCs w:val="21"/>
              </w:rPr>
            </w:pPr>
            <w:r>
              <w:rPr>
                <w:rFonts w:ascii="Arial"/>
                <w:spacing w:val="-1"/>
                <w:w w:val="95"/>
                <w:sz w:val="21"/>
              </w:rPr>
              <w:t>30,079</w:t>
            </w:r>
            <w:r>
              <w:rPr>
                <w:rFonts w:ascii="Arial"/>
                <w:sz w:val="21"/>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5"/>
              <w:jc w:val="right"/>
              <w:rPr>
                <w:rFonts w:ascii="Arial" w:hAnsi="Arial" w:cs="Arial" w:eastAsia="Arial" w:hint="default"/>
                <w:sz w:val="21"/>
                <w:szCs w:val="21"/>
              </w:rPr>
            </w:pPr>
            <w:r>
              <w:rPr>
                <w:rFonts w:ascii="Arial"/>
                <w:w w:val="99"/>
                <w:sz w:val="21"/>
              </w:rPr>
              <w:t>-</w:t>
            </w:r>
            <w:r>
              <w:rPr>
                <w:rFonts w:ascii="Arial"/>
                <w:sz w:val="21"/>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1"/>
                <w:szCs w:val="21"/>
              </w:rPr>
            </w:pPr>
            <w:r>
              <w:rPr>
                <w:rFonts w:ascii="Arial"/>
                <w:w w:val="99"/>
                <w:sz w:val="21"/>
              </w:rPr>
              <w:t>-</w:t>
            </w:r>
            <w:r>
              <w:rPr>
                <w:rFonts w:ascii="Arial"/>
                <w:sz w:val="21"/>
              </w:rPr>
            </w:r>
          </w:p>
        </w:tc>
      </w:tr>
      <w:tr>
        <w:trPr>
          <w:trHeight w:val="296"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延保业务</w:t>
            </w:r>
          </w:p>
        </w:tc>
        <w:tc>
          <w:tcPr>
            <w:tcW w:w="1838" w:type="dxa"/>
            <w:tcBorders>
              <w:top w:val="nil" w:sz="6" w:space="0" w:color="auto"/>
              <w:left w:val="nil" w:sz="6" w:space="0" w:color="auto"/>
              <w:bottom w:val="nil" w:sz="6" w:space="0" w:color="auto"/>
              <w:right w:val="nil" w:sz="6" w:space="0" w:color="auto"/>
            </w:tcBorders>
          </w:tcPr>
          <w:p>
            <w:pPr>
              <w:pStyle w:val="TableParagraph"/>
              <w:tabs>
                <w:tab w:pos="1052" w:val="left" w:leader="none"/>
                <w:tab w:pos="1677" w:val="left" w:leader="none"/>
              </w:tabs>
              <w:spacing w:line="240" w:lineRule="auto" w:before="21"/>
              <w:ind w:right="139"/>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5,722</w:t>
              <w:tab/>
            </w:r>
            <w:r>
              <w:rPr>
                <w:rFonts w:ascii="Arial"/>
                <w:spacing w:val="-1"/>
                <w:sz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1097" w:val="left" w:leader="none"/>
                <w:tab w:pos="1839" w:val="left" w:leader="none"/>
              </w:tabs>
              <w:spacing w:line="240" w:lineRule="auto" w:before="21"/>
              <w:ind w:right="14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22,887</w:t>
              <w:tab/>
            </w:r>
            <w:r>
              <w:rPr>
                <w:rFonts w:ascii="Arial"/>
                <w:spacing w:val="-1"/>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1339" w:val="left" w:leader="none"/>
                <w:tab w:pos="1510" w:val="left" w:leader="none"/>
              </w:tabs>
              <w:spacing w:line="240" w:lineRule="auto" w:before="21"/>
              <w:ind w:left="142"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970" w:type="dxa"/>
            <w:tcBorders>
              <w:top w:val="nil" w:sz="6" w:space="0" w:color="auto"/>
              <w:left w:val="nil" w:sz="6" w:space="0" w:color="auto"/>
              <w:bottom w:val="nil" w:sz="6" w:space="0" w:color="auto"/>
              <w:right w:val="nil" w:sz="6" w:space="0" w:color="auto"/>
            </w:tcBorders>
          </w:tcPr>
          <w:p>
            <w:pPr>
              <w:pStyle w:val="TableParagraph"/>
              <w:tabs>
                <w:tab w:pos="1628" w:val="left" w:leader="none"/>
              </w:tabs>
              <w:spacing w:line="240" w:lineRule="auto" w:before="21"/>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348" w:hRule="exact"/>
        </w:trPr>
        <w:tc>
          <w:tcPr>
            <w:tcW w:w="1734"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819" w:val="left" w:leader="none"/>
                <w:tab w:pos="1677" w:val="left" w:leader="none"/>
              </w:tabs>
              <w:spacing w:line="240" w:lineRule="auto" w:before="11"/>
              <w:ind w:right="139"/>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161,055</w:t>
              <w:tab/>
            </w:r>
            <w:r>
              <w:rPr>
                <w:rFonts w:ascii="Arial"/>
                <w:spacing w:val="-1"/>
                <w:sz w:val="21"/>
              </w:rPr>
            </w:r>
          </w:p>
        </w:tc>
        <w:tc>
          <w:tcPr>
            <w:tcW w:w="2123" w:type="dxa"/>
            <w:tcBorders>
              <w:top w:val="nil" w:sz="6" w:space="0" w:color="auto"/>
              <w:left w:val="nil" w:sz="6" w:space="0" w:color="auto"/>
              <w:bottom w:val="nil" w:sz="6" w:space="0" w:color="auto"/>
              <w:right w:val="nil" w:sz="6" w:space="0" w:color="auto"/>
            </w:tcBorders>
          </w:tcPr>
          <w:p>
            <w:pPr>
              <w:pStyle w:val="TableParagraph"/>
              <w:tabs>
                <w:tab w:pos="981" w:val="left" w:leader="none"/>
                <w:tab w:pos="1839" w:val="left" w:leader="none"/>
              </w:tabs>
              <w:spacing w:line="240" w:lineRule="auto" w:before="11"/>
              <w:ind w:right="140"/>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666,271</w:t>
              <w:tab/>
            </w:r>
            <w:r>
              <w:rPr>
                <w:rFonts w:ascii="Arial"/>
                <w:spacing w:val="-1"/>
                <w:sz w:val="21"/>
              </w:rPr>
            </w:r>
          </w:p>
        </w:tc>
        <w:tc>
          <w:tcPr>
            <w:tcW w:w="1646" w:type="dxa"/>
            <w:tcBorders>
              <w:top w:val="nil" w:sz="6" w:space="0" w:color="auto"/>
              <w:left w:val="nil" w:sz="6" w:space="0" w:color="auto"/>
              <w:bottom w:val="nil" w:sz="6" w:space="0" w:color="auto"/>
              <w:right w:val="nil" w:sz="6" w:space="0" w:color="auto"/>
            </w:tcBorders>
          </w:tcPr>
          <w:p>
            <w:pPr>
              <w:pStyle w:val="TableParagraph"/>
              <w:tabs>
                <w:tab w:pos="768" w:val="left" w:leader="none"/>
                <w:tab w:pos="1510" w:val="left" w:leader="none"/>
              </w:tabs>
              <w:spacing w:line="240" w:lineRule="auto" w:before="11"/>
              <w:ind w:left="142"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72,578</w:t>
              <w:tab/>
            </w:r>
            <w:r>
              <w:rPr>
                <w:rFonts w:ascii="Arial"/>
                <w:sz w:val="21"/>
              </w:rPr>
            </w:r>
          </w:p>
        </w:tc>
        <w:tc>
          <w:tcPr>
            <w:tcW w:w="1970" w:type="dxa"/>
            <w:tcBorders>
              <w:top w:val="nil" w:sz="6" w:space="0" w:color="auto"/>
              <w:left w:val="nil" w:sz="6" w:space="0" w:color="auto"/>
              <w:bottom w:val="nil" w:sz="6" w:space="0" w:color="auto"/>
              <w:right w:val="nil" w:sz="6" w:space="0" w:color="auto"/>
            </w:tcBorders>
          </w:tcPr>
          <w:p>
            <w:pPr>
              <w:pStyle w:val="TableParagraph"/>
              <w:tabs>
                <w:tab w:pos="956" w:val="left" w:leader="none"/>
                <w:tab w:pos="1798" w:val="left" w:leader="none"/>
              </w:tabs>
              <w:spacing w:line="240" w:lineRule="auto" w:before="11"/>
              <w:ind w:right="33"/>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3"/>
                <w:w w:val="95"/>
                <w:sz w:val="21"/>
                <w:u w:val="thick" w:color="000000"/>
              </w:rPr>
              <w:t>298,711</w:t>
            </w:r>
            <w:r>
              <w:rPr>
                <w:rFonts w:ascii="Arial"/>
                <w:spacing w:val="-3"/>
                <w:sz w:val="21"/>
                <w:u w:val="thick" w:color="000000"/>
              </w:rPr>
              <w:tab/>
            </w:r>
            <w:r>
              <w:rPr>
                <w:rFonts w:ascii="Arial"/>
                <w:spacing w:val="-3"/>
                <w:sz w:val="21"/>
              </w:rPr>
            </w:r>
          </w:p>
        </w:tc>
      </w:tr>
    </w:tbl>
    <w:p>
      <w:pPr>
        <w:spacing w:line="240" w:lineRule="auto" w:before="9"/>
        <w:rPr>
          <w:rFonts w:ascii="Arial" w:hAnsi="Arial" w:cs="Arial" w:eastAsia="Arial" w:hint="default"/>
          <w:sz w:val="12"/>
          <w:szCs w:val="12"/>
        </w:rPr>
      </w:pPr>
    </w:p>
    <w:p>
      <w:pPr>
        <w:pStyle w:val="BodyText"/>
        <w:spacing w:line="322" w:lineRule="exact" w:before="26"/>
        <w:ind w:left="811" w:right="0"/>
        <w:jc w:val="left"/>
        <w:rPr>
          <w:rFonts w:ascii="Arial" w:hAnsi="Arial" w:cs="Arial" w:eastAsia="Arial" w:hint="default"/>
        </w:rPr>
      </w:pPr>
      <w:r>
        <w:rPr/>
        <w:t>上述可抵扣亏损中</w:t>
      </w:r>
      <w:r>
        <w:rPr>
          <w:spacing w:val="-120"/>
        </w:rPr>
        <w:t>，</w:t>
      </w:r>
      <w:r>
        <w:rPr/>
        <w:t>人民币</w:t>
      </w:r>
      <w:r>
        <w:rPr>
          <w:spacing w:val="-70"/>
        </w:rPr>
        <w:t> </w:t>
      </w:r>
      <w:r>
        <w:rPr>
          <w:rFonts w:ascii="Arial" w:hAnsi="Arial" w:cs="Arial" w:eastAsia="Arial" w:hint="default"/>
          <w:spacing w:val="-1"/>
          <w:w w:val="99"/>
        </w:rPr>
        <w:t>1,03</w:t>
      </w:r>
      <w:r>
        <w:rPr>
          <w:rFonts w:ascii="Arial" w:hAnsi="Arial" w:cs="Arial" w:eastAsia="Arial" w:hint="default"/>
          <w:w w:val="99"/>
        </w:rPr>
        <w:t>1</w:t>
      </w:r>
      <w:r>
        <w:rPr>
          <w:rFonts w:ascii="Arial" w:hAnsi="Arial" w:cs="Arial" w:eastAsia="Arial" w:hint="default"/>
          <w:spacing w:val="-18"/>
        </w:rPr>
        <w:t> </w:t>
      </w:r>
      <w:r>
        <w:rPr/>
        <w:t>万元</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7"/>
        </w:rPr>
        <w:t> </w:t>
      </w:r>
      <w:r>
        <w:rPr/>
        <w:t>年</w:t>
      </w:r>
      <w:r>
        <w:rPr>
          <w:spacing w:val="-7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7"/>
        </w:rPr>
        <w:t> </w:t>
      </w:r>
      <w:r>
        <w:rPr/>
        <w:t>月</w:t>
      </w:r>
      <w:r>
        <w:rPr>
          <w:spacing w:val="-7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8"/>
        </w:rPr>
        <w:t> </w:t>
      </w:r>
      <w:r>
        <w:rPr/>
        <w:t>日：人民币</w:t>
      </w:r>
      <w:r>
        <w:rPr>
          <w:spacing w:val="-70"/>
        </w:rPr>
        <w:t> </w:t>
      </w:r>
      <w:r>
        <w:rPr>
          <w:rFonts w:ascii="Arial" w:hAnsi="Arial" w:cs="Arial" w:eastAsia="Arial" w:hint="default"/>
          <w:spacing w:val="-1"/>
          <w:w w:val="99"/>
        </w:rPr>
        <w:t>81</w:t>
      </w:r>
      <w:r>
        <w:rPr>
          <w:rFonts w:ascii="Arial" w:hAnsi="Arial" w:cs="Arial" w:eastAsia="Arial" w:hint="default"/>
          <w:w w:val="99"/>
        </w:rPr>
        <w:t>5</w:t>
      </w:r>
      <w:r>
        <w:rPr>
          <w:rFonts w:ascii="Arial" w:hAnsi="Arial" w:cs="Arial" w:eastAsia="Arial" w:hint="default"/>
          <w:spacing w:val="-17"/>
        </w:rPr>
        <w:t> </w:t>
      </w:r>
      <w:r>
        <w:rPr/>
        <w:t>万元</w:t>
      </w:r>
      <w:r>
        <w:rPr>
          <w:rFonts w:ascii="Arial" w:hAnsi="Arial" w:cs="Arial" w:eastAsia="Arial" w:hint="default"/>
        </w:rPr>
        <w:t>)</w:t>
      </w:r>
      <w:r>
        <w:rPr/>
        <w:t>将于</w:t>
      </w:r>
      <w:r>
        <w:rPr>
          <w:spacing w:val="-70"/>
        </w:rPr>
        <w:t> </w:t>
      </w:r>
      <w:r>
        <w:rPr>
          <w:rFonts w:ascii="Arial" w:hAnsi="Arial" w:cs="Arial" w:eastAsia="Arial" w:hint="default"/>
          <w:spacing w:val="-1"/>
          <w:w w:val="99"/>
        </w:rPr>
        <w:t>2010</w:t>
      </w:r>
      <w:r>
        <w:rPr>
          <w:rFonts w:ascii="Arial" w:hAnsi="Arial" w:cs="Arial" w:eastAsia="Arial" w:hint="default"/>
        </w:rPr>
      </w:r>
    </w:p>
    <w:p>
      <w:pPr>
        <w:pStyle w:val="BodyText"/>
        <w:spacing w:line="312" w:lineRule="exact"/>
        <w:ind w:left="811" w:right="0"/>
        <w:jc w:val="left"/>
      </w:pPr>
      <w:r>
        <w:rPr/>
        <w:t>年底到期，人民币</w:t>
      </w:r>
      <w:r>
        <w:rPr>
          <w:spacing w:val="-57"/>
        </w:rPr>
        <w:t> </w:t>
      </w:r>
      <w:r>
        <w:rPr>
          <w:rFonts w:ascii="Arial" w:hAnsi="Arial" w:cs="Arial" w:eastAsia="Arial" w:hint="default"/>
        </w:rPr>
        <w:t>170</w:t>
      </w:r>
      <w:r>
        <w:rPr>
          <w:rFonts w:ascii="Arial" w:hAnsi="Arial" w:cs="Arial" w:eastAsia="Arial" w:hint="default"/>
          <w:spacing w:val="-4"/>
        </w:rPr>
        <w:t> </w:t>
      </w:r>
      <w:r>
        <w:rPr/>
        <w:t>万元</w:t>
      </w:r>
      <w:r>
        <w:rPr>
          <w:rFonts w:ascii="Arial" w:hAnsi="Arial" w:cs="Arial" w:eastAsia="Arial" w:hint="default"/>
        </w:rPr>
        <w:t>(2007</w:t>
      </w:r>
      <w:r>
        <w:rPr>
          <w:rFonts w:ascii="Arial" w:hAnsi="Arial" w:cs="Arial" w:eastAsia="Arial" w:hint="default"/>
          <w:spacing w:val="-4"/>
        </w:rPr>
        <w:t> </w:t>
      </w:r>
      <w:r>
        <w:rPr/>
        <w:t>年</w:t>
      </w:r>
      <w:r>
        <w:rPr>
          <w:spacing w:val="-57"/>
        </w:rPr>
        <w:t> </w:t>
      </w:r>
      <w:r>
        <w:rPr>
          <w:rFonts w:ascii="Arial" w:hAnsi="Arial" w:cs="Arial" w:eastAsia="Arial" w:hint="default"/>
        </w:rPr>
        <w:t>12</w:t>
      </w:r>
      <w:r>
        <w:rPr>
          <w:rFonts w:ascii="Arial" w:hAnsi="Arial" w:cs="Arial" w:eastAsia="Arial" w:hint="default"/>
          <w:spacing w:val="-2"/>
        </w:rPr>
        <w:t> </w:t>
      </w:r>
      <w:r>
        <w:rPr/>
        <w:t>月</w:t>
      </w:r>
      <w:r>
        <w:rPr>
          <w:spacing w:val="-55"/>
        </w:rPr>
        <w:t> </w:t>
      </w:r>
      <w:r>
        <w:rPr>
          <w:rFonts w:ascii="Arial" w:hAnsi="Arial" w:cs="Arial" w:eastAsia="Arial" w:hint="default"/>
        </w:rPr>
        <w:t>31</w:t>
      </w:r>
      <w:r>
        <w:rPr>
          <w:rFonts w:ascii="Arial" w:hAnsi="Arial" w:cs="Arial" w:eastAsia="Arial" w:hint="default"/>
          <w:spacing w:val="-4"/>
        </w:rPr>
        <w:t> </w:t>
      </w:r>
      <w:r>
        <w:rPr/>
        <w:t>日：</w:t>
      </w:r>
      <w:r>
        <w:rPr>
          <w:spacing w:val="-1"/>
        </w:rPr>
        <w:t> </w:t>
      </w:r>
      <w:r>
        <w:rPr/>
        <w:t>人民币</w:t>
      </w:r>
      <w:r>
        <w:rPr>
          <w:spacing w:val="-57"/>
        </w:rPr>
        <w:t> </w:t>
      </w:r>
      <w:r>
        <w:rPr>
          <w:rFonts w:ascii="Arial" w:hAnsi="Arial" w:cs="Arial" w:eastAsia="Arial" w:hint="default"/>
        </w:rPr>
        <w:t>182</w:t>
      </w:r>
      <w:r>
        <w:rPr>
          <w:rFonts w:ascii="Arial" w:hAnsi="Arial" w:cs="Arial" w:eastAsia="Arial" w:hint="default"/>
          <w:spacing w:val="-2"/>
        </w:rPr>
        <w:t> </w:t>
      </w:r>
      <w:r>
        <w:rPr/>
        <w:t>万元</w:t>
      </w:r>
      <w:r>
        <w:rPr>
          <w:rFonts w:ascii="Arial" w:hAnsi="Arial" w:cs="Arial" w:eastAsia="Arial" w:hint="default"/>
        </w:rPr>
        <w:t>)</w:t>
      </w:r>
      <w:r>
        <w:rPr/>
        <w:t>将于</w:t>
      </w:r>
      <w:r>
        <w:rPr>
          <w:spacing w:val="-57"/>
        </w:rPr>
        <w:t> </w:t>
      </w:r>
      <w:r>
        <w:rPr>
          <w:rFonts w:ascii="Arial" w:hAnsi="Arial" w:cs="Arial" w:eastAsia="Arial" w:hint="default"/>
          <w:spacing w:val="-6"/>
        </w:rPr>
        <w:t>2011</w:t>
      </w:r>
      <w:r>
        <w:rPr>
          <w:rFonts w:ascii="Arial" w:hAnsi="Arial" w:cs="Arial" w:eastAsia="Arial" w:hint="default"/>
          <w:spacing w:val="-3"/>
        </w:rPr>
        <w:t> </w:t>
      </w:r>
      <w:r>
        <w:rPr/>
        <w:t>年底到</w:t>
      </w:r>
    </w:p>
    <w:p>
      <w:pPr>
        <w:pStyle w:val="BodyText"/>
        <w:spacing w:line="312" w:lineRule="exact"/>
        <w:ind w:left="812" w:right="0"/>
        <w:jc w:val="left"/>
      </w:pPr>
      <w:r>
        <w:rPr/>
        <w:t>期，人民币</w:t>
      </w:r>
      <w:r>
        <w:rPr>
          <w:spacing w:val="-61"/>
        </w:rPr>
        <w:t> </w:t>
      </w:r>
      <w:r>
        <w:rPr>
          <w:rFonts w:ascii="Arial" w:hAnsi="Arial" w:cs="Arial" w:eastAsia="Arial" w:hint="default"/>
          <w:spacing w:val="-5"/>
        </w:rPr>
        <w:t>2,011</w:t>
      </w:r>
      <w:r>
        <w:rPr>
          <w:rFonts w:ascii="Arial" w:hAnsi="Arial" w:cs="Arial" w:eastAsia="Arial" w:hint="default"/>
          <w:spacing w:val="-8"/>
        </w:rPr>
        <w:t> </w:t>
      </w:r>
      <w:r>
        <w:rPr/>
        <w:t>万元</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r>
        <w:rPr>
          <w:spacing w:val="-2"/>
        </w:rPr>
        <w:t> </w:t>
      </w:r>
      <w:r>
        <w:rPr/>
        <w:t>人民币</w:t>
      </w:r>
      <w:r>
        <w:rPr>
          <w:spacing w:val="-61"/>
        </w:rPr>
        <w:t> </w:t>
      </w:r>
      <w:r>
        <w:rPr>
          <w:rFonts w:ascii="Arial" w:hAnsi="Arial" w:cs="Arial" w:eastAsia="Arial" w:hint="default"/>
        </w:rPr>
        <w:t>1,561</w:t>
      </w:r>
      <w:r>
        <w:rPr>
          <w:rFonts w:ascii="Arial" w:hAnsi="Arial" w:cs="Arial" w:eastAsia="Arial" w:hint="default"/>
          <w:spacing w:val="-8"/>
        </w:rPr>
        <w:t> </w:t>
      </w:r>
      <w:r>
        <w:rPr/>
        <w:t>万元</w:t>
      </w:r>
      <w:r>
        <w:rPr>
          <w:rFonts w:ascii="Arial" w:hAnsi="Arial" w:cs="Arial" w:eastAsia="Arial" w:hint="default"/>
        </w:rPr>
        <w:t>)</w:t>
      </w:r>
      <w:r>
        <w:rPr/>
        <w:t>将于</w:t>
      </w:r>
      <w:r>
        <w:rPr>
          <w:spacing w:val="-61"/>
        </w:rPr>
        <w:t> </w:t>
      </w:r>
      <w:r>
        <w:rPr>
          <w:rFonts w:ascii="Arial" w:hAnsi="Arial" w:cs="Arial" w:eastAsia="Arial" w:hint="default"/>
        </w:rPr>
        <w:t>2012</w:t>
      </w:r>
      <w:r>
        <w:rPr>
          <w:rFonts w:ascii="Arial" w:hAnsi="Arial" w:cs="Arial" w:eastAsia="Arial" w:hint="default"/>
          <w:spacing w:val="-7"/>
        </w:rPr>
        <w:t> </w:t>
      </w:r>
      <w:r>
        <w:rPr/>
        <w:t>年底到期，</w:t>
      </w:r>
    </w:p>
    <w:p>
      <w:pPr>
        <w:pStyle w:val="BodyText"/>
        <w:spacing w:line="322" w:lineRule="exact"/>
        <w:ind w:left="811" w:right="0"/>
        <w:jc w:val="left"/>
      </w:pPr>
      <w:r>
        <w:rPr/>
        <w:t>其余人民币</w:t>
      </w:r>
      <w:r>
        <w:rPr>
          <w:spacing w:val="-62"/>
        </w:rPr>
        <w:t> </w:t>
      </w:r>
      <w:r>
        <w:rPr>
          <w:rFonts w:ascii="Arial" w:hAnsi="Arial" w:cs="Arial" w:eastAsia="Arial" w:hint="default"/>
        </w:rPr>
        <w:t>2,062</w:t>
      </w:r>
      <w:r>
        <w:rPr>
          <w:rFonts w:ascii="Arial" w:hAnsi="Arial" w:cs="Arial" w:eastAsia="Arial" w:hint="default"/>
          <w:spacing w:val="-9"/>
        </w:rPr>
        <w:t> </w:t>
      </w:r>
      <w:r>
        <w:rPr/>
        <w:t>万元</w:t>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r>
        <w:rPr>
          <w:spacing w:val="-3"/>
        </w:rPr>
        <w:t> </w:t>
      </w:r>
      <w:r>
        <w:rPr/>
        <w:t>无</w:t>
      </w:r>
      <w:r>
        <w:rPr>
          <w:rFonts w:ascii="Arial" w:hAnsi="Arial" w:cs="Arial" w:eastAsia="Arial" w:hint="default"/>
        </w:rPr>
        <w:t>)</w:t>
      </w:r>
      <w:r>
        <w:rPr/>
        <w:t>将于</w:t>
      </w:r>
      <w:r>
        <w:rPr>
          <w:spacing w:val="-62"/>
        </w:rPr>
        <w:t> </w:t>
      </w:r>
      <w:r>
        <w:rPr>
          <w:rFonts w:ascii="Arial" w:hAnsi="Arial" w:cs="Arial" w:eastAsia="Arial" w:hint="default"/>
        </w:rPr>
        <w:t>2013</w:t>
      </w:r>
      <w:r>
        <w:rPr>
          <w:rFonts w:ascii="Arial" w:hAnsi="Arial" w:cs="Arial" w:eastAsia="Arial" w:hint="default"/>
          <w:spacing w:val="-9"/>
        </w:rPr>
        <w:t> </w:t>
      </w:r>
      <w:r>
        <w:rPr/>
        <w:t>年到期。</w:t>
      </w:r>
    </w:p>
    <w:p>
      <w:pPr>
        <w:spacing w:line="240" w:lineRule="auto" w:before="8"/>
        <w:rPr>
          <w:rFonts w:ascii="宋体" w:hAnsi="宋体" w:cs="宋体" w:eastAsia="宋体" w:hint="default"/>
          <w:sz w:val="19"/>
          <w:szCs w:val="19"/>
        </w:rPr>
      </w:pPr>
    </w:p>
    <w:p>
      <w:pPr>
        <w:pStyle w:val="BodyText"/>
        <w:tabs>
          <w:tab w:pos="811" w:val="left" w:leader="none"/>
        </w:tabs>
        <w:spacing w:line="240" w:lineRule="auto"/>
        <w:ind w:left="102" w:right="0"/>
        <w:jc w:val="left"/>
      </w:pPr>
      <w:r>
        <w:rPr>
          <w:rFonts w:ascii="Arial" w:hAnsi="Arial" w:cs="Arial" w:eastAsia="Arial" w:hint="default"/>
          <w:w w:val="95"/>
          <w:position w:val="2"/>
        </w:rPr>
        <w:t>(b)</w:t>
        <w:tab/>
      </w:r>
      <w:r>
        <w:rPr/>
        <w:t>递延所得税负债</w:t>
      </w:r>
    </w:p>
    <w:p>
      <w:pPr>
        <w:spacing w:line="240" w:lineRule="auto" w:before="12"/>
        <w:rPr>
          <w:rFonts w:ascii="宋体" w:hAnsi="宋体" w:cs="宋体" w:eastAsia="宋体" w:hint="default"/>
          <w:sz w:val="20"/>
          <w:szCs w:val="20"/>
        </w:rPr>
      </w:pPr>
    </w:p>
    <w:p>
      <w:pPr>
        <w:pStyle w:val="BodyText"/>
        <w:tabs>
          <w:tab w:pos="7302" w:val="left" w:leader="none"/>
        </w:tabs>
        <w:spacing w:line="240" w:lineRule="auto"/>
        <w:ind w:left="3390"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after="0" w:line="240" w:lineRule="auto"/>
        <w:jc w:val="left"/>
        <w:sectPr>
          <w:type w:val="continuous"/>
          <w:pgSz w:w="11910" w:h="16840"/>
          <w:pgMar w:top="1600" w:bottom="280" w:left="940" w:right="760"/>
        </w:sectPr>
      </w:pPr>
    </w:p>
    <w:p>
      <w:pPr>
        <w:spacing w:line="259"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递延所得税</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负债</w:t>
      </w:r>
    </w:p>
    <w:p>
      <w:pPr>
        <w:spacing w:line="272" w:lineRule="exact" w:before="13"/>
        <w:ind w:left="1031" w:right="-20" w:firstLine="420"/>
        <w:jc w:val="left"/>
        <w:rPr>
          <w:rFonts w:ascii="宋体" w:hAnsi="宋体" w:cs="宋体" w:eastAsia="宋体" w:hint="default"/>
          <w:sz w:val="21"/>
          <w:szCs w:val="21"/>
        </w:rPr>
      </w:pPr>
      <w:r>
        <w:rPr/>
        <w:br w:type="column"/>
      </w:r>
      <w:r>
        <w:rPr>
          <w:rFonts w:ascii="宋体" w:hAnsi="宋体" w:cs="宋体" w:eastAsia="宋体" w:hint="default"/>
          <w:sz w:val="21"/>
          <w:szCs w:val="21"/>
        </w:rPr>
        <w:t>应纳税 暂时性差异</w:t>
      </w:r>
    </w:p>
    <w:p>
      <w:pPr>
        <w:spacing w:line="259" w:lineRule="exact" w:before="0"/>
        <w:ind w:left="0" w:right="0" w:firstLine="0"/>
        <w:jc w:val="right"/>
        <w:rPr>
          <w:rFonts w:ascii="宋体" w:hAnsi="宋体" w:cs="宋体" w:eastAsia="宋体" w:hint="default"/>
          <w:sz w:val="21"/>
          <w:szCs w:val="21"/>
        </w:rPr>
      </w:pPr>
      <w:r>
        <w:rPr/>
        <w:br w:type="column"/>
      </w:r>
      <w:r>
        <w:rPr>
          <w:rFonts w:ascii="宋体" w:hAnsi="宋体" w:cs="宋体" w:eastAsia="宋体" w:hint="default"/>
          <w:sz w:val="21"/>
          <w:szCs w:val="21"/>
        </w:rPr>
        <w:t>递延所得税</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负债</w:t>
      </w:r>
    </w:p>
    <w:p>
      <w:pPr>
        <w:spacing w:line="272" w:lineRule="exact" w:before="13"/>
        <w:ind w:left="970" w:right="232" w:firstLine="420"/>
        <w:jc w:val="left"/>
        <w:rPr>
          <w:rFonts w:ascii="宋体" w:hAnsi="宋体" w:cs="宋体" w:eastAsia="宋体" w:hint="default"/>
          <w:sz w:val="21"/>
          <w:szCs w:val="21"/>
        </w:rPr>
      </w:pPr>
      <w:r>
        <w:rPr/>
        <w:br w:type="column"/>
      </w:r>
      <w:r>
        <w:rPr>
          <w:rFonts w:ascii="宋体" w:hAnsi="宋体" w:cs="宋体" w:eastAsia="宋体" w:hint="default"/>
          <w:sz w:val="21"/>
          <w:szCs w:val="21"/>
        </w:rPr>
        <w:t>应纳税 暂时性差异</w:t>
      </w:r>
    </w:p>
    <w:p>
      <w:pPr>
        <w:spacing w:after="0" w:line="272" w:lineRule="exact"/>
        <w:jc w:val="left"/>
        <w:rPr>
          <w:rFonts w:ascii="宋体" w:hAnsi="宋体" w:cs="宋体" w:eastAsia="宋体" w:hint="default"/>
          <w:sz w:val="21"/>
          <w:szCs w:val="21"/>
        </w:rPr>
        <w:sectPr>
          <w:type w:val="continuous"/>
          <w:pgSz w:w="11910" w:h="16840"/>
          <w:pgMar w:top="1600" w:bottom="280" w:left="940" w:right="760"/>
          <w:cols w:num="4" w:equalWidth="0">
            <w:col w:w="4119" w:space="40"/>
            <w:col w:w="2082" w:space="40"/>
            <w:col w:w="1613" w:space="40"/>
            <w:col w:w="2276"/>
          </w:cols>
        </w:sectPr>
      </w:pPr>
    </w:p>
    <w:tbl>
      <w:tblPr>
        <w:tblW w:w="0" w:type="auto"/>
        <w:jc w:val="left"/>
        <w:tblInd w:w="776" w:type="dxa"/>
        <w:tblLayout w:type="fixed"/>
        <w:tblCellMar>
          <w:top w:w="0" w:type="dxa"/>
          <w:left w:w="0" w:type="dxa"/>
          <w:bottom w:w="0" w:type="dxa"/>
          <w:right w:w="0" w:type="dxa"/>
        </w:tblCellMar>
        <w:tblLook w:val="01E0"/>
      </w:tblPr>
      <w:tblGrid>
        <w:gridCol w:w="1735"/>
        <w:gridCol w:w="1847"/>
        <w:gridCol w:w="3770"/>
        <w:gridCol w:w="1959"/>
      </w:tblGrid>
      <w:tr>
        <w:trPr>
          <w:trHeight w:val="830"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4"/>
                <w:sz w:val="21"/>
                <w:szCs w:val="21"/>
              </w:rPr>
              <w:t>业务合并交易中产</w:t>
            </w:r>
          </w:p>
        </w:tc>
        <w:tc>
          <w:tcPr>
            <w:tcW w:w="1847" w:type="dxa"/>
            <w:tcBorders>
              <w:top w:val="nil" w:sz="6" w:space="0" w:color="auto"/>
              <w:left w:val="nil" w:sz="6" w:space="0" w:color="auto"/>
              <w:bottom w:val="nil" w:sz="6" w:space="0" w:color="auto"/>
              <w:right w:val="nil" w:sz="6" w:space="0" w:color="auto"/>
            </w:tcBorders>
          </w:tcPr>
          <w:p>
            <w:pPr/>
          </w:p>
        </w:tc>
        <w:tc>
          <w:tcPr>
            <w:tcW w:w="3770" w:type="dxa"/>
            <w:tcBorders>
              <w:top w:val="nil" w:sz="6" w:space="0" w:color="auto"/>
              <w:left w:val="nil" w:sz="6" w:space="0" w:color="auto"/>
              <w:bottom w:val="nil" w:sz="6" w:space="0" w:color="auto"/>
              <w:right w:val="nil" w:sz="6" w:space="0" w:color="auto"/>
            </w:tcBorders>
          </w:tcPr>
          <w:p>
            <w:pPr>
              <w:pStyle w:val="TableParagraph"/>
              <w:spacing w:line="262" w:lineRule="exact"/>
              <w:ind w:left="1335"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1959" w:type="dxa"/>
            <w:vMerge w:val="restart"/>
            <w:tcBorders>
              <w:top w:val="nil" w:sz="6" w:space="0" w:color="auto"/>
              <w:left w:val="nil" w:sz="6" w:space="0" w:color="auto"/>
              <w:right w:val="nil" w:sz="6" w:space="0" w:color="auto"/>
            </w:tcBorders>
          </w:tcPr>
          <w:p>
            <w:pPr/>
          </w:p>
        </w:tc>
      </w:tr>
      <w:tr>
        <w:trPr>
          <w:trHeight w:val="273"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12"/>
                <w:w w:val="95"/>
                <w:sz w:val="21"/>
                <w:szCs w:val="21"/>
              </w:rPr>
              <w:t>生的资产的暂时</w:t>
            </w:r>
          </w:p>
        </w:tc>
        <w:tc>
          <w:tcPr>
            <w:tcW w:w="1847" w:type="dxa"/>
            <w:tcBorders>
              <w:top w:val="nil" w:sz="6" w:space="0" w:color="auto"/>
              <w:left w:val="nil" w:sz="6" w:space="0" w:color="auto"/>
              <w:bottom w:val="nil" w:sz="6" w:space="0" w:color="auto"/>
              <w:right w:val="nil" w:sz="6" w:space="0" w:color="auto"/>
            </w:tcBorders>
          </w:tcPr>
          <w:p>
            <w:pPr/>
          </w:p>
        </w:tc>
        <w:tc>
          <w:tcPr>
            <w:tcW w:w="3770" w:type="dxa"/>
            <w:tcBorders>
              <w:top w:val="nil" w:sz="6" w:space="0" w:color="auto"/>
              <w:left w:val="nil" w:sz="6" w:space="0" w:color="auto"/>
              <w:bottom w:val="nil" w:sz="6" w:space="0" w:color="auto"/>
              <w:right w:val="nil" w:sz="6" w:space="0" w:color="auto"/>
            </w:tcBorders>
          </w:tcPr>
          <w:p>
            <w:pPr/>
          </w:p>
        </w:tc>
        <w:tc>
          <w:tcPr>
            <w:tcW w:w="1959" w:type="dxa"/>
            <w:vMerge/>
            <w:tcBorders>
              <w:left w:val="nil" w:sz="6" w:space="0" w:color="auto"/>
              <w:bottom w:val="nil" w:sz="6" w:space="0" w:color="auto"/>
              <w:right w:val="nil" w:sz="6" w:space="0" w:color="auto"/>
            </w:tcBorders>
          </w:tcPr>
          <w:p>
            <w:pPr/>
          </w:p>
        </w:tc>
      </w:tr>
      <w:tr>
        <w:trPr>
          <w:trHeight w:val="28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性差异</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09" w:right="0"/>
              <w:jc w:val="left"/>
              <w:rPr>
                <w:rFonts w:ascii="Arial" w:hAnsi="Arial" w:cs="Arial" w:eastAsia="Arial" w:hint="default"/>
                <w:sz w:val="21"/>
                <w:szCs w:val="21"/>
              </w:rPr>
            </w:pPr>
            <w:r>
              <w:rPr>
                <w:rFonts w:ascii="Arial"/>
                <w:sz w:val="21"/>
              </w:rPr>
              <w:t>4,755</w:t>
            </w:r>
          </w:p>
        </w:tc>
        <w:tc>
          <w:tcPr>
            <w:tcW w:w="3770" w:type="dxa"/>
            <w:tcBorders>
              <w:top w:val="nil" w:sz="6" w:space="0" w:color="auto"/>
              <w:left w:val="nil" w:sz="6" w:space="0" w:color="auto"/>
              <w:bottom w:val="nil" w:sz="6" w:space="0" w:color="auto"/>
              <w:right w:val="nil" w:sz="6" w:space="0" w:color="auto"/>
            </w:tcBorders>
          </w:tcPr>
          <w:p>
            <w:pPr>
              <w:pStyle w:val="TableParagraph"/>
              <w:tabs>
                <w:tab w:pos="3007" w:val="left" w:leader="none"/>
              </w:tabs>
              <w:spacing w:line="240" w:lineRule="auto" w:before="32"/>
              <w:ind w:left="1167" w:right="0"/>
              <w:jc w:val="left"/>
              <w:rPr>
                <w:rFonts w:ascii="Arial" w:hAnsi="Arial" w:cs="Arial" w:eastAsia="Arial" w:hint="default"/>
                <w:sz w:val="21"/>
                <w:szCs w:val="21"/>
              </w:rPr>
            </w:pPr>
            <w:r>
              <w:rPr>
                <w:rFonts w:ascii="Arial"/>
                <w:spacing w:val="-1"/>
                <w:sz w:val="21"/>
              </w:rPr>
              <w:t>19,020</w:t>
              <w:tab/>
              <w:t>5,283</w:t>
            </w:r>
            <w:r>
              <w:rPr>
                <w:rFonts w:ascii="Arial"/>
                <w:sz w:val="21"/>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Arial" w:hAnsi="Arial" w:cs="Arial" w:eastAsia="Arial" w:hint="default"/>
                <w:sz w:val="21"/>
                <w:szCs w:val="21"/>
              </w:rPr>
            </w:pPr>
            <w:r>
              <w:rPr>
                <w:rFonts w:ascii="Arial"/>
                <w:spacing w:val="-1"/>
                <w:w w:val="95"/>
                <w:sz w:val="21"/>
              </w:rPr>
              <w:t>21,133</w:t>
            </w:r>
            <w:r>
              <w:rPr>
                <w:rFonts w:ascii="Arial"/>
                <w:sz w:val="21"/>
              </w:rPr>
            </w:r>
          </w:p>
        </w:tc>
      </w:tr>
      <w:tr>
        <w:trPr>
          <w:trHeight w:val="276"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47" w:type="dxa"/>
            <w:tcBorders>
              <w:top w:val="nil" w:sz="6" w:space="0" w:color="auto"/>
              <w:left w:val="nil" w:sz="6" w:space="0" w:color="auto"/>
              <w:bottom w:val="nil" w:sz="6" w:space="0" w:color="auto"/>
              <w:right w:val="nil" w:sz="6" w:space="0" w:color="auto"/>
            </w:tcBorders>
          </w:tcPr>
          <w:p>
            <w:pPr>
              <w:pStyle w:val="TableParagraph"/>
              <w:tabs>
                <w:tab w:pos="1463" w:val="left" w:leader="none"/>
                <w:tab w:pos="1705" w:val="left" w:leader="none"/>
              </w:tabs>
              <w:spacing w:line="240" w:lineRule="auto" w:before="18"/>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3770" w:type="dxa"/>
            <w:tcBorders>
              <w:top w:val="nil" w:sz="6" w:space="0" w:color="auto"/>
              <w:left w:val="nil" w:sz="6" w:space="0" w:color="auto"/>
              <w:bottom w:val="nil" w:sz="6" w:space="0" w:color="auto"/>
              <w:right w:val="nil" w:sz="6" w:space="0" w:color="auto"/>
            </w:tcBorders>
          </w:tcPr>
          <w:p>
            <w:pPr>
              <w:pStyle w:val="TableParagraph"/>
              <w:tabs>
                <w:tab w:pos="1597" w:val="left" w:leader="none"/>
                <w:tab w:pos="2123" w:val="left" w:leader="none"/>
                <w:tab w:pos="2873" w:val="left" w:leader="none"/>
                <w:tab w:pos="3491" w:val="left" w:leader="none"/>
              </w:tabs>
              <w:spacing w:line="240" w:lineRule="auto" w:before="18"/>
              <w:ind w:right="13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tab/>
            </w:r>
            <w:r>
              <w:rPr>
                <w:rFonts w:ascii="Arial"/>
                <w:sz w:val="21"/>
                <w:u w:val="single" w:color="000000"/>
              </w:rPr>
              <w:t> </w:t>
              <w:tab/>
            </w:r>
            <w:r>
              <w:rPr>
                <w:rFonts w:ascii="Arial"/>
                <w:spacing w:val="-1"/>
                <w:sz w:val="21"/>
                <w:u w:val="single" w:color="000000"/>
              </w:rPr>
              <w:t>2,330</w:t>
              <w:tab/>
            </w:r>
            <w:r>
              <w:rPr>
                <w:rFonts w:ascii="Arial"/>
                <w:spacing w:val="-1"/>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1167" w:val="left" w:leader="none"/>
                <w:tab w:pos="1787" w:val="left" w:leader="none"/>
              </w:tabs>
              <w:spacing w:line="240" w:lineRule="auto" w:before="18"/>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9,319</w:t>
              <w:tab/>
            </w:r>
            <w:r>
              <w:rPr>
                <w:rFonts w:ascii="Arial"/>
                <w:spacing w:val="-1"/>
                <w:sz w:val="21"/>
              </w:rPr>
            </w:r>
          </w:p>
        </w:tc>
      </w:tr>
      <w:tr>
        <w:trPr>
          <w:trHeight w:val="331" w:hRule="exact"/>
        </w:trPr>
        <w:tc>
          <w:tcPr>
            <w:tcW w:w="1735"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tabs>
                <w:tab w:pos="1009" w:val="left" w:leader="none"/>
                <w:tab w:pos="1705" w:val="left" w:leader="none"/>
              </w:tabs>
              <w:spacing w:line="236" w:lineRule="exact"/>
              <w:ind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4,755</w:t>
              <w:tab/>
            </w:r>
            <w:r>
              <w:rPr>
                <w:rFonts w:ascii="Arial"/>
                <w:sz w:val="21"/>
              </w:rPr>
            </w:r>
          </w:p>
        </w:tc>
        <w:tc>
          <w:tcPr>
            <w:tcW w:w="3770" w:type="dxa"/>
            <w:tcBorders>
              <w:top w:val="nil" w:sz="6" w:space="0" w:color="auto"/>
              <w:left w:val="nil" w:sz="6" w:space="0" w:color="auto"/>
              <w:bottom w:val="nil" w:sz="6" w:space="0" w:color="auto"/>
              <w:right w:val="nil" w:sz="6" w:space="0" w:color="auto"/>
            </w:tcBorders>
          </w:tcPr>
          <w:p>
            <w:pPr>
              <w:pStyle w:val="TableParagraph"/>
              <w:tabs>
                <w:tab w:pos="1025" w:val="left" w:leader="none"/>
                <w:tab w:pos="2123" w:val="left" w:leader="none"/>
                <w:tab w:pos="2866" w:val="left" w:leader="none"/>
                <w:tab w:pos="3491" w:val="left" w:leader="none"/>
              </w:tabs>
              <w:spacing w:line="236" w:lineRule="exact"/>
              <w:ind w:right="134"/>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19,020</w:t>
            </w:r>
            <w:r>
              <w:rPr>
                <w:rFonts w:ascii="Arial"/>
                <w:spacing w:val="-1"/>
                <w:sz w:val="21"/>
              </w:rPr>
              <w:tab/>
            </w:r>
            <w:r>
              <w:rPr>
                <w:rFonts w:ascii="Arial"/>
                <w:spacing w:val="-1"/>
                <w:sz w:val="21"/>
                <w:u w:val="thick" w:color="000000"/>
              </w:rPr>
              <w:t> </w:t>
              <w:tab/>
              <w:t>7,613</w:t>
              <w:tab/>
            </w:r>
            <w:r>
              <w:rPr>
                <w:rFonts w:ascii="Arial"/>
                <w:spacing w:val="-1"/>
                <w:sz w:val="21"/>
              </w:rPr>
            </w:r>
          </w:p>
        </w:tc>
        <w:tc>
          <w:tcPr>
            <w:tcW w:w="1959" w:type="dxa"/>
            <w:tcBorders>
              <w:top w:val="nil" w:sz="6" w:space="0" w:color="auto"/>
              <w:left w:val="nil" w:sz="6" w:space="0" w:color="auto"/>
              <w:bottom w:val="nil" w:sz="6" w:space="0" w:color="auto"/>
              <w:right w:val="nil" w:sz="6" w:space="0" w:color="auto"/>
            </w:tcBorders>
          </w:tcPr>
          <w:p>
            <w:pPr>
              <w:pStyle w:val="TableParagraph"/>
              <w:tabs>
                <w:tab w:pos="1045" w:val="left" w:leader="none"/>
                <w:tab w:pos="1787" w:val="left" w:leader="none"/>
              </w:tabs>
              <w:spacing w:line="236" w:lineRule="exact"/>
              <w:ind w:right="33"/>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30,452</w:t>
              <w:tab/>
            </w:r>
            <w:r>
              <w:rPr>
                <w:rFonts w:ascii="Arial"/>
                <w:spacing w:val="-1"/>
                <w:sz w:val="21"/>
              </w:rPr>
            </w:r>
          </w:p>
        </w:tc>
      </w:tr>
    </w:tbl>
    <w:p>
      <w:pPr>
        <w:spacing w:line="240" w:lineRule="auto" w:before="11"/>
        <w:rPr>
          <w:rFonts w:ascii="宋体" w:hAnsi="宋体" w:cs="宋体" w:eastAsia="宋体" w:hint="default"/>
          <w:sz w:val="13"/>
          <w:szCs w:val="13"/>
        </w:rPr>
      </w:pPr>
    </w:p>
    <w:p>
      <w:pPr>
        <w:pStyle w:val="BodyText"/>
        <w:spacing w:line="312" w:lineRule="exact" w:before="56"/>
        <w:ind w:left="811" w:right="0"/>
        <w:jc w:val="left"/>
      </w:pPr>
      <w:r>
        <w:rPr/>
        <w:t>于</w:t>
      </w:r>
      <w:r>
        <w:rPr>
          <w:rFonts w:ascii="Arial" w:hAnsi="Arial" w:cs="Arial" w:eastAsia="Arial" w:hint="default"/>
        </w:rPr>
        <w:t>2008</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日，本集团没有重大的未确认之递延所得税资产或</w:t>
      </w:r>
      <w:r>
        <w:rPr>
          <w:spacing w:val="-93"/>
        </w:rPr>
        <w:t> </w:t>
      </w:r>
      <w:r>
        <w:rPr/>
        <w:t>负债。</w:t>
      </w:r>
    </w:p>
    <w:p>
      <w:pPr>
        <w:spacing w:after="0" w:line="312" w:lineRule="exact"/>
        <w:jc w:val="left"/>
        <w:sectPr>
          <w:type w:val="continuous"/>
          <w:pgSz w:w="11910" w:h="16840"/>
          <w:pgMar w:top="1600" w:bottom="280" w:left="940" w:right="760"/>
        </w:sectPr>
      </w:pPr>
    </w:p>
    <w:p>
      <w:pPr>
        <w:spacing w:line="240" w:lineRule="auto" w:before="0"/>
        <w:rPr>
          <w:rFonts w:ascii="宋体" w:hAnsi="宋体" w:cs="宋体" w:eastAsia="宋体" w:hint="default"/>
          <w:sz w:val="20"/>
          <w:szCs w:val="20"/>
        </w:rPr>
      </w:pPr>
    </w:p>
    <w:p>
      <w:pPr>
        <w:pStyle w:val="Heading2"/>
        <w:tabs>
          <w:tab w:pos="941" w:val="left" w:leader="none"/>
        </w:tabs>
        <w:spacing w:line="240" w:lineRule="auto" w:before="158"/>
        <w:ind w:left="222" w:right="3753"/>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25"/>
          <w:szCs w:val="25"/>
        </w:rPr>
      </w:pPr>
    </w:p>
    <w:p>
      <w:pPr>
        <w:tabs>
          <w:tab w:pos="941" w:val="left" w:leader="none"/>
        </w:tabs>
        <w:spacing w:before="0"/>
        <w:ind w:left="222" w:right="3753" w:firstLine="0"/>
        <w:jc w:val="left"/>
        <w:rPr>
          <w:rFonts w:ascii="宋体" w:hAnsi="宋体" w:cs="宋体" w:eastAsia="宋体" w:hint="default"/>
          <w:sz w:val="24"/>
          <w:szCs w:val="24"/>
        </w:rPr>
      </w:pPr>
      <w:r>
        <w:rPr>
          <w:rFonts w:ascii="Arial" w:hAnsi="Arial" w:cs="Arial" w:eastAsia="Arial" w:hint="default"/>
          <w:w w:val="95"/>
          <w:position w:val="2"/>
          <w:sz w:val="24"/>
          <w:szCs w:val="24"/>
        </w:rPr>
        <w:t>(23)</w:t>
        <w:tab/>
      </w:r>
      <w:r>
        <w:rPr>
          <w:rFonts w:ascii="宋体" w:hAnsi="宋体" w:cs="宋体" w:eastAsia="宋体" w:hint="default"/>
          <w:b/>
          <w:bCs/>
          <w:sz w:val="24"/>
          <w:szCs w:val="24"/>
        </w:rPr>
        <w:t>其他非流动负债</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tabs>
          <w:tab w:pos="7993" w:val="left" w:leader="none"/>
        </w:tabs>
        <w:spacing w:line="322" w:lineRule="exact" w:before="26"/>
        <w:ind w:left="5138"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775" w:val="left" w:leader="none"/>
        </w:tabs>
        <w:spacing w:line="322" w:lineRule="exact"/>
        <w:ind w:left="5937"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491" w:val="left" w:leader="none"/>
          <w:tab w:pos="10000" w:val="left" w:leader="none"/>
        </w:tabs>
        <w:spacing w:line="240" w:lineRule="auto"/>
        <w:ind w:left="941" w:right="0"/>
        <w:jc w:val="left"/>
        <w:rPr>
          <w:rFonts w:ascii="Arial" w:hAnsi="Arial" w:cs="Arial" w:eastAsia="Arial" w:hint="default"/>
        </w:rPr>
      </w:pPr>
      <w:r>
        <w:rPr>
          <w:w w:val="95"/>
        </w:rPr>
        <w:t>递延延保业务收入</w:t>
      </w:r>
      <w:r>
        <w:rPr>
          <w:rFonts w:ascii="Arial" w:hAnsi="Arial" w:cs="Arial" w:eastAsia="Arial" w:hint="default"/>
          <w:w w:val="95"/>
        </w:rPr>
        <w:t>(</w:t>
      </w:r>
      <w:r>
        <w:rPr>
          <w:w w:val="95"/>
        </w:rPr>
        <w:t>附注七</w:t>
      </w:r>
      <w:r>
        <w:rPr>
          <w:rFonts w:ascii="Arial" w:hAnsi="Arial" w:cs="Arial" w:eastAsia="Arial" w:hint="default"/>
          <w:w w:val="95"/>
        </w:rPr>
        <w:t>(12))</w:t>
        <w:tab/>
      </w:r>
      <w:r>
        <w:rPr>
          <w:rFonts w:ascii="Arial" w:hAnsi="Arial" w:cs="Arial" w:eastAsia="Arial" w:hint="default"/>
          <w:spacing w:val="-1"/>
          <w:position w:val="2"/>
        </w:rPr>
        <w:t>22,887</w:t>
        <w:tab/>
      </w:r>
      <w:r>
        <w:rPr>
          <w:rFonts w:ascii="Arial" w:hAnsi="Arial" w:cs="Arial" w:eastAsia="Arial" w:hint="default"/>
          <w:position w:val="2"/>
        </w:rPr>
        <w:t>-</w:t>
      </w:r>
      <w:r>
        <w:rPr>
          <w:rFonts w:ascii="Arial" w:hAnsi="Arial" w:cs="Arial" w:eastAsia="Arial" w:hint="default"/>
        </w:rPr>
      </w:r>
    </w:p>
    <w:p>
      <w:pPr>
        <w:tabs>
          <w:tab w:pos="7595" w:val="left" w:leader="none"/>
        </w:tabs>
        <w:spacing w:line="30" w:lineRule="exact"/>
        <w:ind w:left="4808" w:right="0" w:firstLine="0"/>
        <w:rPr>
          <w:rFonts w:ascii="Arial" w:hAnsi="Arial" w:cs="Arial" w:eastAsia="Arial" w:hint="default"/>
          <w:sz w:val="3"/>
          <w:szCs w:val="3"/>
        </w:rPr>
      </w:pPr>
      <w:r>
        <w:rPr>
          <w:rFonts w:ascii="Arial"/>
          <w:position w:val="0"/>
          <w:sz w:val="3"/>
        </w:rPr>
        <w:pict>
          <v:group style="width:126.6pt;height:1.5pt;mso-position-horizontal-relative:char;mso-position-vertical-relative:line" coordorigin="0,0" coordsize="2532,30">
            <v:group style="position:absolute;left:15;top:15;width:2502;height:2" coordorigin="15,15" coordsize="2502,2">
              <v:shape style="position:absolute;left:15;top:15;width:2502;height:2" coordorigin="15,15" coordsize="2502,0" path="m15,15l251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30.1pt;height:1.5pt;mso-position-horizontal-relative:char;mso-position-vertical-relative:line" coordorigin="0,0" coordsize="2602,30">
            <v:group style="position:absolute;left:15;top:15;width:2572;height:2" coordorigin="15,15" coordsize="2572,2">
              <v:shape style="position:absolute;left:15;top:15;width:2572;height:2" coordorigin="15,15" coordsize="2572,0" path="m15,15l2587,15e" filled="false" stroked="true" strokeweight="1.5pt" strokecolor="#000000">
                <v:path arrowok="t"/>
              </v:shape>
            </v:group>
          </v:group>
        </w:pict>
      </w:r>
      <w:r>
        <w:rPr>
          <w:rFonts w:ascii="Arial"/>
          <w:position w:val="0"/>
          <w:sz w:val="3"/>
        </w:rPr>
      </w:r>
    </w:p>
    <w:p>
      <w:pPr>
        <w:spacing w:line="240" w:lineRule="auto" w:before="6"/>
        <w:rPr>
          <w:rFonts w:ascii="Arial" w:hAnsi="Arial" w:cs="Arial" w:eastAsia="Arial" w:hint="default"/>
          <w:sz w:val="19"/>
          <w:szCs w:val="19"/>
        </w:rPr>
      </w:pPr>
    </w:p>
    <w:p>
      <w:pPr>
        <w:tabs>
          <w:tab w:pos="941" w:val="left" w:leader="none"/>
        </w:tabs>
        <w:spacing w:before="32"/>
        <w:ind w:left="222" w:right="3753" w:firstLine="0"/>
        <w:jc w:val="left"/>
        <w:rPr>
          <w:rFonts w:ascii="宋体" w:hAnsi="宋体" w:cs="宋体" w:eastAsia="宋体" w:hint="default"/>
          <w:sz w:val="24"/>
          <w:szCs w:val="24"/>
        </w:rPr>
      </w:pPr>
      <w:r>
        <w:rPr>
          <w:rFonts w:ascii="Arial" w:hAnsi="Arial" w:cs="Arial" w:eastAsia="Arial" w:hint="default"/>
          <w:w w:val="95"/>
          <w:position w:val="2"/>
          <w:sz w:val="24"/>
          <w:szCs w:val="24"/>
        </w:rPr>
        <w:t>(24)</w:t>
        <w:tab/>
      </w:r>
      <w:r>
        <w:rPr>
          <w:rFonts w:ascii="宋体" w:hAnsi="宋体" w:cs="宋体" w:eastAsia="宋体" w:hint="default"/>
          <w:b/>
          <w:bCs/>
          <w:sz w:val="24"/>
          <w:szCs w:val="24"/>
        </w:rPr>
        <w:t>股本</w:t>
      </w:r>
      <w:r>
        <w:rPr>
          <w:rFonts w:ascii="宋体" w:hAnsi="宋体" w:cs="宋体" w:eastAsia="宋体" w:hint="default"/>
          <w:sz w:val="24"/>
          <w:szCs w:val="24"/>
        </w:rPr>
      </w:r>
    </w:p>
    <w:p>
      <w:pPr>
        <w:spacing w:line="240" w:lineRule="auto" w:before="13"/>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52" w:footer="707" w:top="1020" w:bottom="900" w:left="820" w:right="780"/>
        </w:sectPr>
      </w:pPr>
    </w:p>
    <w:p>
      <w:pPr>
        <w:spacing w:line="282" w:lineRule="exact" w:before="35"/>
        <w:ind w:left="0" w:right="0" w:firstLine="0"/>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2" w:lineRule="exact" w:before="0"/>
        <w:ind w:left="0" w:right="0" w:firstLine="0"/>
        <w:jc w:val="righ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before="35"/>
        <w:ind w:left="227" w:right="-20" w:firstLine="210"/>
        <w:jc w:val="left"/>
        <w:rPr>
          <w:rFonts w:ascii="宋体" w:hAnsi="宋体" w:cs="宋体" w:eastAsia="宋体" w:hint="default"/>
          <w:sz w:val="21"/>
          <w:szCs w:val="21"/>
        </w:rPr>
      </w:pPr>
      <w:r>
        <w:rPr/>
        <w:br w:type="column"/>
      </w:r>
      <w:r>
        <w:rPr>
          <w:rFonts w:ascii="宋体" w:hAnsi="宋体" w:cs="宋体" w:eastAsia="宋体" w:hint="default"/>
          <w:sz w:val="21"/>
          <w:szCs w:val="21"/>
        </w:rPr>
        <w:t>非公开 发行股票</w:t>
      </w:r>
    </w:p>
    <w:p>
      <w:pPr>
        <w:spacing w:before="35"/>
        <w:ind w:left="729" w:right="-20" w:hanging="197"/>
        <w:jc w:val="left"/>
        <w:rPr>
          <w:rFonts w:ascii="宋体" w:hAnsi="宋体" w:cs="宋体" w:eastAsia="宋体" w:hint="default"/>
          <w:sz w:val="21"/>
          <w:szCs w:val="21"/>
        </w:rPr>
      </w:pPr>
      <w:r>
        <w:rPr/>
        <w:br w:type="column"/>
      </w:r>
      <w:r>
        <w:rPr>
          <w:rFonts w:ascii="宋体" w:hAnsi="宋体" w:cs="宋体" w:eastAsia="宋体" w:hint="default"/>
          <w:sz w:val="21"/>
          <w:szCs w:val="21"/>
        </w:rPr>
        <w:t>限售股 解禁</w:t>
      </w:r>
    </w:p>
    <w:p>
      <w:pPr>
        <w:spacing w:before="35"/>
        <w:ind w:left="280"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资本公积 转增股本</w:t>
      </w:r>
    </w:p>
    <w:p>
      <w:pPr>
        <w:spacing w:before="35"/>
        <w:ind w:left="255" w:right="-20" w:firstLine="26"/>
        <w:jc w:val="left"/>
        <w:rPr>
          <w:rFonts w:ascii="宋体" w:hAnsi="宋体" w:cs="宋体" w:eastAsia="宋体" w:hint="default"/>
          <w:sz w:val="21"/>
          <w:szCs w:val="21"/>
        </w:rPr>
      </w:pPr>
      <w:r>
        <w:rPr/>
        <w:br w:type="column"/>
      </w:r>
      <w:r>
        <w:rPr>
          <w:rFonts w:ascii="宋体" w:hAnsi="宋体" w:cs="宋体" w:eastAsia="宋体" w:hint="default"/>
          <w:sz w:val="21"/>
          <w:szCs w:val="21"/>
        </w:rPr>
        <w:t>追加股份 限售承诺</w:t>
      </w:r>
    </w:p>
    <w:p>
      <w:pPr>
        <w:spacing w:line="282" w:lineRule="exact" w:before="35"/>
        <w:ind w:left="605" w:right="0" w:firstLine="0"/>
        <w:jc w:val="left"/>
        <w:rPr>
          <w:rFonts w:ascii="宋体" w:hAnsi="宋体" w:cs="宋体" w:eastAsia="宋体" w:hint="default"/>
          <w:sz w:val="21"/>
          <w:szCs w:val="21"/>
        </w:rPr>
      </w:pPr>
      <w:r>
        <w:rPr/>
        <w:br w:type="column"/>
      </w: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2" w:lineRule="exact" w:before="0"/>
        <w:ind w:left="290"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line="282" w:lineRule="exact"/>
        <w:jc w:val="left"/>
        <w:rPr>
          <w:rFonts w:ascii="宋体" w:hAnsi="宋体" w:cs="宋体" w:eastAsia="宋体" w:hint="default"/>
          <w:sz w:val="21"/>
          <w:szCs w:val="21"/>
        </w:rPr>
        <w:sectPr>
          <w:type w:val="continuous"/>
          <w:pgSz w:w="11910" w:h="16840"/>
          <w:pgMar w:top="1600" w:bottom="280" w:left="820" w:right="780"/>
          <w:cols w:num="6" w:equalWidth="0">
            <w:col w:w="4114" w:space="40"/>
            <w:col w:w="1068" w:space="40"/>
            <w:col w:w="1163" w:space="40"/>
            <w:col w:w="1121" w:space="40"/>
            <w:col w:w="1122" w:space="40"/>
            <w:col w:w="1522"/>
          </w:cols>
        </w:sectPr>
      </w:pPr>
    </w:p>
    <w:p>
      <w:pPr>
        <w:spacing w:line="264" w:lineRule="exact" w:before="0"/>
        <w:ind w:left="5932"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p>
      <w:pPr>
        <w:spacing w:line="282" w:lineRule="exact" w:before="0"/>
        <w:ind w:left="166" w:right="3753" w:firstLine="0"/>
        <w:jc w:val="left"/>
        <w:rPr>
          <w:rFonts w:ascii="Arial" w:hAnsi="Arial" w:cs="Arial" w:eastAsia="Arial" w:hint="default"/>
          <w:sz w:val="21"/>
          <w:szCs w:val="21"/>
        </w:rPr>
      </w:pPr>
      <w:r>
        <w:rPr>
          <w:rFonts w:ascii="宋体" w:hAnsi="宋体" w:cs="宋体" w:eastAsia="宋体" w:hint="default"/>
          <w:sz w:val="21"/>
          <w:szCs w:val="21"/>
        </w:rPr>
        <w:t>有限售条件股份 </w:t>
      </w:r>
      <w:r>
        <w:rPr>
          <w:rFonts w:ascii="Arial" w:hAnsi="Arial" w:cs="Arial" w:eastAsia="Arial" w:hint="default"/>
          <w:sz w:val="21"/>
          <w:szCs w:val="21"/>
        </w:rPr>
        <w:t>-</w:t>
      </w:r>
    </w:p>
    <w:p>
      <w:pPr>
        <w:tabs>
          <w:tab w:pos="4017" w:val="left" w:leader="none"/>
          <w:tab w:pos="4738" w:val="left" w:leader="none"/>
          <w:tab w:pos="6282" w:val="left" w:leader="none"/>
          <w:tab w:pos="7058" w:val="left" w:leader="none"/>
          <w:tab w:pos="8648" w:val="left" w:leader="none"/>
          <w:tab w:pos="9505" w:val="left" w:leader="none"/>
        </w:tabs>
        <w:spacing w:line="271" w:lineRule="exact" w:before="0"/>
        <w:ind w:left="342" w:right="0" w:firstLine="0"/>
        <w:jc w:val="left"/>
        <w:rPr>
          <w:rFonts w:ascii="Arial" w:hAnsi="Arial" w:cs="Arial" w:eastAsia="Arial" w:hint="default"/>
          <w:sz w:val="21"/>
          <w:szCs w:val="21"/>
        </w:rPr>
      </w:pPr>
      <w:r>
        <w:rPr>
          <w:rFonts w:ascii="宋体" w:hAnsi="宋体" w:cs="宋体" w:eastAsia="宋体" w:hint="default"/>
          <w:position w:val="2"/>
          <w:sz w:val="21"/>
          <w:szCs w:val="21"/>
        </w:rPr>
        <w:t>国有法人持股</w:t>
        <w:tab/>
      </w:r>
      <w:r>
        <w:rPr>
          <w:rFonts w:ascii="Arial" w:hAnsi="Arial" w:cs="Arial" w:eastAsia="Arial" w:hint="default"/>
          <w:sz w:val="21"/>
          <w:szCs w:val="21"/>
        </w:rPr>
        <w:t>-</w:t>
        <w:tab/>
      </w:r>
      <w:r>
        <w:rPr>
          <w:rFonts w:ascii="Arial" w:hAnsi="Arial" w:cs="Arial" w:eastAsia="Arial" w:hint="default"/>
          <w:spacing w:val="-1"/>
          <w:sz w:val="21"/>
          <w:szCs w:val="21"/>
        </w:rPr>
        <w:t>5,000</w:t>
        <w:tab/>
      </w:r>
      <w:r>
        <w:rPr>
          <w:rFonts w:ascii="Arial" w:hAnsi="Arial" w:cs="Arial" w:eastAsia="Arial" w:hint="default"/>
          <w:sz w:val="21"/>
          <w:szCs w:val="21"/>
        </w:rPr>
        <w:t>-</w:t>
        <w:tab/>
      </w:r>
      <w:r>
        <w:rPr>
          <w:rFonts w:ascii="Arial" w:hAnsi="Arial" w:cs="Arial" w:eastAsia="Arial" w:hint="default"/>
          <w:spacing w:val="-1"/>
          <w:sz w:val="21"/>
          <w:szCs w:val="21"/>
        </w:rPr>
        <w:t>5,000</w:t>
        <w:tab/>
      </w:r>
      <w:r>
        <w:rPr>
          <w:rFonts w:ascii="Arial" w:hAnsi="Arial" w:cs="Arial" w:eastAsia="Arial" w:hint="default"/>
          <w:sz w:val="21"/>
          <w:szCs w:val="21"/>
        </w:rPr>
        <w:t>-</w:t>
        <w:tab/>
      </w:r>
      <w:r>
        <w:rPr>
          <w:rFonts w:ascii="Arial" w:hAnsi="Arial" w:cs="Arial" w:eastAsia="Arial" w:hint="default"/>
          <w:spacing w:val="-1"/>
          <w:sz w:val="21"/>
          <w:szCs w:val="21"/>
        </w:rPr>
        <w:t>10,000</w:t>
      </w:r>
      <w:r>
        <w:rPr>
          <w:rFonts w:ascii="Arial" w:hAnsi="Arial" w:cs="Arial" w:eastAsia="Arial" w:hint="default"/>
          <w:sz w:val="21"/>
          <w:szCs w:val="21"/>
        </w:rPr>
      </w:r>
    </w:p>
    <w:p>
      <w:pPr>
        <w:tabs>
          <w:tab w:pos="3329" w:val="left" w:leader="none"/>
          <w:tab w:pos="4621" w:val="left" w:leader="none"/>
          <w:tab w:pos="5540" w:val="left" w:leader="none"/>
          <w:tab w:pos="6826" w:val="left" w:leader="none"/>
          <w:tab w:pos="7961" w:val="left" w:leader="none"/>
          <w:tab w:pos="9388" w:val="left" w:leader="none"/>
        </w:tabs>
        <w:spacing w:line="278" w:lineRule="exact" w:before="0"/>
        <w:ind w:left="342" w:right="0" w:firstLine="0"/>
        <w:jc w:val="left"/>
        <w:rPr>
          <w:rFonts w:ascii="Arial" w:hAnsi="Arial" w:cs="Arial" w:eastAsia="Arial" w:hint="default"/>
          <w:sz w:val="21"/>
          <w:szCs w:val="21"/>
        </w:rPr>
      </w:pPr>
      <w:r>
        <w:rPr>
          <w:rFonts w:ascii="宋体" w:hAnsi="宋体" w:cs="宋体" w:eastAsia="宋体" w:hint="default"/>
          <w:position w:val="2"/>
          <w:sz w:val="21"/>
          <w:szCs w:val="21"/>
        </w:rPr>
        <w:t>其他内资持股</w:t>
        <w:tab/>
      </w:r>
      <w:r>
        <w:rPr>
          <w:rFonts w:ascii="Arial" w:hAnsi="Arial" w:cs="Arial" w:eastAsia="Arial" w:hint="default"/>
          <w:spacing w:val="-1"/>
          <w:sz w:val="21"/>
          <w:szCs w:val="21"/>
        </w:rPr>
        <w:t>465,386</w:t>
        <w:tab/>
        <w:t>49,000</w:t>
        <w:tab/>
        <w:t>(124,386)</w:t>
        <w:tab/>
        <w:t>390,000</w:t>
        <w:tab/>
        <w:t>213,962</w:t>
        <w:tab/>
        <w:t>993,962</w:t>
      </w:r>
      <w:r>
        <w:rPr>
          <w:rFonts w:ascii="Arial" w:hAnsi="Arial" w:cs="Arial" w:eastAsia="Arial" w:hint="default"/>
          <w:sz w:val="21"/>
          <w:szCs w:val="21"/>
        </w:rPr>
      </w:r>
    </w:p>
    <w:p>
      <w:pPr>
        <w:tabs>
          <w:tab w:pos="3445" w:val="left" w:leader="none"/>
          <w:tab w:pos="4621" w:val="left" w:leader="none"/>
          <w:tab w:pos="5656" w:val="left" w:leader="none"/>
          <w:tab w:pos="6941" w:val="left" w:leader="none"/>
          <w:tab w:pos="8647" w:val="left" w:leader="none"/>
          <w:tab w:pos="9504" w:val="left" w:leader="none"/>
        </w:tabs>
        <w:spacing w:line="278" w:lineRule="exact" w:before="0"/>
        <w:ind w:left="337" w:right="0" w:firstLine="0"/>
        <w:jc w:val="left"/>
        <w:rPr>
          <w:rFonts w:ascii="Arial" w:hAnsi="Arial" w:cs="Arial" w:eastAsia="Arial" w:hint="default"/>
          <w:sz w:val="21"/>
          <w:szCs w:val="21"/>
        </w:rPr>
      </w:pPr>
      <w:r>
        <w:rPr/>
        <w:pict>
          <v:group style="position:absolute;margin-left:46.739979pt;margin-top:.417589pt;width:504.1pt;height:28.8pt;mso-position-horizontal-relative:page;mso-position-vertical-relative:paragraph;z-index:-670576" coordorigin="935,8" coordsize="10082,576">
            <v:group style="position:absolute;left:940;top:18;width:10072;height:2" coordorigin="940,18" coordsize="10072,2">
              <v:shape style="position:absolute;left:940;top:18;width:10072;height:2" coordorigin="940,18" coordsize="10072,0" path="m940,18l11011,18e" filled="false" stroked="true" strokeweight=".48004pt" strokecolor="#000000">
                <v:path arrowok="t"/>
              </v:shape>
            </v:group>
            <v:group style="position:absolute;left:944;top:13;width:2;height:567" coordorigin="944,13" coordsize="2,567">
              <v:shape style="position:absolute;left:944;top:13;width:2;height:567" coordorigin="944,13" coordsize="0,567" path="m944,13l944,580e" filled="false" stroked="true" strokeweight=".48pt" strokecolor="#000000">
                <v:path arrowok="t"/>
              </v:shape>
            </v:group>
            <v:group style="position:absolute;left:11009;top:13;width:2;height:567" coordorigin="11009,13" coordsize="2,567">
              <v:shape style="position:absolute;left:11009;top:13;width:2;height:567" coordorigin="11009,13" coordsize="0,567" path="m11009,13l11009,580e" filled="false" stroked="true" strokeweight=".47998pt" strokecolor="#000000">
                <v:path arrowok="t"/>
              </v:shape>
            </v:group>
            <v:group style="position:absolute;left:940;top:575;width:10072;height:2" coordorigin="940,575" coordsize="10072,2">
              <v:shape style="position:absolute;left:940;top:575;width:10072;height:2" coordorigin="940,575" coordsize="10072,0" path="m940,575l11011,575e" filled="false" stroked="true" strokeweight=".48001pt" strokecolor="#000000">
                <v:path arrowok="t"/>
              </v:shape>
            </v:group>
            <w10:wrap type="none"/>
          </v:group>
        </w:pict>
      </w:r>
      <w:r>
        <w:rPr>
          <w:rFonts w:ascii="宋体" w:hAnsi="宋体" w:cs="宋体" w:eastAsia="宋体" w:hint="default"/>
          <w:position w:val="2"/>
          <w:sz w:val="21"/>
          <w:szCs w:val="21"/>
        </w:rPr>
        <w:t>其中：境内非国有法人持股</w:t>
        <w:tab/>
      </w:r>
      <w:r>
        <w:rPr>
          <w:rFonts w:ascii="Arial" w:hAnsi="Arial" w:cs="Arial" w:eastAsia="Arial" w:hint="default"/>
          <w:spacing w:val="-1"/>
          <w:sz w:val="21"/>
          <w:szCs w:val="21"/>
        </w:rPr>
        <w:t>88,726</w:t>
        <w:tab/>
        <w:t>49,000</w:t>
        <w:tab/>
        <w:t>(88,726)</w:t>
        <w:tab/>
        <w:t>49,000</w:t>
        <w:tab/>
      </w:r>
      <w:r>
        <w:rPr>
          <w:rFonts w:ascii="Arial" w:hAnsi="Arial" w:cs="Arial" w:eastAsia="Arial" w:hint="default"/>
          <w:sz w:val="21"/>
          <w:szCs w:val="21"/>
        </w:rPr>
        <w:t>-</w:t>
        <w:tab/>
      </w:r>
      <w:r>
        <w:rPr>
          <w:rFonts w:ascii="Arial" w:hAnsi="Arial" w:cs="Arial" w:eastAsia="Arial" w:hint="default"/>
          <w:spacing w:val="-1"/>
          <w:sz w:val="21"/>
          <w:szCs w:val="21"/>
        </w:rPr>
        <w:t>98,000</w:t>
      </w:r>
      <w:r>
        <w:rPr>
          <w:rFonts w:ascii="Arial" w:hAnsi="Arial" w:cs="Arial" w:eastAsia="Arial" w:hint="default"/>
          <w:sz w:val="21"/>
          <w:szCs w:val="21"/>
        </w:rPr>
      </w:r>
    </w:p>
    <w:p>
      <w:pPr>
        <w:tabs>
          <w:tab w:pos="3329" w:val="left" w:leader="none"/>
          <w:tab w:pos="5192" w:val="left" w:leader="none"/>
          <w:tab w:pos="5657" w:val="left" w:leader="none"/>
          <w:tab w:pos="6825" w:val="left" w:leader="none"/>
          <w:tab w:pos="7960" w:val="left" w:leader="none"/>
          <w:tab w:pos="9388" w:val="left" w:leader="none"/>
        </w:tabs>
        <w:spacing w:line="291" w:lineRule="exact" w:before="0"/>
        <w:ind w:left="945" w:right="0" w:firstLine="0"/>
        <w:jc w:val="left"/>
        <w:rPr>
          <w:rFonts w:ascii="Arial" w:hAnsi="Arial" w:cs="Arial" w:eastAsia="Arial" w:hint="default"/>
          <w:sz w:val="21"/>
          <w:szCs w:val="21"/>
        </w:rPr>
      </w:pPr>
      <w:r>
        <w:rPr>
          <w:rFonts w:ascii="宋体" w:hAnsi="宋体" w:cs="宋体" w:eastAsia="宋体" w:hint="default"/>
          <w:position w:val="2"/>
          <w:sz w:val="21"/>
          <w:szCs w:val="21"/>
        </w:rPr>
        <w:t>境内自然人持股</w:t>
        <w:tab/>
      </w:r>
      <w:r>
        <w:rPr>
          <w:rFonts w:ascii="Arial" w:hAnsi="Arial" w:cs="Arial" w:eastAsia="Arial" w:hint="default"/>
          <w:spacing w:val="-1"/>
          <w:sz w:val="21"/>
          <w:szCs w:val="21"/>
        </w:rPr>
        <w:t>376,660</w:t>
        <w:tab/>
      </w:r>
      <w:r>
        <w:rPr>
          <w:rFonts w:ascii="Arial" w:hAnsi="Arial" w:cs="Arial" w:eastAsia="Arial" w:hint="default"/>
          <w:sz w:val="21"/>
          <w:szCs w:val="21"/>
        </w:rPr>
        <w:t>-</w:t>
        <w:tab/>
      </w:r>
      <w:r>
        <w:rPr>
          <w:rFonts w:ascii="Arial" w:hAnsi="Arial" w:cs="Arial" w:eastAsia="Arial" w:hint="default"/>
          <w:spacing w:val="-1"/>
          <w:sz w:val="21"/>
          <w:szCs w:val="21"/>
        </w:rPr>
        <w:t>(35,660)</w:t>
        <w:tab/>
        <w:t>341,000</w:t>
        <w:tab/>
        <w:t>213,962</w:t>
        <w:tab/>
        <w:t>895,962</w:t>
      </w:r>
      <w:r>
        <w:rPr>
          <w:rFonts w:ascii="Arial" w:hAnsi="Arial" w:cs="Arial" w:eastAsia="Arial" w:hint="default"/>
          <w:sz w:val="21"/>
          <w:szCs w:val="21"/>
        </w:rPr>
      </w:r>
    </w:p>
    <w:p>
      <w:pPr>
        <w:spacing w:line="240" w:lineRule="auto" w:before="10"/>
        <w:rPr>
          <w:rFonts w:ascii="Arial" w:hAnsi="Arial" w:cs="Arial" w:eastAsia="Arial" w:hint="default"/>
          <w:sz w:val="21"/>
          <w:szCs w:val="21"/>
        </w:rPr>
      </w:pPr>
    </w:p>
    <w:p>
      <w:pPr>
        <w:spacing w:line="20" w:lineRule="exact"/>
        <w:ind w:left="2925" w:right="0" w:firstLine="0"/>
        <w:rPr>
          <w:rFonts w:ascii="Arial" w:hAnsi="Arial" w:cs="Arial" w:eastAsia="Arial" w:hint="default"/>
          <w:sz w:val="2"/>
          <w:szCs w:val="2"/>
        </w:rPr>
      </w:pPr>
      <w:r>
        <w:rPr>
          <w:rFonts w:ascii="Arial"/>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001pt" strokecolor="#000000">
                <v:path arrowok="t"/>
              </v:shape>
            </v:group>
          </v:group>
        </w:pict>
      </w:r>
      <w:r>
        <w:rPr>
          <w:rFonts w:ascii="Arial"/>
          <w:sz w:val="2"/>
        </w:rPr>
      </w:r>
      <w:r>
        <w:rPr>
          <w:rFonts w:ascii="Times New Roman"/>
          <w:spacing w:val="85"/>
          <w:sz w:val="2"/>
        </w:rPr>
        <w:t> </w:t>
      </w:r>
      <w:r>
        <w:rPr>
          <w:rFonts w:ascii="Arial"/>
          <w:spacing w:val="85"/>
          <w:sz w:val="2"/>
        </w:rPr>
        <w:pict>
          <v:group style="width:55.4pt;height:.5pt;mso-position-horizontal-relative:char;mso-position-vertical-relative:line" coordorigin="0,0" coordsize="1108,10">
            <v:group style="position:absolute;left:5;top:5;width:1098;height:2" coordorigin="5,5" coordsize="1098,2">
              <v:shape style="position:absolute;left:5;top:5;width:1098;height:2" coordorigin="5,5" coordsize="1098,0" path="m5,5l1103,5e" filled="false" stroked="true" strokeweight=".48001pt" strokecolor="#000000">
                <v:path arrowok="t"/>
              </v:shape>
            </v:group>
          </v:group>
        </w:pict>
      </w:r>
      <w:r>
        <w:rPr>
          <w:rFonts w:ascii="Arial"/>
          <w:spacing w:val="85"/>
          <w:sz w:val="2"/>
        </w:rPr>
      </w:r>
      <w:r>
        <w:rPr>
          <w:rFonts w:ascii="Times New Roman"/>
          <w:spacing w:val="91"/>
          <w:sz w:val="2"/>
        </w:rPr>
        <w:t> </w:t>
      </w:r>
      <w:r>
        <w:rPr>
          <w:rFonts w:ascii="Arial"/>
          <w:spacing w:val="91"/>
          <w:sz w:val="2"/>
        </w:rPr>
        <w:pict>
          <v:group style="width:51.6pt;height:.5pt;mso-position-horizontal-relative:char;mso-position-vertical-relative:line" coordorigin="0,0" coordsize="1032,10">
            <v:group style="position:absolute;left:5;top:5;width:1023;height:2" coordorigin="5,5" coordsize="1023,2">
              <v:shape style="position:absolute;left:5;top:5;width:1023;height:2" coordorigin="5,5" coordsize="1023,0" path="m5,5l1027,5e" filled="false" stroked="true" strokeweight=".48001pt" strokecolor="#000000">
                <v:path arrowok="t"/>
              </v:shape>
            </v:group>
          </v:group>
        </w:pict>
      </w:r>
      <w:r>
        <w:rPr>
          <w:rFonts w:ascii="Arial"/>
          <w:spacing w:val="91"/>
          <w:sz w:val="2"/>
        </w:rPr>
      </w:r>
      <w:r>
        <w:rPr>
          <w:rFonts w:ascii="Times New Roman"/>
          <w:spacing w:val="92"/>
          <w:sz w:val="2"/>
        </w:rPr>
        <w:t> </w:t>
      </w:r>
      <w:r>
        <w:rPr>
          <w:rFonts w:ascii="Arial"/>
          <w:spacing w:val="92"/>
          <w:sz w:val="2"/>
        </w:rPr>
        <w:pict>
          <v:group style="width:51.55pt;height:.5pt;mso-position-horizontal-relative:char;mso-position-vertical-relative:line" coordorigin="0,0" coordsize="1031,10">
            <v:group style="position:absolute;left:5;top:5;width:1022;height:2" coordorigin="5,5" coordsize="1022,2">
              <v:shape style="position:absolute;left:5;top:5;width:1022;height:2" coordorigin="5,5" coordsize="1022,0" path="m5,5l1026,5e" filled="false" stroked="true" strokeweight=".48001pt" strokecolor="#000000">
                <v:path arrowok="t"/>
              </v:shape>
            </v:group>
          </v:group>
        </w:pict>
      </w:r>
      <w:r>
        <w:rPr>
          <w:rFonts w:ascii="Arial"/>
          <w:spacing w:val="92"/>
          <w:sz w:val="2"/>
        </w:rPr>
      </w:r>
      <w:r>
        <w:rPr>
          <w:rFonts w:ascii="Times New Roman"/>
          <w:spacing w:val="87"/>
          <w:sz w:val="2"/>
        </w:rPr>
        <w:t> </w:t>
      </w:r>
      <w:r>
        <w:rPr>
          <w:rFonts w:ascii="Arial"/>
          <w:spacing w:val="87"/>
          <w:sz w:val="2"/>
        </w:rPr>
        <w:pict>
          <v:group style="width:53.3pt;height:.5pt;mso-position-horizontal-relative:char;mso-position-vertical-relative:line" coordorigin="0,0" coordsize="1066,10">
            <v:group style="position:absolute;left:5;top:5;width:1056;height:2" coordorigin="5,5" coordsize="1056,2">
              <v:shape style="position:absolute;left:5;top:5;width:1056;height:2" coordorigin="5,5" coordsize="1056,0" path="m5,5l1061,5e" filled="false" stroked="true" strokeweight=".48001pt" strokecolor="#000000">
                <v:path arrowok="t"/>
              </v:shape>
            </v:group>
          </v:group>
        </w:pict>
      </w:r>
      <w:r>
        <w:rPr>
          <w:rFonts w:ascii="Arial"/>
          <w:spacing w:val="87"/>
          <w:sz w:val="2"/>
        </w:rPr>
      </w:r>
      <w:r>
        <w:rPr>
          <w:rFonts w:ascii="Times New Roman"/>
          <w:spacing w:val="91"/>
          <w:sz w:val="2"/>
        </w:rPr>
        <w:t> </w:t>
      </w:r>
      <w:r>
        <w:rPr>
          <w:rFonts w:ascii="Arial"/>
          <w:spacing w:val="91"/>
          <w:sz w:val="2"/>
        </w:rPr>
        <w:pict>
          <v:group style="width:64.9pt;height:.5pt;mso-position-horizontal-relative:char;mso-position-vertical-relative:line" coordorigin="0,0" coordsize="1298,10">
            <v:group style="position:absolute;left:5;top:5;width:1288;height:2" coordorigin="5,5" coordsize="1288,2">
              <v:shape style="position:absolute;left:5;top:5;width:1288;height:2" coordorigin="5,5" coordsize="1288,0" path="m5,5l1292,5e" filled="false" stroked="true" strokeweight=".48001pt" strokecolor="#000000">
                <v:path arrowok="t"/>
              </v:shape>
            </v:group>
          </v:group>
        </w:pict>
      </w:r>
      <w:r>
        <w:rPr>
          <w:rFonts w:ascii="Arial"/>
          <w:spacing w:val="91"/>
          <w:sz w:val="2"/>
        </w:rPr>
      </w:r>
    </w:p>
    <w:p>
      <w:pPr>
        <w:tabs>
          <w:tab w:pos="4621" w:val="left" w:leader="none"/>
          <w:tab w:pos="5540" w:val="left" w:leader="none"/>
          <w:tab w:pos="6826" w:val="left" w:leader="none"/>
          <w:tab w:pos="7961" w:val="left" w:leader="none"/>
          <w:tab w:pos="9214" w:val="left" w:leader="none"/>
        </w:tabs>
        <w:spacing w:line="231" w:lineRule="exact" w:before="0"/>
        <w:ind w:left="3329" w:right="0" w:firstLine="0"/>
        <w:jc w:val="left"/>
        <w:rPr>
          <w:rFonts w:ascii="Arial" w:hAnsi="Arial" w:cs="Arial" w:eastAsia="Arial" w:hint="default"/>
          <w:sz w:val="21"/>
          <w:szCs w:val="21"/>
        </w:rPr>
      </w:pPr>
      <w:r>
        <w:rPr>
          <w:rFonts w:ascii="Arial"/>
          <w:spacing w:val="-1"/>
          <w:sz w:val="21"/>
        </w:rPr>
        <w:t>465,386</w:t>
        <w:tab/>
        <w:t>54,000</w:t>
        <w:tab/>
        <w:t>(124,386)</w:t>
        <w:tab/>
        <w:t>395,000</w:t>
        <w:tab/>
        <w:t>213,962</w:t>
        <w:tab/>
        <w:t>1,003,962</w:t>
      </w:r>
      <w:r>
        <w:rPr>
          <w:rFonts w:ascii="Arial"/>
          <w:sz w:val="21"/>
        </w:rPr>
      </w:r>
    </w:p>
    <w:p>
      <w:pPr>
        <w:spacing w:line="20" w:lineRule="exact"/>
        <w:ind w:left="2925" w:right="0" w:firstLine="0"/>
        <w:rPr>
          <w:rFonts w:ascii="Arial" w:hAnsi="Arial" w:cs="Arial" w:eastAsia="Arial" w:hint="default"/>
          <w:sz w:val="2"/>
          <w:szCs w:val="2"/>
        </w:rPr>
      </w:pPr>
      <w:r>
        <w:rPr>
          <w:rFonts w:ascii="Arial"/>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7998pt" strokecolor="#000000">
                <v:path arrowok="t"/>
              </v:shape>
            </v:group>
          </v:group>
        </w:pict>
      </w:r>
      <w:r>
        <w:rPr>
          <w:rFonts w:ascii="Arial"/>
          <w:sz w:val="2"/>
        </w:rPr>
      </w:r>
      <w:r>
        <w:rPr>
          <w:rFonts w:ascii="Times New Roman"/>
          <w:spacing w:val="85"/>
          <w:sz w:val="2"/>
        </w:rPr>
        <w:t> </w:t>
      </w:r>
      <w:r>
        <w:rPr>
          <w:rFonts w:ascii="Arial"/>
          <w:spacing w:val="85"/>
          <w:sz w:val="2"/>
        </w:rPr>
        <w:pict>
          <v:group style="width:55.4pt;height:.5pt;mso-position-horizontal-relative:char;mso-position-vertical-relative:line" coordorigin="0,0" coordsize="1108,10">
            <v:group style="position:absolute;left:5;top:5;width:1098;height:2" coordorigin="5,5" coordsize="1098,2">
              <v:shape style="position:absolute;left:5;top:5;width:1098;height:2" coordorigin="5,5" coordsize="1098,0" path="m5,5l1103,5e" filled="false" stroked="true" strokeweight=".47998pt" strokecolor="#000000">
                <v:path arrowok="t"/>
              </v:shape>
            </v:group>
          </v:group>
        </w:pict>
      </w:r>
      <w:r>
        <w:rPr>
          <w:rFonts w:ascii="Arial"/>
          <w:spacing w:val="85"/>
          <w:sz w:val="2"/>
        </w:rPr>
      </w:r>
      <w:r>
        <w:rPr>
          <w:rFonts w:ascii="Times New Roman"/>
          <w:spacing w:val="91"/>
          <w:sz w:val="2"/>
        </w:rPr>
        <w:t> </w:t>
      </w:r>
      <w:r>
        <w:rPr>
          <w:rFonts w:ascii="Arial"/>
          <w:spacing w:val="91"/>
          <w:sz w:val="2"/>
        </w:rPr>
        <w:pict>
          <v:group style="width:51.6pt;height:.5pt;mso-position-horizontal-relative:char;mso-position-vertical-relative:line" coordorigin="0,0" coordsize="1032,10">
            <v:group style="position:absolute;left:5;top:5;width:1023;height:2" coordorigin="5,5" coordsize="1023,2">
              <v:shape style="position:absolute;left:5;top:5;width:1023;height:2" coordorigin="5,5" coordsize="1023,0" path="m5,5l1027,5e" filled="false" stroked="true" strokeweight=".47998pt" strokecolor="#000000">
                <v:path arrowok="t"/>
              </v:shape>
            </v:group>
          </v:group>
        </w:pict>
      </w:r>
      <w:r>
        <w:rPr>
          <w:rFonts w:ascii="Arial"/>
          <w:spacing w:val="91"/>
          <w:sz w:val="2"/>
        </w:rPr>
      </w:r>
      <w:r>
        <w:rPr>
          <w:rFonts w:ascii="Times New Roman"/>
          <w:spacing w:val="92"/>
          <w:sz w:val="2"/>
        </w:rPr>
        <w:t> </w:t>
      </w:r>
      <w:r>
        <w:rPr>
          <w:rFonts w:ascii="Arial"/>
          <w:spacing w:val="92"/>
          <w:sz w:val="2"/>
        </w:rPr>
        <w:pict>
          <v:group style="width:51.55pt;height:.5pt;mso-position-horizontal-relative:char;mso-position-vertical-relative:line" coordorigin="0,0" coordsize="1031,10">
            <v:group style="position:absolute;left:5;top:5;width:1022;height:2" coordorigin="5,5" coordsize="1022,2">
              <v:shape style="position:absolute;left:5;top:5;width:1022;height:2" coordorigin="5,5" coordsize="1022,0" path="m5,5l1026,5e" filled="false" stroked="true" strokeweight=".47998pt" strokecolor="#000000">
                <v:path arrowok="t"/>
              </v:shape>
            </v:group>
          </v:group>
        </w:pict>
      </w:r>
      <w:r>
        <w:rPr>
          <w:rFonts w:ascii="Arial"/>
          <w:spacing w:val="92"/>
          <w:sz w:val="2"/>
        </w:rPr>
      </w:r>
      <w:r>
        <w:rPr>
          <w:rFonts w:ascii="Times New Roman"/>
          <w:spacing w:val="87"/>
          <w:sz w:val="2"/>
        </w:rPr>
        <w:t> </w:t>
      </w:r>
      <w:r>
        <w:rPr>
          <w:rFonts w:ascii="Arial"/>
          <w:spacing w:val="87"/>
          <w:sz w:val="2"/>
        </w:rPr>
        <w:pict>
          <v:group style="width:53.3pt;height:.5pt;mso-position-horizontal-relative:char;mso-position-vertical-relative:line" coordorigin="0,0" coordsize="1066,10">
            <v:group style="position:absolute;left:5;top:5;width:1056;height:2" coordorigin="5,5" coordsize="1056,2">
              <v:shape style="position:absolute;left:5;top:5;width:1056;height:2" coordorigin="5,5" coordsize="1056,0" path="m5,5l1061,5e" filled="false" stroked="true" strokeweight=".47998pt" strokecolor="#000000">
                <v:path arrowok="t"/>
              </v:shape>
            </v:group>
          </v:group>
        </w:pict>
      </w:r>
      <w:r>
        <w:rPr>
          <w:rFonts w:ascii="Arial"/>
          <w:spacing w:val="87"/>
          <w:sz w:val="2"/>
        </w:rPr>
      </w:r>
      <w:r>
        <w:rPr>
          <w:rFonts w:ascii="Times New Roman"/>
          <w:spacing w:val="91"/>
          <w:sz w:val="2"/>
        </w:rPr>
        <w:t> </w:t>
      </w:r>
      <w:r>
        <w:rPr>
          <w:rFonts w:ascii="Arial"/>
          <w:spacing w:val="91"/>
          <w:sz w:val="2"/>
        </w:rPr>
        <w:pict>
          <v:group style="width:64.9pt;height:.5pt;mso-position-horizontal-relative:char;mso-position-vertical-relative:line" coordorigin="0,0" coordsize="1298,10">
            <v:group style="position:absolute;left:5;top:5;width:1288;height:2" coordorigin="5,5" coordsize="1288,2">
              <v:shape style="position:absolute;left:5;top:5;width:1288;height:2" coordorigin="5,5" coordsize="1288,0" path="m5,5l1292,5e" filled="false" stroked="true" strokeweight=".47998pt" strokecolor="#000000">
                <v:path arrowok="t"/>
              </v:shape>
            </v:group>
          </v:group>
        </w:pict>
      </w:r>
      <w:r>
        <w:rPr>
          <w:rFonts w:ascii="Arial"/>
          <w:spacing w:val="91"/>
          <w:sz w:val="2"/>
        </w:rPr>
      </w:r>
    </w:p>
    <w:p>
      <w:pPr>
        <w:spacing w:line="240" w:lineRule="auto" w:before="1"/>
        <w:rPr>
          <w:rFonts w:ascii="Arial" w:hAnsi="Arial" w:cs="Arial" w:eastAsia="Arial" w:hint="default"/>
          <w:sz w:val="14"/>
          <w:szCs w:val="14"/>
        </w:rPr>
      </w:pPr>
    </w:p>
    <w:p>
      <w:pPr>
        <w:spacing w:line="280" w:lineRule="exact" w:before="35"/>
        <w:ind w:left="166" w:right="3753" w:firstLine="0"/>
        <w:jc w:val="left"/>
        <w:rPr>
          <w:rFonts w:ascii="Arial" w:hAnsi="Arial" w:cs="Arial" w:eastAsia="Arial" w:hint="default"/>
          <w:sz w:val="21"/>
          <w:szCs w:val="21"/>
        </w:rPr>
      </w:pPr>
      <w:r>
        <w:rPr>
          <w:rFonts w:ascii="宋体" w:hAnsi="宋体" w:cs="宋体" w:eastAsia="宋体" w:hint="default"/>
          <w:sz w:val="21"/>
          <w:szCs w:val="21"/>
        </w:rPr>
        <w:t>无限售条件股份 </w:t>
      </w:r>
      <w:r>
        <w:rPr>
          <w:rFonts w:ascii="Arial" w:hAnsi="Arial" w:cs="Arial" w:eastAsia="Arial" w:hint="default"/>
          <w:sz w:val="21"/>
          <w:szCs w:val="21"/>
        </w:rPr>
        <w:t>-</w:t>
      </w:r>
    </w:p>
    <w:p>
      <w:pPr>
        <w:tabs>
          <w:tab w:pos="2929" w:val="left" w:leader="none"/>
          <w:tab w:pos="3345" w:val="left" w:leader="none"/>
          <w:tab w:pos="5192" w:val="left" w:leader="none"/>
          <w:tab w:pos="9214" w:val="left" w:leader="none"/>
        </w:tabs>
        <w:spacing w:line="300" w:lineRule="exact" w:before="0"/>
        <w:ind w:left="377" w:right="0" w:firstLine="0"/>
        <w:jc w:val="left"/>
        <w:rPr>
          <w:rFonts w:ascii="Arial" w:hAnsi="Arial" w:cs="Arial" w:eastAsia="Arial" w:hint="default"/>
          <w:sz w:val="21"/>
          <w:szCs w:val="21"/>
        </w:rPr>
      </w:pPr>
      <w:r>
        <w:rPr>
          <w:rFonts w:ascii="宋体" w:hAnsi="宋体" w:cs="宋体" w:eastAsia="宋体" w:hint="default"/>
          <w:position w:val="2"/>
          <w:sz w:val="21"/>
          <w:szCs w:val="21"/>
        </w:rPr>
        <w:t>人民币普通股</w:t>
        <w:tab/>
      </w:r>
      <w:r>
        <w:rPr>
          <w:rFonts w:ascii="Arial" w:hAnsi="Arial" w:cs="Arial" w:eastAsia="Arial" w:hint="default"/>
          <w:sz w:val="21"/>
          <w:szCs w:val="21"/>
        </w:rPr>
      </w:r>
      <w:r>
        <w:rPr>
          <w:rFonts w:ascii="Arial" w:hAnsi="Arial" w:cs="Arial" w:eastAsia="Arial" w:hint="default"/>
          <w:sz w:val="21"/>
          <w:szCs w:val="21"/>
          <w:u w:val="single" w:color="000000"/>
        </w:rPr>
        <w:t> </w:t>
        <w:tab/>
      </w:r>
      <w:r>
        <w:rPr>
          <w:rFonts w:ascii="Arial" w:hAnsi="Arial" w:cs="Arial" w:eastAsia="Arial" w:hint="default"/>
          <w:spacing w:val="-3"/>
          <w:w w:val="95"/>
          <w:sz w:val="21"/>
          <w:szCs w:val="21"/>
          <w:u w:val="single" w:color="000000"/>
        </w:rPr>
        <w:t>976,118</w:t>
      </w:r>
      <w:r>
        <w:rPr>
          <w:rFonts w:ascii="Arial" w:hAnsi="Arial" w:cs="Arial" w:eastAsia="Arial" w:hint="default"/>
          <w:spacing w:val="-3"/>
          <w:w w:val="95"/>
          <w:sz w:val="21"/>
          <w:szCs w:val="21"/>
        </w:rPr>
      </w:r>
      <w:r>
        <w:rPr>
          <w:rFonts w:ascii="Arial" w:hAnsi="Arial" w:cs="Arial" w:eastAsia="Arial" w:hint="default"/>
          <w:spacing w:val="-3"/>
          <w:w w:val="95"/>
          <w:sz w:val="21"/>
          <w:szCs w:val="21"/>
          <w:u w:val="single" w:color="000000"/>
        </w:rPr>
        <w:t> </w:t>
        <w:tab/>
      </w:r>
      <w:r>
        <w:rPr>
          <w:rFonts w:ascii="Arial" w:hAnsi="Arial" w:cs="Arial" w:eastAsia="Arial" w:hint="default"/>
          <w:sz w:val="21"/>
          <w:szCs w:val="21"/>
          <w:u w:val="single" w:color="000000"/>
        </w:rPr>
        <w:t>-      </w:t>
      </w:r>
      <w:r>
        <w:rPr>
          <w:rFonts w:ascii="Arial" w:hAnsi="Arial" w:cs="Arial" w:eastAsia="Arial" w:hint="default"/>
          <w:sz w:val="21"/>
          <w:szCs w:val="21"/>
        </w:rPr>
      </w:r>
      <w:r>
        <w:rPr>
          <w:rFonts w:ascii="Arial" w:hAnsi="Arial" w:cs="Arial" w:eastAsia="Arial" w:hint="default"/>
          <w:sz w:val="21"/>
          <w:szCs w:val="21"/>
          <w:u w:val="single" w:color="000000"/>
        </w:rPr>
        <w:t> 124,386     </w:t>
      </w:r>
      <w:r>
        <w:rPr>
          <w:rFonts w:ascii="Arial" w:hAnsi="Arial" w:cs="Arial" w:eastAsia="Arial" w:hint="default"/>
          <w:sz w:val="21"/>
          <w:szCs w:val="21"/>
        </w:rPr>
      </w:r>
      <w:r>
        <w:rPr>
          <w:rFonts w:ascii="Arial" w:hAnsi="Arial" w:cs="Arial" w:eastAsia="Arial" w:hint="default"/>
          <w:sz w:val="21"/>
          <w:szCs w:val="21"/>
          <w:u w:val="single" w:color="000000"/>
        </w:rPr>
        <w:t> 1,100,504  </w:t>
      </w:r>
      <w:r>
        <w:rPr>
          <w:rFonts w:ascii="Arial" w:hAnsi="Arial" w:cs="Arial" w:eastAsia="Arial" w:hint="default"/>
          <w:spacing w:val="53"/>
          <w:sz w:val="21"/>
          <w:szCs w:val="21"/>
          <w:u w:val="single" w:color="000000"/>
        </w:rPr>
        <w:t> </w:t>
      </w:r>
      <w:r>
        <w:rPr>
          <w:rFonts w:ascii="Arial" w:hAnsi="Arial" w:cs="Arial" w:eastAsia="Arial" w:hint="default"/>
          <w:spacing w:val="53"/>
          <w:sz w:val="21"/>
          <w:szCs w:val="21"/>
        </w:rPr>
      </w:r>
      <w:r>
        <w:rPr>
          <w:rFonts w:ascii="Arial" w:hAnsi="Arial" w:cs="Arial" w:eastAsia="Arial" w:hint="default"/>
          <w:spacing w:val="53"/>
          <w:sz w:val="21"/>
          <w:szCs w:val="21"/>
          <w:u w:val="single" w:color="000000"/>
        </w:rPr>
        <w:t> </w:t>
      </w:r>
      <w:r>
        <w:rPr>
          <w:rFonts w:ascii="Arial" w:hAnsi="Arial" w:cs="Arial" w:eastAsia="Arial" w:hint="default"/>
          <w:sz w:val="21"/>
          <w:szCs w:val="21"/>
          <w:u w:val="single" w:color="000000"/>
        </w:rPr>
        <w:t>(213,962)</w:t>
      </w:r>
      <w:r>
        <w:rPr>
          <w:rFonts w:ascii="Arial" w:hAnsi="Arial" w:cs="Arial" w:eastAsia="Arial" w:hint="default"/>
          <w:sz w:val="21"/>
          <w:szCs w:val="21"/>
        </w:rPr>
      </w:r>
      <w:r>
        <w:rPr>
          <w:rFonts w:ascii="Arial" w:hAnsi="Arial" w:cs="Arial" w:eastAsia="Arial" w:hint="default"/>
          <w:sz w:val="21"/>
          <w:szCs w:val="21"/>
          <w:u w:val="single" w:color="000000"/>
        </w:rPr>
        <w:t> </w:t>
        <w:tab/>
        <w:t>1,987,046</w:t>
      </w:r>
      <w:r>
        <w:rPr>
          <w:rFonts w:ascii="Arial" w:hAnsi="Arial" w:cs="Arial" w:eastAsia="Arial" w:hint="default"/>
          <w:sz w:val="21"/>
          <w:szCs w:val="21"/>
        </w:rPr>
      </w:r>
    </w:p>
    <w:p>
      <w:pPr>
        <w:tabs>
          <w:tab w:pos="3345" w:val="left" w:leader="none"/>
          <w:tab w:pos="5193" w:val="left" w:leader="none"/>
          <w:tab w:pos="9214" w:val="left" w:leader="none"/>
        </w:tabs>
        <w:spacing w:before="9"/>
        <w:ind w:left="2930" w:right="0" w:firstLine="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3"/>
          <w:w w:val="95"/>
          <w:sz w:val="21"/>
          <w:u w:val="single" w:color="000000"/>
        </w:rPr>
        <w:t>976,118</w:t>
      </w:r>
      <w:r>
        <w:rPr>
          <w:rFonts w:ascii="Arial"/>
          <w:spacing w:val="-3"/>
          <w:w w:val="95"/>
          <w:sz w:val="21"/>
        </w:rPr>
      </w:r>
      <w:r>
        <w:rPr>
          <w:rFonts w:ascii="Arial"/>
          <w:spacing w:val="-3"/>
          <w:w w:val="95"/>
          <w:sz w:val="21"/>
          <w:u w:val="single" w:color="000000"/>
        </w:rPr>
        <w:t> </w:t>
        <w:tab/>
      </w:r>
      <w:r>
        <w:rPr>
          <w:rFonts w:ascii="Arial"/>
          <w:sz w:val="21"/>
          <w:u w:val="single" w:color="000000"/>
        </w:rPr>
        <w:t>-      </w:t>
      </w:r>
      <w:r>
        <w:rPr>
          <w:rFonts w:ascii="Arial"/>
          <w:sz w:val="21"/>
        </w:rPr>
      </w:r>
      <w:r>
        <w:rPr>
          <w:rFonts w:ascii="Arial"/>
          <w:sz w:val="21"/>
          <w:u w:val="single" w:color="000000"/>
        </w:rPr>
        <w:t> 124,386     </w:t>
      </w:r>
      <w:r>
        <w:rPr>
          <w:rFonts w:ascii="Arial"/>
          <w:sz w:val="21"/>
        </w:rPr>
      </w:r>
      <w:r>
        <w:rPr>
          <w:rFonts w:ascii="Arial"/>
          <w:sz w:val="21"/>
          <w:u w:val="single" w:color="000000"/>
        </w:rPr>
        <w:t> 1,100,504  </w:t>
      </w:r>
      <w:r>
        <w:rPr>
          <w:rFonts w:ascii="Arial"/>
          <w:spacing w:val="52"/>
          <w:sz w:val="21"/>
          <w:u w:val="single" w:color="000000"/>
        </w:rPr>
        <w:t> </w:t>
      </w:r>
      <w:r>
        <w:rPr>
          <w:rFonts w:ascii="Arial"/>
          <w:spacing w:val="52"/>
          <w:sz w:val="21"/>
        </w:rPr>
      </w:r>
      <w:r>
        <w:rPr>
          <w:rFonts w:ascii="Arial"/>
          <w:spacing w:val="52"/>
          <w:sz w:val="21"/>
          <w:u w:val="single" w:color="000000"/>
        </w:rPr>
        <w:t> </w:t>
      </w:r>
      <w:r>
        <w:rPr>
          <w:rFonts w:ascii="Arial"/>
          <w:sz w:val="21"/>
          <w:u w:val="single" w:color="000000"/>
        </w:rPr>
        <w:t>(213,962)</w:t>
      </w:r>
      <w:r>
        <w:rPr>
          <w:rFonts w:ascii="Arial"/>
          <w:sz w:val="21"/>
        </w:rPr>
      </w:r>
      <w:r>
        <w:rPr>
          <w:rFonts w:ascii="Arial"/>
          <w:sz w:val="21"/>
          <w:u w:val="single" w:color="000000"/>
        </w:rPr>
        <w:t> </w:t>
        <w:tab/>
        <w:t>1,987,046</w:t>
      </w:r>
      <w:r>
        <w:rPr>
          <w:rFonts w:ascii="Arial"/>
          <w:sz w:val="21"/>
        </w:rPr>
      </w:r>
    </w:p>
    <w:p>
      <w:pPr>
        <w:tabs>
          <w:tab w:pos="4621" w:val="left" w:leader="none"/>
          <w:tab w:pos="6282" w:val="left" w:leader="none"/>
          <w:tab w:pos="8648" w:val="left" w:leader="none"/>
          <w:tab w:pos="9214" w:val="left" w:leader="none"/>
        </w:tabs>
        <w:spacing w:before="10"/>
        <w:ind w:left="2922" w:right="0" w:firstLine="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  </w:t>
      </w:r>
      <w:r>
        <w:rPr>
          <w:rFonts w:ascii="Arial"/>
          <w:spacing w:val="-2"/>
          <w:sz w:val="21"/>
          <w:u w:val="thick" w:color="000000"/>
        </w:rPr>
        <w:t> </w:t>
      </w:r>
      <w:r>
        <w:rPr>
          <w:rFonts w:ascii="Arial"/>
          <w:spacing w:val="-1"/>
          <w:sz w:val="21"/>
          <w:u w:val="thick" w:color="000000"/>
        </w:rPr>
        <w:t>1,441,504</w:t>
      </w:r>
      <w:r>
        <w:rPr>
          <w:rFonts w:ascii="Arial"/>
          <w:spacing w:val="-1"/>
          <w:sz w:val="21"/>
        </w:rPr>
      </w:r>
      <w:r>
        <w:rPr>
          <w:rFonts w:ascii="Arial"/>
          <w:spacing w:val="-1"/>
          <w:sz w:val="21"/>
          <w:u w:val="thick" w:color="000000"/>
        </w:rPr>
        <w:t> </w:t>
        <w:tab/>
        <w:t>54,000</w:t>
      </w:r>
      <w:r>
        <w:rPr>
          <w:rFonts w:ascii="Arial"/>
          <w:spacing w:val="-1"/>
          <w:sz w:val="21"/>
        </w:rPr>
      </w:r>
      <w:r>
        <w:rPr>
          <w:rFonts w:ascii="Arial"/>
          <w:spacing w:val="-1"/>
          <w:sz w:val="21"/>
          <w:u w:val="thick" w:color="000000"/>
        </w:rPr>
        <w:t> </w:t>
        <w:tab/>
      </w:r>
      <w:r>
        <w:rPr>
          <w:rFonts w:ascii="Arial"/>
          <w:sz w:val="21"/>
          <w:u w:val="thick" w:color="000000"/>
        </w:rPr>
        <w:t>-    </w:t>
      </w:r>
      <w:r>
        <w:rPr>
          <w:rFonts w:ascii="Arial"/>
          <w:spacing w:val="6"/>
          <w:sz w:val="21"/>
          <w:u w:val="thick" w:color="000000"/>
        </w:rPr>
        <w:t> </w:t>
      </w:r>
      <w:r>
        <w:rPr>
          <w:rFonts w:ascii="Arial"/>
          <w:spacing w:val="6"/>
          <w:sz w:val="21"/>
        </w:rPr>
      </w:r>
      <w:r>
        <w:rPr>
          <w:rFonts w:ascii="Arial"/>
          <w:spacing w:val="6"/>
          <w:sz w:val="21"/>
          <w:u w:val="thick" w:color="000000"/>
        </w:rPr>
        <w:t> </w:t>
      </w:r>
      <w:r>
        <w:rPr>
          <w:rFonts w:ascii="Arial"/>
          <w:spacing w:val="-1"/>
          <w:sz w:val="21"/>
          <w:u w:val="thick" w:color="000000"/>
        </w:rPr>
        <w:t>1,495,504</w:t>
      </w:r>
      <w:r>
        <w:rPr>
          <w:rFonts w:ascii="Arial"/>
          <w:spacing w:val="-1"/>
          <w:sz w:val="21"/>
        </w:rPr>
      </w:r>
      <w:r>
        <w:rPr>
          <w:rFonts w:ascii="Arial"/>
          <w:spacing w:val="-1"/>
          <w:sz w:val="21"/>
          <w:u w:val="thick" w:color="000000"/>
        </w:rPr>
        <w:t> </w:t>
        <w:tab/>
      </w:r>
      <w:r>
        <w:rPr>
          <w:rFonts w:ascii="Arial"/>
          <w:sz w:val="21"/>
          <w:u w:val="thick" w:color="000000"/>
        </w:rPr>
        <w:t>-</w:t>
      </w:r>
      <w:r>
        <w:rPr>
          <w:rFonts w:ascii="Arial"/>
          <w:sz w:val="21"/>
        </w:rPr>
      </w:r>
      <w:r>
        <w:rPr>
          <w:rFonts w:ascii="Arial"/>
          <w:sz w:val="21"/>
          <w:u w:val="thick" w:color="000000"/>
        </w:rPr>
        <w:t> </w:t>
        <w:tab/>
      </w:r>
      <w:r>
        <w:rPr>
          <w:rFonts w:ascii="Arial"/>
          <w:spacing w:val="-1"/>
          <w:sz w:val="21"/>
          <w:u w:val="thick" w:color="000000"/>
        </w:rPr>
        <w:t>2,991,008</w:t>
      </w:r>
      <w:r>
        <w:rPr>
          <w:rFonts w:ascii="Arial"/>
          <w:spacing w:val="-1"/>
          <w:sz w:val="21"/>
        </w:rPr>
      </w:r>
      <w:r>
        <w:rPr>
          <w:rFonts w:ascii="Arial"/>
          <w:sz w:val="21"/>
        </w:rPr>
      </w:r>
    </w:p>
    <w:p>
      <w:pPr>
        <w:spacing w:line="240" w:lineRule="auto" w:before="8"/>
        <w:rPr>
          <w:rFonts w:ascii="Arial" w:hAnsi="Arial" w:cs="Arial" w:eastAsia="Arial" w:hint="default"/>
          <w:sz w:val="17"/>
          <w:szCs w:val="17"/>
        </w:rPr>
      </w:pPr>
    </w:p>
    <w:p>
      <w:pPr>
        <w:spacing w:after="0" w:line="240" w:lineRule="auto"/>
        <w:rPr>
          <w:rFonts w:ascii="Arial" w:hAnsi="Arial" w:cs="Arial" w:eastAsia="Arial" w:hint="default"/>
          <w:sz w:val="17"/>
          <w:szCs w:val="17"/>
        </w:rPr>
        <w:sectPr>
          <w:type w:val="continuous"/>
          <w:pgSz w:w="11910" w:h="16840"/>
          <w:pgMar w:top="1600" w:bottom="280" w:left="820" w:right="780"/>
        </w:sect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3"/>
        <w:rPr>
          <w:rFonts w:ascii="Arial" w:hAnsi="Arial" w:cs="Arial" w:eastAsia="Arial" w:hint="default"/>
          <w:sz w:val="30"/>
          <w:szCs w:val="30"/>
        </w:rPr>
      </w:pPr>
    </w:p>
    <w:p>
      <w:pPr>
        <w:spacing w:before="0"/>
        <w:ind w:left="166" w:right="-19" w:firstLine="0"/>
        <w:jc w:val="left"/>
        <w:rPr>
          <w:rFonts w:ascii="Arial" w:hAnsi="Arial" w:cs="Arial" w:eastAsia="Arial" w:hint="default"/>
          <w:sz w:val="21"/>
          <w:szCs w:val="21"/>
        </w:rPr>
      </w:pPr>
      <w:r>
        <w:rPr>
          <w:rFonts w:ascii="宋体" w:hAnsi="宋体" w:cs="宋体" w:eastAsia="宋体" w:hint="default"/>
          <w:sz w:val="21"/>
          <w:szCs w:val="21"/>
        </w:rPr>
        <w:t>有限售条件股份 </w:t>
      </w:r>
      <w:r>
        <w:rPr>
          <w:rFonts w:ascii="Arial" w:hAnsi="Arial" w:cs="Arial" w:eastAsia="Arial" w:hint="default"/>
          <w:sz w:val="21"/>
          <w:szCs w:val="21"/>
        </w:rPr>
        <w:t>-</w:t>
      </w:r>
    </w:p>
    <w:p>
      <w:pPr>
        <w:spacing w:line="281" w:lineRule="exact" w:before="35"/>
        <w:ind w:left="482" w:right="-18" w:firstLine="0"/>
        <w:jc w:val="left"/>
        <w:rPr>
          <w:rFonts w:ascii="宋体" w:hAnsi="宋体" w:cs="宋体" w:eastAsia="宋体" w:hint="default"/>
          <w:sz w:val="21"/>
          <w:szCs w:val="21"/>
        </w:rPr>
      </w:pPr>
      <w:r>
        <w:rPr/>
        <w:br w:type="column"/>
      </w: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1" w:lineRule="exact" w:before="0"/>
        <w:ind w:left="166" w:right="-17"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line="272" w:lineRule="exact" w:before="63"/>
        <w:ind w:left="166" w:right="-20" w:firstLine="210"/>
        <w:jc w:val="left"/>
        <w:rPr>
          <w:rFonts w:ascii="宋体" w:hAnsi="宋体" w:cs="宋体" w:eastAsia="宋体" w:hint="default"/>
          <w:sz w:val="21"/>
          <w:szCs w:val="21"/>
        </w:rPr>
      </w:pPr>
      <w:r>
        <w:rPr/>
        <w:br w:type="column"/>
      </w:r>
      <w:r>
        <w:rPr>
          <w:rFonts w:ascii="宋体" w:hAnsi="宋体" w:cs="宋体" w:eastAsia="宋体" w:hint="default"/>
          <w:sz w:val="21"/>
          <w:szCs w:val="21"/>
        </w:rPr>
        <w:t>非公开 发行股票</w:t>
      </w:r>
    </w:p>
    <w:p>
      <w:pPr>
        <w:spacing w:line="237" w:lineRule="auto" w:before="37"/>
        <w:ind w:left="166" w:right="0" w:hanging="122"/>
        <w:jc w:val="center"/>
        <w:rPr>
          <w:rFonts w:ascii="Arial" w:hAnsi="Arial" w:cs="Arial" w:eastAsia="Arial" w:hint="default"/>
          <w:sz w:val="21"/>
          <w:szCs w:val="21"/>
        </w:rPr>
      </w:pPr>
      <w:r>
        <w:rPr/>
        <w:br w:type="column"/>
      </w:r>
      <w:r>
        <w:rPr>
          <w:rFonts w:ascii="宋体" w:hAnsi="宋体" w:cs="宋体" w:eastAsia="宋体" w:hint="default"/>
          <w:sz w:val="21"/>
          <w:szCs w:val="21"/>
        </w:rPr>
        <w:t>资本公积 转增股本 </w:t>
      </w: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p>
      <w:pPr>
        <w:spacing w:line="274" w:lineRule="exact" w:before="35"/>
        <w:ind w:left="166"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限售股</w:t>
      </w:r>
    </w:p>
    <w:p>
      <w:pPr>
        <w:spacing w:line="274" w:lineRule="exact" w:before="0"/>
        <w:ind w:left="376" w:right="-20" w:firstLine="0"/>
        <w:jc w:val="left"/>
        <w:rPr>
          <w:rFonts w:ascii="宋体" w:hAnsi="宋体" w:cs="宋体" w:eastAsia="宋体" w:hint="default"/>
          <w:sz w:val="21"/>
          <w:szCs w:val="21"/>
        </w:rPr>
      </w:pPr>
      <w:r>
        <w:rPr>
          <w:rFonts w:ascii="宋体" w:hAnsi="宋体" w:cs="宋体" w:eastAsia="宋体" w:hint="default"/>
          <w:sz w:val="21"/>
          <w:szCs w:val="21"/>
        </w:rPr>
        <w:t>解禁</w:t>
      </w:r>
    </w:p>
    <w:p>
      <w:pPr>
        <w:spacing w:line="281" w:lineRule="exact" w:before="35"/>
        <w:ind w:left="482" w:right="0" w:firstLine="0"/>
        <w:jc w:val="left"/>
        <w:rPr>
          <w:rFonts w:ascii="宋体" w:hAnsi="宋体" w:cs="宋体" w:eastAsia="宋体" w:hint="default"/>
          <w:sz w:val="21"/>
          <w:szCs w:val="21"/>
        </w:rPr>
      </w:pPr>
      <w:r>
        <w:rPr/>
        <w:br w:type="column"/>
      </w: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1" w:lineRule="exact" w:before="0"/>
        <w:ind w:left="166"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spacing w:after="0" w:line="281" w:lineRule="exact"/>
        <w:jc w:val="left"/>
        <w:rPr>
          <w:rFonts w:ascii="宋体" w:hAnsi="宋体" w:cs="宋体" w:eastAsia="宋体" w:hint="default"/>
          <w:sz w:val="21"/>
          <w:szCs w:val="21"/>
        </w:rPr>
        <w:sectPr>
          <w:type w:val="continuous"/>
          <w:pgSz w:w="11910" w:h="16840"/>
          <w:pgMar w:top="1600" w:bottom="280" w:left="820" w:right="780"/>
          <w:cols w:num="6" w:equalWidth="0">
            <w:col w:w="1812" w:space="1090"/>
            <w:col w:w="1211" w:space="351"/>
            <w:col w:w="1007" w:space="330"/>
            <w:col w:w="1356" w:space="442"/>
            <w:col w:w="797" w:space="537"/>
            <w:col w:w="1377"/>
          </w:cols>
        </w:sectPr>
      </w:pPr>
    </w:p>
    <w:tbl>
      <w:tblPr>
        <w:tblW w:w="0" w:type="auto"/>
        <w:jc w:val="left"/>
        <w:tblInd w:w="119" w:type="dxa"/>
        <w:tblLayout w:type="fixed"/>
        <w:tblCellMar>
          <w:top w:w="0" w:type="dxa"/>
          <w:left w:w="0" w:type="dxa"/>
          <w:bottom w:w="0" w:type="dxa"/>
          <w:right w:w="0" w:type="dxa"/>
        </w:tblCellMar>
        <w:tblLook w:val="01E0"/>
      </w:tblPr>
      <w:tblGrid>
        <w:gridCol w:w="2766"/>
        <w:gridCol w:w="4121"/>
        <w:gridCol w:w="1505"/>
        <w:gridCol w:w="1673"/>
      </w:tblGrid>
      <w:tr>
        <w:trPr>
          <w:trHeight w:val="547" w:hRule="exact"/>
        </w:trPr>
        <w:tc>
          <w:tcPr>
            <w:tcW w:w="2766" w:type="dxa"/>
            <w:tcBorders>
              <w:top w:val="nil" w:sz="6" w:space="0" w:color="auto"/>
              <w:left w:val="nil" w:sz="6" w:space="0" w:color="auto"/>
              <w:bottom w:val="single" w:sz="4" w:space="0" w:color="000000"/>
              <w:right w:val="nil" w:sz="6" w:space="0" w:color="auto"/>
            </w:tcBorders>
          </w:tcPr>
          <w:p>
            <w:pPr>
              <w:pStyle w:val="TableParagraph"/>
              <w:spacing w:line="235" w:lineRule="exact"/>
              <w:ind w:left="218" w:right="0"/>
              <w:jc w:val="left"/>
              <w:rPr>
                <w:rFonts w:ascii="宋体" w:hAnsi="宋体" w:cs="宋体" w:eastAsia="宋体" w:hint="default"/>
                <w:sz w:val="21"/>
                <w:szCs w:val="21"/>
              </w:rPr>
            </w:pPr>
            <w:r>
              <w:rPr>
                <w:rFonts w:ascii="宋体" w:hAnsi="宋体" w:cs="宋体" w:eastAsia="宋体" w:hint="default"/>
                <w:sz w:val="21"/>
                <w:szCs w:val="21"/>
              </w:rPr>
              <w:t>国有法人持股</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其他内资持股</w:t>
            </w:r>
          </w:p>
        </w:tc>
        <w:tc>
          <w:tcPr>
            <w:tcW w:w="4121" w:type="dxa"/>
            <w:tcBorders>
              <w:top w:val="nil" w:sz="6" w:space="0" w:color="auto"/>
              <w:left w:val="nil" w:sz="6" w:space="0" w:color="auto"/>
              <w:bottom w:val="single" w:sz="4" w:space="0" w:color="000000"/>
              <w:right w:val="nil" w:sz="6" w:space="0" w:color="auto"/>
            </w:tcBorders>
          </w:tcPr>
          <w:p>
            <w:pPr>
              <w:pStyle w:val="TableParagraph"/>
              <w:tabs>
                <w:tab w:pos="2498" w:val="left" w:leader="none"/>
                <w:tab w:pos="3862" w:val="left" w:leader="none"/>
              </w:tabs>
              <w:spacing w:line="240" w:lineRule="auto" w:before="27"/>
              <w:ind w:left="1126" w:right="0"/>
              <w:jc w:val="left"/>
              <w:rPr>
                <w:rFonts w:ascii="Arial" w:hAnsi="Arial" w:cs="Arial" w:eastAsia="Arial" w:hint="default"/>
                <w:sz w:val="21"/>
                <w:szCs w:val="21"/>
              </w:rPr>
            </w:pPr>
            <w:r>
              <w:rPr>
                <w:rFonts w:ascii="Arial"/>
                <w:sz w:val="21"/>
              </w:rPr>
              <w:t>-</w:t>
              <w:tab/>
              <w:t>-</w:t>
              <w:tab/>
              <w:t>-</w:t>
            </w:r>
          </w:p>
          <w:p>
            <w:pPr>
              <w:pStyle w:val="TableParagraph"/>
              <w:tabs>
                <w:tab w:pos="2498" w:val="left" w:leader="none"/>
                <w:tab w:pos="3174" w:val="left" w:leader="none"/>
              </w:tabs>
              <w:spacing w:line="240" w:lineRule="auto" w:before="31"/>
              <w:ind w:left="439" w:right="0"/>
              <w:jc w:val="left"/>
              <w:rPr>
                <w:rFonts w:ascii="Arial" w:hAnsi="Arial" w:cs="Arial" w:eastAsia="Arial" w:hint="default"/>
                <w:sz w:val="21"/>
                <w:szCs w:val="21"/>
              </w:rPr>
            </w:pPr>
            <w:r>
              <w:rPr>
                <w:rFonts w:ascii="Arial"/>
                <w:spacing w:val="-1"/>
                <w:sz w:val="21"/>
              </w:rPr>
              <w:t>426,554</w:t>
              <w:tab/>
            </w:r>
            <w:r>
              <w:rPr>
                <w:rFonts w:ascii="Arial"/>
                <w:sz w:val="21"/>
              </w:rPr>
              <w:t>-</w:t>
              <w:tab/>
            </w:r>
            <w:r>
              <w:rPr>
                <w:rFonts w:ascii="Arial"/>
                <w:spacing w:val="-1"/>
                <w:sz w:val="21"/>
              </w:rPr>
              <w:t>426,554</w:t>
            </w:r>
            <w:r>
              <w:rPr>
                <w:rFonts w:ascii="Arial"/>
                <w:sz w:val="21"/>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71" w:lineRule="auto" w:before="27"/>
              <w:ind w:left="515" w:right="90" w:firstLine="786"/>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(387,722)</w:t>
            </w:r>
            <w:r>
              <w:rPr>
                <w:rFonts w:ascii="Arial"/>
                <w:sz w:val="21"/>
              </w:rPr>
            </w:r>
          </w:p>
        </w:tc>
        <w:tc>
          <w:tcPr>
            <w:tcW w:w="1673" w:type="dxa"/>
            <w:tcBorders>
              <w:top w:val="nil" w:sz="6" w:space="0" w:color="auto"/>
              <w:left w:val="nil" w:sz="6" w:space="0" w:color="auto"/>
              <w:bottom w:val="single" w:sz="4" w:space="0" w:color="000000"/>
              <w:right w:val="nil" w:sz="6" w:space="0" w:color="auto"/>
            </w:tcBorders>
          </w:tcPr>
          <w:p>
            <w:pPr>
              <w:pStyle w:val="TableParagraph"/>
              <w:spacing w:line="271" w:lineRule="auto" w:before="27"/>
              <w:ind w:left="845" w:right="67" w:firstLine="688"/>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465,386</w:t>
            </w:r>
            <w:r>
              <w:rPr>
                <w:rFonts w:ascii="Arial"/>
                <w:sz w:val="21"/>
              </w:rPr>
            </w:r>
          </w:p>
        </w:tc>
      </w:tr>
      <w:tr>
        <w:trPr>
          <w:trHeight w:val="291" w:hRule="exact"/>
        </w:trPr>
        <w:tc>
          <w:tcPr>
            <w:tcW w:w="2766"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4121" w:type="dxa"/>
            <w:tcBorders>
              <w:top w:val="single" w:sz="4" w:space="0" w:color="000000"/>
              <w:left w:val="nil" w:sz="6" w:space="0" w:color="auto"/>
              <w:bottom w:val="nil" w:sz="6" w:space="0" w:color="auto"/>
              <w:right w:val="nil" w:sz="6" w:space="0" w:color="auto"/>
            </w:tcBorders>
          </w:tcPr>
          <w:p>
            <w:pPr>
              <w:pStyle w:val="TableParagraph"/>
              <w:tabs>
                <w:tab w:pos="2058" w:val="left" w:leader="none"/>
                <w:tab w:pos="2735" w:val="left" w:leader="none"/>
              </w:tabs>
              <w:spacing w:line="240" w:lineRule="auto" w:before="32"/>
              <w:ind w:right="186"/>
              <w:jc w:val="right"/>
              <w:rPr>
                <w:rFonts w:ascii="Arial" w:hAnsi="Arial" w:cs="Arial" w:eastAsia="Arial" w:hint="default"/>
                <w:sz w:val="21"/>
                <w:szCs w:val="21"/>
              </w:rPr>
            </w:pPr>
            <w:r>
              <w:rPr>
                <w:rFonts w:ascii="Arial"/>
                <w:spacing w:val="-1"/>
                <w:sz w:val="21"/>
              </w:rPr>
              <w:t>161,438</w:t>
              <w:tab/>
            </w:r>
            <w:r>
              <w:rPr>
                <w:rFonts w:ascii="Arial"/>
                <w:sz w:val="21"/>
              </w:rPr>
              <w:t>-</w:t>
              <w:tab/>
            </w:r>
            <w:r>
              <w:rPr>
                <w:rFonts w:ascii="Arial"/>
                <w:spacing w:val="-1"/>
                <w:w w:val="95"/>
                <w:sz w:val="21"/>
              </w:rPr>
              <w:t>161,438</w:t>
            </w:r>
            <w:r>
              <w:rPr>
                <w:rFonts w:ascii="Arial"/>
                <w:sz w:val="21"/>
              </w:rPr>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9"/>
              <w:jc w:val="right"/>
              <w:rPr>
                <w:rFonts w:ascii="Arial" w:hAnsi="Arial" w:cs="Arial" w:eastAsia="Arial" w:hint="default"/>
                <w:sz w:val="21"/>
                <w:szCs w:val="21"/>
              </w:rPr>
            </w:pPr>
            <w:r>
              <w:rPr>
                <w:rFonts w:ascii="Arial"/>
                <w:spacing w:val="-1"/>
                <w:sz w:val="21"/>
              </w:rPr>
              <w:t>(234,150)</w:t>
            </w:r>
            <w:r>
              <w:rPr>
                <w:rFonts w:ascii="Arial"/>
                <w:sz w:val="21"/>
              </w:rPr>
            </w:r>
          </w:p>
        </w:tc>
        <w:tc>
          <w:tcPr>
            <w:tcW w:w="1673" w:type="dxa"/>
            <w:tcBorders>
              <w:top w:val="single" w:sz="4" w:space="0" w:color="000000"/>
              <w:left w:val="nil" w:sz="6" w:space="0" w:color="auto"/>
              <w:bottom w:val="nil" w:sz="6" w:space="0" w:color="auto"/>
              <w:right w:val="single" w:sz="4" w:space="0" w:color="000000"/>
            </w:tcBorders>
          </w:tcPr>
          <w:p>
            <w:pPr>
              <w:pStyle w:val="TableParagraph"/>
              <w:spacing w:line="240" w:lineRule="auto" w:before="32"/>
              <w:ind w:right="63"/>
              <w:jc w:val="right"/>
              <w:rPr>
                <w:rFonts w:ascii="Arial" w:hAnsi="Arial" w:cs="Arial" w:eastAsia="Arial" w:hint="default"/>
                <w:sz w:val="21"/>
                <w:szCs w:val="21"/>
              </w:rPr>
            </w:pPr>
            <w:r>
              <w:rPr>
                <w:rFonts w:ascii="Arial"/>
                <w:spacing w:val="-1"/>
                <w:w w:val="95"/>
                <w:sz w:val="21"/>
              </w:rPr>
              <w:t>88,726</w:t>
            </w:r>
            <w:r>
              <w:rPr>
                <w:rFonts w:ascii="Arial"/>
                <w:sz w:val="21"/>
              </w:rPr>
            </w:r>
          </w:p>
        </w:tc>
      </w:tr>
      <w:tr>
        <w:trPr>
          <w:trHeight w:val="265" w:hRule="exact"/>
        </w:trPr>
        <w:tc>
          <w:tcPr>
            <w:tcW w:w="2766" w:type="dxa"/>
            <w:tcBorders>
              <w:top w:val="nil" w:sz="6" w:space="0" w:color="auto"/>
              <w:left w:val="single" w:sz="4" w:space="0" w:color="000000"/>
              <w:bottom w:val="single" w:sz="4" w:space="0" w:color="000000"/>
              <w:right w:val="nil" w:sz="6" w:space="0" w:color="auto"/>
            </w:tcBorders>
          </w:tcPr>
          <w:p>
            <w:pPr>
              <w:pStyle w:val="TableParagraph"/>
              <w:spacing w:line="227" w:lineRule="exact"/>
              <w:ind w:left="816"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4121" w:type="dxa"/>
            <w:tcBorders>
              <w:top w:val="nil" w:sz="6" w:space="0" w:color="auto"/>
              <w:left w:val="nil" w:sz="6" w:space="0" w:color="auto"/>
              <w:bottom w:val="single" w:sz="4" w:space="0" w:color="000000"/>
              <w:right w:val="nil" w:sz="6" w:space="0" w:color="auto"/>
            </w:tcBorders>
          </w:tcPr>
          <w:p>
            <w:pPr>
              <w:pStyle w:val="TableParagraph"/>
              <w:tabs>
                <w:tab w:pos="2043" w:val="left" w:leader="none"/>
                <w:tab w:pos="2735" w:val="left" w:leader="none"/>
              </w:tabs>
              <w:spacing w:line="240" w:lineRule="auto" w:before="17"/>
              <w:ind w:right="186"/>
              <w:jc w:val="right"/>
              <w:rPr>
                <w:rFonts w:ascii="Arial" w:hAnsi="Arial" w:cs="Arial" w:eastAsia="Arial" w:hint="default"/>
                <w:sz w:val="21"/>
                <w:szCs w:val="21"/>
              </w:rPr>
            </w:pPr>
            <w:r>
              <w:rPr>
                <w:rFonts w:ascii="Arial"/>
                <w:spacing w:val="-3"/>
                <w:w w:val="95"/>
                <w:sz w:val="21"/>
              </w:rPr>
              <w:t>265,116</w:t>
              <w:tab/>
            </w:r>
            <w:r>
              <w:rPr>
                <w:rFonts w:ascii="Arial"/>
                <w:sz w:val="21"/>
              </w:rPr>
              <w:t>-</w:t>
              <w:tab/>
            </w:r>
            <w:r>
              <w:rPr>
                <w:rFonts w:ascii="Arial"/>
                <w:spacing w:val="-3"/>
                <w:w w:val="95"/>
                <w:sz w:val="21"/>
              </w:rPr>
              <w:t>265,116</w:t>
            </w:r>
            <w:r>
              <w:rPr>
                <w:rFonts w:ascii="Arial"/>
                <w:spacing w:val="-3"/>
                <w:sz w:val="21"/>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90"/>
              <w:jc w:val="right"/>
              <w:rPr>
                <w:rFonts w:ascii="Arial" w:hAnsi="Arial" w:cs="Arial" w:eastAsia="Arial" w:hint="default"/>
                <w:sz w:val="21"/>
                <w:szCs w:val="21"/>
              </w:rPr>
            </w:pPr>
            <w:r>
              <w:rPr>
                <w:rFonts w:ascii="Arial"/>
                <w:spacing w:val="-1"/>
                <w:sz w:val="21"/>
              </w:rPr>
              <w:t>(153,572)</w:t>
            </w:r>
            <w:r>
              <w:rPr>
                <w:rFonts w:ascii="Arial"/>
                <w:sz w:val="21"/>
              </w:rPr>
            </w:r>
          </w:p>
        </w:tc>
        <w:tc>
          <w:tcPr>
            <w:tcW w:w="1673" w:type="dxa"/>
            <w:tcBorders>
              <w:top w:val="nil" w:sz="6" w:space="0" w:color="auto"/>
              <w:left w:val="nil" w:sz="6" w:space="0" w:color="auto"/>
              <w:bottom w:val="single" w:sz="4" w:space="0" w:color="000000"/>
              <w:right w:val="single" w:sz="4" w:space="0" w:color="000000"/>
            </w:tcBorders>
          </w:tcPr>
          <w:p>
            <w:pPr>
              <w:pStyle w:val="TableParagraph"/>
              <w:spacing w:line="240" w:lineRule="auto" w:before="17"/>
              <w:ind w:right="63"/>
              <w:jc w:val="right"/>
              <w:rPr>
                <w:rFonts w:ascii="Arial" w:hAnsi="Arial" w:cs="Arial" w:eastAsia="Arial" w:hint="default"/>
                <w:sz w:val="21"/>
                <w:szCs w:val="21"/>
              </w:rPr>
            </w:pPr>
            <w:r>
              <w:rPr>
                <w:rFonts w:ascii="Arial"/>
                <w:spacing w:val="-1"/>
                <w:w w:val="95"/>
                <w:sz w:val="21"/>
              </w:rPr>
              <w:t>376,660</w:t>
            </w:r>
            <w:r>
              <w:rPr>
                <w:rFonts w:ascii="Arial"/>
                <w:sz w:val="21"/>
              </w:rPr>
            </w:r>
          </w:p>
        </w:tc>
      </w:tr>
      <w:tr>
        <w:trPr>
          <w:trHeight w:val="252" w:hRule="exact"/>
        </w:trPr>
        <w:tc>
          <w:tcPr>
            <w:tcW w:w="2766" w:type="dxa"/>
            <w:tcBorders>
              <w:top w:val="single" w:sz="4" w:space="0" w:color="000000"/>
              <w:left w:val="nil" w:sz="6" w:space="0" w:color="auto"/>
              <w:bottom w:val="nil" w:sz="6" w:space="0" w:color="auto"/>
              <w:right w:val="nil" w:sz="6" w:space="0" w:color="auto"/>
            </w:tcBorders>
          </w:tcPr>
          <w:p>
            <w:pPr/>
          </w:p>
        </w:tc>
        <w:tc>
          <w:tcPr>
            <w:tcW w:w="41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0" w:lineRule="exact"/>
              <w:ind w:left="34" w:right="0"/>
              <w:jc w:val="left"/>
              <w:rPr>
                <w:rFonts w:ascii="宋体" w:hAnsi="宋体" w:cs="宋体" w:eastAsia="宋体" w:hint="default"/>
                <w:sz w:val="2"/>
                <w:szCs w:val="2"/>
              </w:rPr>
            </w:pPr>
            <w:r>
              <w:rPr>
                <w:rFonts w:ascii="宋体"/>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001pt" strokecolor="#000000">
                      <v:path arrowok="t"/>
                    </v:shape>
                  </v:group>
                </v:group>
              </w:pict>
            </w:r>
            <w:r>
              <w:rPr>
                <w:rFonts w:ascii="宋体"/>
                <w:sz w:val="2"/>
              </w:rPr>
            </w:r>
            <w:r>
              <w:rPr>
                <w:rFonts w:ascii="Times New Roman"/>
                <w:spacing w:val="85"/>
                <w:sz w:val="2"/>
              </w:rPr>
              <w:t> </w:t>
            </w:r>
            <w:r>
              <w:rPr>
                <w:rFonts w:ascii="宋体"/>
                <w:spacing w:val="85"/>
                <w:sz w:val="2"/>
              </w:rPr>
              <w:pict>
                <v:group style="width:63.1pt;height:.5pt;mso-position-horizontal-relative:char;mso-position-vertical-relative:line" coordorigin="0,0" coordsize="1262,10">
                  <v:group style="position:absolute;left:5;top:5;width:1252;height:2" coordorigin="5,5" coordsize="1252,2">
                    <v:shape style="position:absolute;left:5;top:5;width:1252;height:2" coordorigin="5,5" coordsize="1252,0" path="m5,5l1256,5e" filled="false" stroked="true" strokeweight=".48001pt" strokecolor="#000000">
                      <v:path arrowok="t"/>
                    </v:shape>
                  </v:group>
                </v:group>
              </w:pict>
            </w:r>
            <w:r>
              <w:rPr>
                <w:rFonts w:ascii="宋体"/>
                <w:spacing w:val="85"/>
                <w:sz w:val="2"/>
              </w:rPr>
            </w:r>
          </w:p>
        </w:tc>
        <w:tc>
          <w:tcPr>
            <w:tcW w:w="1505" w:type="dxa"/>
            <w:tcBorders>
              <w:top w:val="single" w:sz="4" w:space="0" w:color="000000"/>
              <w:left w:val="nil" w:sz="6" w:space="0" w:color="auto"/>
              <w:bottom w:val="single" w:sz="4" w:space="0" w:color="000000"/>
              <w:right w:val="nil" w:sz="6" w:space="0" w:color="auto"/>
            </w:tcBorders>
          </w:tcPr>
          <w:p>
            <w:pPr/>
          </w:p>
        </w:tc>
        <w:tc>
          <w:tcPr>
            <w:tcW w:w="1673" w:type="dxa"/>
            <w:tcBorders>
              <w:top w:val="single" w:sz="4" w:space="0" w:color="000000"/>
              <w:left w:val="nil" w:sz="6" w:space="0" w:color="auto"/>
              <w:bottom w:val="single" w:sz="4" w:space="0" w:color="000000"/>
              <w:right w:val="nil" w:sz="6" w:space="0" w:color="auto"/>
            </w:tcBorders>
          </w:tcPr>
          <w:p>
            <w:pPr/>
          </w:p>
        </w:tc>
      </w:tr>
      <w:tr>
        <w:trPr>
          <w:trHeight w:val="251" w:hRule="exact"/>
        </w:trPr>
        <w:tc>
          <w:tcPr>
            <w:tcW w:w="2766" w:type="dxa"/>
            <w:tcBorders>
              <w:top w:val="nil" w:sz="6" w:space="0" w:color="auto"/>
              <w:left w:val="nil" w:sz="6" w:space="0" w:color="auto"/>
              <w:bottom w:val="nil" w:sz="6" w:space="0" w:color="auto"/>
              <w:right w:val="nil" w:sz="6" w:space="0" w:color="auto"/>
            </w:tcBorders>
          </w:tcPr>
          <w:p>
            <w:pPr/>
          </w:p>
        </w:tc>
        <w:tc>
          <w:tcPr>
            <w:tcW w:w="4121" w:type="dxa"/>
            <w:tcBorders>
              <w:top w:val="single" w:sz="4" w:space="0" w:color="000000"/>
              <w:left w:val="nil" w:sz="6" w:space="0" w:color="auto"/>
              <w:bottom w:val="single" w:sz="4" w:space="0" w:color="000000"/>
              <w:right w:val="nil" w:sz="6" w:space="0" w:color="auto"/>
            </w:tcBorders>
          </w:tcPr>
          <w:p>
            <w:pPr>
              <w:pStyle w:val="TableParagraph"/>
              <w:tabs>
                <w:tab w:pos="2058" w:val="left" w:leader="none"/>
                <w:tab w:pos="2735" w:val="left" w:leader="none"/>
              </w:tabs>
              <w:spacing w:line="240" w:lineRule="auto"/>
              <w:ind w:right="186"/>
              <w:jc w:val="right"/>
              <w:rPr>
                <w:rFonts w:ascii="Arial" w:hAnsi="Arial" w:cs="Arial" w:eastAsia="Arial" w:hint="default"/>
                <w:sz w:val="21"/>
                <w:szCs w:val="21"/>
              </w:rPr>
            </w:pPr>
            <w:r>
              <w:rPr>
                <w:rFonts w:ascii="Arial"/>
                <w:spacing w:val="-1"/>
                <w:sz w:val="21"/>
              </w:rPr>
              <w:t>426,554</w:t>
              <w:tab/>
            </w:r>
            <w:r>
              <w:rPr>
                <w:rFonts w:ascii="Arial"/>
                <w:sz w:val="21"/>
              </w:rPr>
              <w:t>-</w:t>
              <w:tab/>
            </w:r>
            <w:r>
              <w:rPr>
                <w:rFonts w:ascii="Arial"/>
                <w:spacing w:val="-1"/>
                <w:w w:val="95"/>
                <w:sz w:val="21"/>
              </w:rPr>
              <w:t>426,554</w:t>
            </w:r>
            <w:r>
              <w:rPr>
                <w:rFonts w:ascii="Arial"/>
                <w:sz w:val="21"/>
              </w:rPr>
            </w: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90"/>
              <w:jc w:val="right"/>
              <w:rPr>
                <w:rFonts w:ascii="Arial" w:hAnsi="Arial" w:cs="Arial" w:eastAsia="Arial" w:hint="default"/>
                <w:sz w:val="21"/>
                <w:szCs w:val="21"/>
              </w:rPr>
            </w:pPr>
            <w:r>
              <w:rPr>
                <w:rFonts w:ascii="Arial"/>
                <w:spacing w:val="-1"/>
                <w:sz w:val="21"/>
              </w:rPr>
              <w:t>(387,722)</w:t>
            </w:r>
            <w:r>
              <w:rPr>
                <w:rFonts w:ascii="Arial"/>
                <w:sz w:val="21"/>
              </w:rPr>
            </w:r>
          </w:p>
        </w:tc>
        <w:tc>
          <w:tcPr>
            <w:tcW w:w="16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68"/>
              <w:jc w:val="right"/>
              <w:rPr>
                <w:rFonts w:ascii="Arial" w:hAnsi="Arial" w:cs="Arial" w:eastAsia="Arial" w:hint="default"/>
                <w:sz w:val="21"/>
                <w:szCs w:val="21"/>
              </w:rPr>
            </w:pPr>
            <w:r>
              <w:rPr>
                <w:rFonts w:ascii="Arial"/>
                <w:spacing w:val="-1"/>
                <w:w w:val="95"/>
                <w:sz w:val="21"/>
              </w:rPr>
              <w:t>465,386</w:t>
            </w:r>
            <w:r>
              <w:rPr>
                <w:rFonts w:ascii="Arial"/>
                <w:sz w:val="21"/>
              </w:rPr>
            </w:r>
          </w:p>
        </w:tc>
      </w:tr>
      <w:tr>
        <w:trPr>
          <w:trHeight w:val="524"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 w:right="0"/>
              <w:jc w:val="left"/>
              <w:rPr>
                <w:rFonts w:ascii="Arial" w:hAnsi="Arial" w:cs="Arial" w:eastAsia="Arial" w:hint="default"/>
                <w:sz w:val="21"/>
                <w:szCs w:val="21"/>
              </w:rPr>
            </w:pPr>
            <w:r>
              <w:rPr>
                <w:rFonts w:ascii="宋体" w:hAnsi="宋体" w:cs="宋体" w:eastAsia="宋体" w:hint="default"/>
                <w:sz w:val="21"/>
                <w:szCs w:val="21"/>
              </w:rPr>
              <w:t>无限售条件股份 </w:t>
            </w:r>
            <w:r>
              <w:rPr>
                <w:rFonts w:ascii="Arial" w:hAnsi="Arial" w:cs="Arial" w:eastAsia="Arial" w:hint="default"/>
                <w:sz w:val="21"/>
                <w:szCs w:val="21"/>
              </w:rPr>
              <w:t>-</w:t>
            </w:r>
          </w:p>
        </w:tc>
        <w:tc>
          <w:tcPr>
            <w:tcW w:w="4121" w:type="dxa"/>
            <w:tcBorders>
              <w:top w:val="single" w:sz="4" w:space="0" w:color="000000"/>
              <w:left w:val="nil" w:sz="6" w:space="0" w:color="auto"/>
              <w:bottom w:val="nil" w:sz="6" w:space="0" w:color="auto"/>
              <w:right w:val="nil" w:sz="6" w:space="0" w:color="auto"/>
            </w:tcBorders>
          </w:tcPr>
          <w:p>
            <w:pPr>
              <w:pStyle w:val="TableParagraph"/>
              <w:spacing w:line="20" w:lineRule="exact"/>
              <w:ind w:left="34" w:right="0"/>
              <w:jc w:val="left"/>
              <w:rPr>
                <w:rFonts w:ascii="宋体" w:hAnsi="宋体" w:cs="宋体" w:eastAsia="宋体" w:hint="default"/>
                <w:sz w:val="2"/>
                <w:szCs w:val="2"/>
              </w:rPr>
            </w:pPr>
            <w:r>
              <w:rPr>
                <w:rFonts w:ascii="宋体"/>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63.1pt;height:.5pt;mso-position-horizontal-relative:char;mso-position-vertical-relative:line" coordorigin="0,0" coordsize="1262,10">
                  <v:group style="position:absolute;left:5;top:5;width:1252;height:2" coordorigin="5,5" coordsize="1252,2">
                    <v:shape style="position:absolute;left:5;top:5;width:1252;height:2" coordorigin="5,5" coordsize="1252,0" path="m5,5l1256,5e" filled="false" stroked="true" strokeweight=".48pt" strokecolor="#000000">
                      <v:path arrowok="t"/>
                    </v:shape>
                  </v:group>
                </v:group>
              </w:pict>
            </w:r>
            <w:r>
              <w:rPr>
                <w:rFonts w:ascii="宋体"/>
                <w:spacing w:val="85"/>
                <w:sz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505" w:type="dxa"/>
            <w:tcBorders>
              <w:top w:val="single" w:sz="4" w:space="0" w:color="000000"/>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r>
      <w:tr>
        <w:trPr>
          <w:trHeight w:val="284"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36" w:lineRule="exact"/>
              <w:ind w:left="25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121" w:type="dxa"/>
            <w:tcBorders>
              <w:top w:val="nil" w:sz="6" w:space="0" w:color="auto"/>
              <w:left w:val="nil" w:sz="6" w:space="0" w:color="auto"/>
              <w:bottom w:val="nil" w:sz="6" w:space="0" w:color="auto"/>
              <w:right w:val="nil" w:sz="6" w:space="0" w:color="auto"/>
            </w:tcBorders>
          </w:tcPr>
          <w:p>
            <w:pPr>
              <w:pStyle w:val="TableParagraph"/>
              <w:tabs>
                <w:tab w:pos="399" w:val="left" w:leader="none"/>
                <w:tab w:pos="2458" w:val="left" w:leader="none"/>
                <w:tab w:pos="3135" w:val="left" w:leader="none"/>
                <w:tab w:pos="4028" w:val="left" w:leader="none"/>
              </w:tabs>
              <w:spacing w:line="240" w:lineRule="auto" w:before="26"/>
              <w:ind w:right="5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294,198</w:t>
            </w:r>
            <w:r>
              <w:rPr>
                <w:rFonts w:ascii="Arial"/>
                <w:spacing w:val="-1"/>
                <w:sz w:val="21"/>
              </w:rPr>
            </w:r>
            <w:r>
              <w:rPr>
                <w:rFonts w:ascii="Arial"/>
                <w:spacing w:val="-1"/>
                <w:sz w:val="21"/>
                <w:u w:val="single" w:color="000000"/>
              </w:rPr>
              <w:t> </w:t>
              <w:tab/>
            </w:r>
            <w:r>
              <w:rPr>
                <w:rFonts w:ascii="Arial"/>
                <w:sz w:val="21"/>
                <w:u w:val="single" w:color="000000"/>
              </w:rPr>
              <w:t>-</w:t>
            </w:r>
            <w:r>
              <w:rPr>
                <w:rFonts w:ascii="Arial"/>
                <w:sz w:val="21"/>
              </w:rPr>
            </w:r>
            <w:r>
              <w:rPr>
                <w:rFonts w:ascii="Arial"/>
                <w:sz w:val="21"/>
                <w:u w:val="single" w:color="000000"/>
              </w:rPr>
              <w:t> </w:t>
              <w:tab/>
            </w:r>
            <w:r>
              <w:rPr>
                <w:rFonts w:ascii="Arial"/>
                <w:spacing w:val="-1"/>
                <w:sz w:val="21"/>
                <w:u w:val="single" w:color="000000"/>
              </w:rPr>
              <w:t>294,198</w:t>
              <w:tab/>
            </w:r>
            <w:r>
              <w:rPr>
                <w:rFonts w:ascii="Arial"/>
                <w:spacing w:val="-1"/>
                <w:sz w:val="21"/>
              </w:rPr>
            </w:r>
          </w:p>
        </w:tc>
        <w:tc>
          <w:tcPr>
            <w:tcW w:w="1505" w:type="dxa"/>
            <w:tcBorders>
              <w:top w:val="nil" w:sz="6" w:space="0" w:color="auto"/>
              <w:left w:val="nil" w:sz="6" w:space="0" w:color="auto"/>
              <w:bottom w:val="nil" w:sz="6" w:space="0" w:color="auto"/>
              <w:right w:val="nil" w:sz="6" w:space="0" w:color="auto"/>
            </w:tcBorders>
          </w:tcPr>
          <w:p>
            <w:pPr>
              <w:pStyle w:val="TableParagraph"/>
              <w:tabs>
                <w:tab w:pos="561" w:val="left" w:leader="none"/>
                <w:tab w:pos="1395" w:val="left" w:leader="none"/>
              </w:tabs>
              <w:spacing w:line="240" w:lineRule="auto" w:before="26"/>
              <w:ind w:right="5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387,722</w:t>
              <w:tab/>
            </w:r>
            <w:r>
              <w:rPr>
                <w:rFonts w:ascii="Arial"/>
                <w:spacing w:val="-1"/>
                <w:sz w:val="21"/>
              </w:rPr>
            </w:r>
          </w:p>
        </w:tc>
        <w:tc>
          <w:tcPr>
            <w:tcW w:w="1673" w:type="dxa"/>
            <w:tcBorders>
              <w:top w:val="nil" w:sz="6" w:space="0" w:color="auto"/>
              <w:left w:val="nil" w:sz="6" w:space="0" w:color="auto"/>
              <w:bottom w:val="nil" w:sz="6" w:space="0" w:color="auto"/>
              <w:right w:val="nil" w:sz="6" w:space="0" w:color="auto"/>
            </w:tcBorders>
          </w:tcPr>
          <w:p>
            <w:pPr>
              <w:pStyle w:val="TableParagraph"/>
              <w:tabs>
                <w:tab w:pos="804" w:val="left" w:leader="none"/>
                <w:tab w:pos="1609" w:val="left" w:leader="none"/>
              </w:tabs>
              <w:spacing w:line="240" w:lineRule="auto" w:before="26"/>
              <w:ind w:right="5"/>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3"/>
                <w:w w:val="95"/>
                <w:sz w:val="21"/>
                <w:u w:val="single" w:color="000000"/>
              </w:rPr>
              <w:t>976,118</w:t>
            </w:r>
            <w:r>
              <w:rPr>
                <w:rFonts w:ascii="Arial"/>
                <w:spacing w:val="-3"/>
                <w:sz w:val="21"/>
                <w:u w:val="single" w:color="000000"/>
              </w:rPr>
              <w:tab/>
            </w:r>
            <w:r>
              <w:rPr>
                <w:rFonts w:ascii="Arial"/>
                <w:spacing w:val="-3"/>
                <w:sz w:val="21"/>
              </w:rPr>
            </w:r>
          </w:p>
        </w:tc>
      </w:tr>
      <w:tr>
        <w:trPr>
          <w:trHeight w:val="251" w:hRule="exact"/>
        </w:trPr>
        <w:tc>
          <w:tcPr>
            <w:tcW w:w="2766" w:type="dxa"/>
            <w:tcBorders>
              <w:top w:val="nil" w:sz="6" w:space="0" w:color="auto"/>
              <w:left w:val="nil" w:sz="6" w:space="0" w:color="auto"/>
              <w:bottom w:val="nil" w:sz="6" w:space="0" w:color="auto"/>
              <w:right w:val="nil" w:sz="6" w:space="0" w:color="auto"/>
            </w:tcBorders>
          </w:tcPr>
          <w:p>
            <w:pPr/>
          </w:p>
        </w:tc>
        <w:tc>
          <w:tcPr>
            <w:tcW w:w="4121" w:type="dxa"/>
            <w:tcBorders>
              <w:top w:val="nil" w:sz="6" w:space="0" w:color="auto"/>
              <w:left w:val="nil" w:sz="6" w:space="0" w:color="auto"/>
              <w:bottom w:val="nil" w:sz="6" w:space="0" w:color="auto"/>
              <w:right w:val="nil" w:sz="6" w:space="0" w:color="auto"/>
            </w:tcBorders>
          </w:tcPr>
          <w:p>
            <w:pPr>
              <w:pStyle w:val="TableParagraph"/>
              <w:tabs>
                <w:tab w:pos="399" w:val="left" w:leader="none"/>
                <w:tab w:pos="2458" w:val="left" w:leader="none"/>
                <w:tab w:pos="3135" w:val="left" w:leader="none"/>
                <w:tab w:pos="4028" w:val="left" w:leader="none"/>
              </w:tabs>
              <w:spacing w:line="236" w:lineRule="exact"/>
              <w:ind w:right="5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294,198</w:t>
            </w:r>
            <w:r>
              <w:rPr>
                <w:rFonts w:ascii="Arial"/>
                <w:spacing w:val="-1"/>
                <w:sz w:val="21"/>
              </w:rPr>
            </w:r>
            <w:r>
              <w:rPr>
                <w:rFonts w:ascii="Arial"/>
                <w:spacing w:val="-1"/>
                <w:sz w:val="21"/>
                <w:u w:val="single" w:color="000000"/>
              </w:rPr>
              <w:t> </w:t>
              <w:tab/>
            </w:r>
            <w:r>
              <w:rPr>
                <w:rFonts w:ascii="Arial"/>
                <w:sz w:val="21"/>
                <w:u w:val="single" w:color="000000"/>
              </w:rPr>
              <w:t>-</w:t>
            </w:r>
            <w:r>
              <w:rPr>
                <w:rFonts w:ascii="Arial"/>
                <w:sz w:val="21"/>
              </w:rPr>
            </w:r>
            <w:r>
              <w:rPr>
                <w:rFonts w:ascii="Arial"/>
                <w:sz w:val="21"/>
                <w:u w:val="single" w:color="000000"/>
              </w:rPr>
              <w:t> </w:t>
              <w:tab/>
            </w:r>
            <w:r>
              <w:rPr>
                <w:rFonts w:ascii="Arial"/>
                <w:spacing w:val="-1"/>
                <w:sz w:val="21"/>
                <w:u w:val="single" w:color="000000"/>
              </w:rPr>
              <w:t>294,198</w:t>
              <w:tab/>
            </w:r>
            <w:r>
              <w:rPr>
                <w:rFonts w:ascii="Arial"/>
                <w:spacing w:val="-1"/>
                <w:sz w:val="21"/>
              </w:rPr>
            </w:r>
          </w:p>
        </w:tc>
        <w:tc>
          <w:tcPr>
            <w:tcW w:w="1505" w:type="dxa"/>
            <w:tcBorders>
              <w:top w:val="nil" w:sz="6" w:space="0" w:color="auto"/>
              <w:left w:val="nil" w:sz="6" w:space="0" w:color="auto"/>
              <w:bottom w:val="nil" w:sz="6" w:space="0" w:color="auto"/>
              <w:right w:val="nil" w:sz="6" w:space="0" w:color="auto"/>
            </w:tcBorders>
          </w:tcPr>
          <w:p>
            <w:pPr>
              <w:pStyle w:val="TableParagraph"/>
              <w:tabs>
                <w:tab w:pos="561" w:val="left" w:leader="none"/>
                <w:tab w:pos="1395" w:val="left" w:leader="none"/>
              </w:tabs>
              <w:spacing w:line="236" w:lineRule="exact"/>
              <w:ind w:right="5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387,722</w:t>
              <w:tab/>
            </w:r>
            <w:r>
              <w:rPr>
                <w:rFonts w:ascii="Arial"/>
                <w:spacing w:val="-1"/>
                <w:sz w:val="21"/>
              </w:rPr>
            </w:r>
          </w:p>
        </w:tc>
        <w:tc>
          <w:tcPr>
            <w:tcW w:w="1673" w:type="dxa"/>
            <w:tcBorders>
              <w:top w:val="nil" w:sz="6" w:space="0" w:color="auto"/>
              <w:left w:val="nil" w:sz="6" w:space="0" w:color="auto"/>
              <w:bottom w:val="nil" w:sz="6" w:space="0" w:color="auto"/>
              <w:right w:val="nil" w:sz="6" w:space="0" w:color="auto"/>
            </w:tcBorders>
          </w:tcPr>
          <w:p>
            <w:pPr>
              <w:pStyle w:val="TableParagraph"/>
              <w:tabs>
                <w:tab w:pos="804" w:val="left" w:leader="none"/>
                <w:tab w:pos="1609" w:val="left" w:leader="none"/>
              </w:tabs>
              <w:spacing w:line="236" w:lineRule="exact"/>
              <w:ind w:right="5"/>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3"/>
                <w:w w:val="95"/>
                <w:sz w:val="21"/>
                <w:u w:val="single" w:color="000000"/>
              </w:rPr>
              <w:t>976,118</w:t>
            </w:r>
            <w:r>
              <w:rPr>
                <w:rFonts w:ascii="Arial"/>
                <w:spacing w:val="-3"/>
                <w:sz w:val="21"/>
                <w:u w:val="single" w:color="000000"/>
              </w:rPr>
              <w:tab/>
            </w:r>
            <w:r>
              <w:rPr>
                <w:rFonts w:ascii="Arial"/>
                <w:spacing w:val="-3"/>
                <w:sz w:val="21"/>
              </w:rPr>
            </w:r>
          </w:p>
        </w:tc>
      </w:tr>
      <w:tr>
        <w:trPr>
          <w:trHeight w:val="330" w:hRule="exact"/>
        </w:trPr>
        <w:tc>
          <w:tcPr>
            <w:tcW w:w="2766" w:type="dxa"/>
            <w:tcBorders>
              <w:top w:val="nil" w:sz="6" w:space="0" w:color="auto"/>
              <w:left w:val="nil" w:sz="6" w:space="0" w:color="auto"/>
              <w:bottom w:val="nil" w:sz="6" w:space="0" w:color="auto"/>
              <w:right w:val="nil" w:sz="6" w:space="0" w:color="auto"/>
            </w:tcBorders>
          </w:tcPr>
          <w:p>
            <w:pPr/>
          </w:p>
        </w:tc>
        <w:tc>
          <w:tcPr>
            <w:tcW w:w="4121" w:type="dxa"/>
            <w:tcBorders>
              <w:top w:val="nil" w:sz="6" w:space="0" w:color="auto"/>
              <w:left w:val="nil" w:sz="6" w:space="0" w:color="auto"/>
              <w:bottom w:val="nil" w:sz="6" w:space="0" w:color="auto"/>
              <w:right w:val="nil" w:sz="6" w:space="0" w:color="auto"/>
            </w:tcBorders>
          </w:tcPr>
          <w:p>
            <w:pPr>
              <w:pStyle w:val="TableParagraph"/>
              <w:tabs>
                <w:tab w:pos="406" w:val="left" w:leader="none"/>
                <w:tab w:pos="2465" w:val="left" w:leader="none"/>
                <w:tab w:pos="3142" w:val="left" w:leader="none"/>
                <w:tab w:pos="4042" w:val="left" w:leader="none"/>
              </w:tabs>
              <w:spacing w:line="235" w:lineRule="exact"/>
              <w:ind w:right="43"/>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720,752</w:t>
            </w:r>
            <w:r>
              <w:rPr>
                <w:rFonts w:ascii="Arial"/>
                <w:spacing w:val="-1"/>
                <w:sz w:val="21"/>
              </w:rPr>
            </w:r>
            <w:r>
              <w:rPr>
                <w:rFonts w:ascii="Arial"/>
                <w:spacing w:val="-1"/>
                <w:sz w:val="21"/>
                <w:u w:val="thick" w:color="000000"/>
              </w:rPr>
              <w:t> </w:t>
              <w:tab/>
            </w:r>
            <w:r>
              <w:rPr>
                <w:rFonts w:ascii="Arial"/>
                <w:sz w:val="21"/>
                <w:u w:val="thick" w:color="000000"/>
              </w:rPr>
              <w:t>-</w:t>
            </w:r>
            <w:r>
              <w:rPr>
                <w:rFonts w:ascii="Arial"/>
                <w:sz w:val="21"/>
              </w:rPr>
            </w:r>
            <w:r>
              <w:rPr>
                <w:rFonts w:ascii="Arial"/>
                <w:sz w:val="21"/>
                <w:u w:val="thick" w:color="000000"/>
              </w:rPr>
              <w:t> </w:t>
              <w:tab/>
            </w:r>
            <w:r>
              <w:rPr>
                <w:rFonts w:ascii="Arial"/>
                <w:spacing w:val="-1"/>
                <w:sz w:val="21"/>
                <w:u w:val="thick" w:color="000000"/>
              </w:rPr>
              <w:t>720,752</w:t>
              <w:tab/>
            </w:r>
            <w:r>
              <w:rPr>
                <w:rFonts w:ascii="Arial"/>
                <w:spacing w:val="-1"/>
                <w:sz w:val="21"/>
              </w:rPr>
            </w:r>
          </w:p>
        </w:tc>
        <w:tc>
          <w:tcPr>
            <w:tcW w:w="1505" w:type="dxa"/>
            <w:tcBorders>
              <w:top w:val="nil" w:sz="6" w:space="0" w:color="auto"/>
              <w:left w:val="nil" w:sz="6" w:space="0" w:color="auto"/>
              <w:bottom w:val="nil" w:sz="6" w:space="0" w:color="auto"/>
              <w:right w:val="nil" w:sz="6" w:space="0" w:color="auto"/>
            </w:tcBorders>
          </w:tcPr>
          <w:p>
            <w:pPr>
              <w:pStyle w:val="TableParagraph"/>
              <w:tabs>
                <w:tab w:pos="1255" w:val="left" w:leader="none"/>
                <w:tab w:pos="1409" w:val="left" w:leader="none"/>
              </w:tabs>
              <w:spacing w:line="235" w:lineRule="exact"/>
              <w:ind w:right="47"/>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w:t>
              <w:tab/>
            </w:r>
            <w:r>
              <w:rPr>
                <w:rFonts w:ascii="Arial"/>
                <w:sz w:val="21"/>
              </w:rPr>
            </w:r>
          </w:p>
        </w:tc>
        <w:tc>
          <w:tcPr>
            <w:tcW w:w="1673" w:type="dxa"/>
            <w:tcBorders>
              <w:top w:val="nil" w:sz="6" w:space="0" w:color="auto"/>
              <w:left w:val="nil" w:sz="6" w:space="0" w:color="auto"/>
              <w:bottom w:val="nil" w:sz="6" w:space="0" w:color="auto"/>
              <w:right w:val="nil" w:sz="6" w:space="0" w:color="auto"/>
            </w:tcBorders>
          </w:tcPr>
          <w:p>
            <w:pPr>
              <w:pStyle w:val="TableParagraph"/>
              <w:tabs>
                <w:tab w:pos="621" w:val="left" w:leader="none"/>
                <w:tab w:pos="1623" w:val="left" w:leader="none"/>
              </w:tabs>
              <w:spacing w:line="235" w:lineRule="exact"/>
              <w:ind w:right="-1"/>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1,441,504</w:t>
              <w:tab/>
            </w:r>
            <w:r>
              <w:rPr>
                <w:rFonts w:ascii="Arial"/>
                <w:spacing w:val="-1"/>
                <w:sz w:val="21"/>
              </w:rPr>
            </w:r>
          </w:p>
        </w:tc>
      </w:tr>
    </w:tbl>
    <w:p>
      <w:pPr>
        <w:spacing w:after="0" w:line="235" w:lineRule="exact"/>
        <w:jc w:val="right"/>
        <w:rPr>
          <w:rFonts w:ascii="Arial" w:hAnsi="Arial" w:cs="Arial" w:eastAsia="Arial" w:hint="default"/>
          <w:sz w:val="21"/>
          <w:szCs w:val="21"/>
        </w:rPr>
        <w:sectPr>
          <w:type w:val="continuous"/>
          <w:pgSz w:w="11910" w:h="16840"/>
          <w:pgMar w:top="1600" w:bottom="280" w:left="820" w:right="780"/>
        </w:sectPr>
      </w:pPr>
    </w:p>
    <w:p>
      <w:pPr>
        <w:spacing w:line="240" w:lineRule="auto" w:before="0"/>
        <w:rPr>
          <w:rFonts w:ascii="宋体" w:hAnsi="宋体" w:cs="宋体" w:eastAsia="宋体" w:hint="default"/>
          <w:sz w:val="20"/>
          <w:szCs w:val="20"/>
        </w:rPr>
      </w:pPr>
    </w:p>
    <w:p>
      <w:pPr>
        <w:pStyle w:val="Heading2"/>
        <w:tabs>
          <w:tab w:pos="829" w:val="left" w:leader="none"/>
        </w:tabs>
        <w:spacing w:line="240" w:lineRule="auto" w:before="158"/>
        <w:ind w:left="117" w:right="741"/>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9" w:val="left" w:leader="none"/>
        </w:tabs>
        <w:spacing w:before="0"/>
        <w:ind w:left="118" w:right="741" w:firstLine="0"/>
        <w:jc w:val="left"/>
        <w:rPr>
          <w:rFonts w:ascii="Arial" w:hAnsi="Arial" w:cs="Arial" w:eastAsia="Arial" w:hint="default"/>
          <w:sz w:val="24"/>
          <w:szCs w:val="24"/>
        </w:rPr>
      </w:pPr>
      <w:r>
        <w:rPr>
          <w:rFonts w:ascii="Arial" w:hAnsi="Arial" w:cs="Arial" w:eastAsia="Arial" w:hint="default"/>
          <w:w w:val="95"/>
          <w:position w:val="2"/>
          <w:sz w:val="24"/>
          <w:szCs w:val="24"/>
        </w:rPr>
        <w:t>(24)</w:t>
        <w:tab/>
      </w:r>
      <w:r>
        <w:rPr>
          <w:rFonts w:ascii="宋体" w:hAnsi="宋体" w:cs="宋体" w:eastAsia="宋体" w:hint="default"/>
          <w:b/>
          <w:bCs/>
          <w:sz w:val="24"/>
          <w:szCs w:val="24"/>
        </w:rPr>
        <w:t>股本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0"/>
        <w:rPr>
          <w:rFonts w:ascii="Arial" w:hAnsi="Arial" w:cs="Arial" w:eastAsia="Arial" w:hint="default"/>
          <w:b/>
          <w:bCs/>
          <w:sz w:val="25"/>
          <w:szCs w:val="25"/>
        </w:rPr>
      </w:pPr>
    </w:p>
    <w:p>
      <w:pPr>
        <w:pStyle w:val="BodyText"/>
        <w:spacing w:line="312" w:lineRule="exact"/>
        <w:ind w:left="829" w:right="225"/>
        <w:jc w:val="both"/>
      </w:pPr>
      <w:r>
        <w:rPr>
          <w:spacing w:val="-2"/>
        </w:rPr>
        <w:t>于</w:t>
      </w:r>
      <w:r>
        <w:rPr>
          <w:rFonts w:ascii="Arial" w:hAnsi="Arial" w:cs="Arial" w:eastAsia="Arial" w:hint="default"/>
          <w:spacing w:val="-2"/>
        </w:rPr>
        <w:t>2008</w:t>
      </w:r>
      <w:r>
        <w:rPr>
          <w:spacing w:val="-2"/>
        </w:rPr>
        <w:t>年</w:t>
      </w:r>
      <w:r>
        <w:rPr>
          <w:rFonts w:ascii="Arial" w:hAnsi="Arial" w:cs="Arial" w:eastAsia="Arial" w:hint="default"/>
          <w:spacing w:val="-2"/>
        </w:rPr>
        <w:t>5</w:t>
      </w:r>
      <w:r>
        <w:rPr>
          <w:spacing w:val="-2"/>
        </w:rPr>
        <w:t>月，本公司通过非公开发行人民币普通股</w:t>
      </w:r>
      <w:r>
        <w:rPr>
          <w:rFonts w:ascii="Arial" w:hAnsi="Arial" w:cs="Arial" w:eastAsia="Arial" w:hint="default"/>
          <w:spacing w:val="-2"/>
        </w:rPr>
        <w:t>(A</w:t>
      </w:r>
      <w:r>
        <w:rPr>
          <w:spacing w:val="-2"/>
        </w:rPr>
        <w:t>股</w:t>
      </w:r>
      <w:r>
        <w:rPr>
          <w:rFonts w:ascii="Arial" w:hAnsi="Arial" w:cs="Arial" w:eastAsia="Arial" w:hint="default"/>
          <w:spacing w:val="-2"/>
        </w:rPr>
        <w:t>)</w:t>
      </w:r>
      <w:r>
        <w:rPr>
          <w:spacing w:val="-2"/>
        </w:rPr>
        <w:t>增加股本人民币</w:t>
      </w:r>
      <w:r>
        <w:rPr>
          <w:rFonts w:ascii="Arial" w:hAnsi="Arial" w:cs="Arial" w:eastAsia="Arial" w:hint="default"/>
          <w:spacing w:val="-2"/>
        </w:rPr>
        <w:t>5,400</w:t>
      </w:r>
      <w:r>
        <w:rPr>
          <w:spacing w:val="-2"/>
        </w:rPr>
        <w:t>万元</w:t>
      </w:r>
      <w:r>
        <w:rPr>
          <w:rFonts w:ascii="Arial" w:hAnsi="Arial" w:cs="Arial" w:eastAsia="Arial" w:hint="default"/>
          <w:spacing w:val="-2"/>
        </w:rPr>
        <w:t>(</w:t>
      </w:r>
      <w:r>
        <w:rPr>
          <w:spacing w:val="-2"/>
        </w:rPr>
        <w:t>附注</w:t>
      </w:r>
      <w:r>
        <w:rPr>
          <w:spacing w:val="-118"/>
        </w:rPr>
        <w:t> </w:t>
      </w:r>
      <w:r>
        <w:rPr/>
        <w:t>一</w:t>
      </w:r>
      <w:r>
        <w:rPr>
          <w:rFonts w:ascii="Arial" w:hAnsi="Arial" w:cs="Arial" w:eastAsia="Arial" w:hint="default"/>
        </w:rPr>
        <w:t>)</w:t>
      </w:r>
      <w:r>
        <w:rPr/>
        <w:t>。本次股本变更已由普华永道中天会计师事务所有限公司验证，并出具了文号为普华</w:t>
      </w:r>
      <w:r>
        <w:rPr>
          <w:spacing w:val="-80"/>
        </w:rPr>
        <w:t> </w:t>
      </w:r>
      <w:r>
        <w:rPr>
          <w:spacing w:val="-80"/>
        </w:rPr>
      </w:r>
      <w:r>
        <w:rPr/>
        <w:t>永道中天验字</w:t>
      </w:r>
      <w:r>
        <w:rPr>
          <w:rFonts w:ascii="Arial" w:hAnsi="Arial" w:cs="Arial" w:eastAsia="Arial" w:hint="default"/>
        </w:rPr>
        <w:t>(2008)</w:t>
      </w:r>
      <w:r>
        <w:rPr/>
        <w:t>第</w:t>
      </w:r>
      <w:r>
        <w:rPr>
          <w:rFonts w:ascii="Arial" w:hAnsi="Arial" w:cs="Arial" w:eastAsia="Arial" w:hint="default"/>
        </w:rPr>
        <w:t>054</w:t>
      </w:r>
      <w:r>
        <w:rPr/>
        <w:t>号的验资报告</w:t>
      </w:r>
      <w:r>
        <w:rPr>
          <w:rFonts w:ascii="Arial" w:hAnsi="Arial" w:cs="Arial" w:eastAsia="Arial" w:hint="default"/>
        </w:rPr>
        <w:t>(</w:t>
      </w:r>
      <w:r>
        <w:rPr/>
        <w:t>附注七</w:t>
      </w:r>
      <w:r>
        <w:rPr>
          <w:rFonts w:ascii="Arial" w:hAnsi="Arial" w:cs="Arial" w:eastAsia="Arial" w:hint="default"/>
        </w:rPr>
        <w:t>(25))</w:t>
      </w:r>
      <w:r>
        <w:rPr/>
        <w:t>。</w:t>
      </w:r>
    </w:p>
    <w:p>
      <w:pPr>
        <w:spacing w:line="240" w:lineRule="auto" w:before="1"/>
        <w:rPr>
          <w:rFonts w:ascii="宋体" w:hAnsi="宋体" w:cs="宋体" w:eastAsia="宋体" w:hint="default"/>
          <w:sz w:val="21"/>
          <w:szCs w:val="21"/>
        </w:rPr>
      </w:pPr>
    </w:p>
    <w:p>
      <w:pPr>
        <w:pStyle w:val="BodyText"/>
        <w:spacing w:line="312" w:lineRule="exact"/>
        <w:ind w:left="829" w:right="106"/>
        <w:jc w:val="both"/>
      </w:pPr>
      <w:r>
        <w:rPr>
          <w:spacing w:val="10"/>
        </w:rPr>
        <w:t>根据</w:t>
      </w:r>
      <w:r>
        <w:rPr>
          <w:rFonts w:ascii="Arial" w:hAnsi="Arial" w:cs="Arial" w:eastAsia="Arial" w:hint="default"/>
          <w:spacing w:val="10"/>
        </w:rPr>
        <w:t>2008</w:t>
      </w:r>
      <w:r>
        <w:rPr>
          <w:spacing w:val="10"/>
        </w:rPr>
        <w:t>年</w:t>
      </w:r>
      <w:r>
        <w:rPr>
          <w:rFonts w:ascii="Arial" w:hAnsi="Arial" w:cs="Arial" w:eastAsia="Arial" w:hint="default"/>
          <w:spacing w:val="10"/>
        </w:rPr>
        <w:t>9</w:t>
      </w:r>
      <w:r>
        <w:rPr>
          <w:spacing w:val="10"/>
        </w:rPr>
        <w:t>月</w:t>
      </w:r>
      <w:r>
        <w:rPr>
          <w:rFonts w:ascii="Arial" w:hAnsi="Arial" w:cs="Arial" w:eastAsia="Arial" w:hint="default"/>
          <w:spacing w:val="10"/>
        </w:rPr>
        <w:t>16</w:t>
      </w:r>
      <w:r>
        <w:rPr>
          <w:spacing w:val="10"/>
        </w:rPr>
        <w:t>日临时股东大会决议，本公司以</w:t>
      </w:r>
      <w:r>
        <w:rPr>
          <w:rFonts w:ascii="Arial" w:hAnsi="Arial" w:cs="Arial" w:eastAsia="Arial" w:hint="default"/>
          <w:spacing w:val="10"/>
        </w:rPr>
        <w:t>2008</w:t>
      </w:r>
      <w:r>
        <w:rPr>
          <w:spacing w:val="10"/>
        </w:rPr>
        <w:t>年</w:t>
      </w:r>
      <w:r>
        <w:rPr>
          <w:rFonts w:ascii="Arial" w:hAnsi="Arial" w:cs="Arial" w:eastAsia="Arial" w:hint="default"/>
          <w:spacing w:val="10"/>
        </w:rPr>
        <w:t>5</w:t>
      </w:r>
      <w:r>
        <w:rPr>
          <w:spacing w:val="10"/>
        </w:rPr>
        <w:t>月非公开发行后的总股本</w:t>
      </w:r>
      <w:r>
        <w:rPr>
          <w:spacing w:val="-97"/>
        </w:rPr>
        <w:t> </w:t>
      </w:r>
      <w:r>
        <w:rPr>
          <w:spacing w:val="-97"/>
        </w:rPr>
      </w:r>
      <w:r>
        <w:rPr>
          <w:rFonts w:ascii="Arial" w:hAnsi="Arial" w:cs="Arial" w:eastAsia="Arial" w:hint="default"/>
        </w:rPr>
        <w:t>1,495,504,000</w:t>
      </w:r>
      <w:r>
        <w:rPr/>
        <w:t>股为基数，向全体股东以资本公积金转增股本的方式每</w:t>
      </w:r>
      <w:r>
        <w:rPr>
          <w:rFonts w:ascii="Arial" w:hAnsi="Arial" w:cs="Arial" w:eastAsia="Arial" w:hint="default"/>
        </w:rPr>
        <w:t>10</w:t>
      </w:r>
      <w:r>
        <w:rPr/>
        <w:t>股转增</w:t>
      </w:r>
      <w:r>
        <w:rPr>
          <w:rFonts w:ascii="Arial" w:hAnsi="Arial" w:cs="Arial" w:eastAsia="Arial" w:hint="default"/>
        </w:rPr>
        <w:t>10</w:t>
      </w:r>
      <w:r>
        <w:rPr/>
        <w:t>股，转 </w:t>
      </w:r>
      <w:r>
        <w:rPr>
          <w:spacing w:val="-1"/>
        </w:rPr>
        <w:t>增额为人民币</w:t>
      </w:r>
      <w:r>
        <w:rPr>
          <w:rFonts w:ascii="Arial" w:hAnsi="Arial" w:cs="Arial" w:eastAsia="Arial" w:hint="default"/>
          <w:spacing w:val="-1"/>
        </w:rPr>
        <w:t>1,495,504,000</w:t>
      </w:r>
      <w:r>
        <w:rPr>
          <w:spacing w:val="-1"/>
        </w:rPr>
        <w:t>元</w:t>
      </w:r>
      <w:r>
        <w:rPr>
          <w:rFonts w:ascii="Arial" w:hAnsi="Arial" w:cs="Arial" w:eastAsia="Arial" w:hint="default"/>
          <w:spacing w:val="-1"/>
        </w:rPr>
        <w:t>(</w:t>
      </w:r>
      <w:r>
        <w:rPr>
          <w:spacing w:val="-1"/>
        </w:rPr>
        <w:t>附注七</w:t>
      </w:r>
      <w:r>
        <w:rPr>
          <w:rFonts w:ascii="Arial" w:hAnsi="Arial" w:cs="Arial" w:eastAsia="Arial" w:hint="default"/>
          <w:spacing w:val="-1"/>
        </w:rPr>
        <w:t>(25))</w:t>
      </w:r>
      <w:r>
        <w:rPr>
          <w:spacing w:val="-1"/>
        </w:rPr>
        <w:t>，转增后公司总股本增加至</w:t>
      </w:r>
      <w:r>
        <w:rPr>
          <w:rFonts w:ascii="Arial" w:hAnsi="Arial" w:cs="Arial" w:eastAsia="Arial" w:hint="default"/>
          <w:spacing w:val="-1"/>
        </w:rPr>
        <w:t>2,991,008,000</w:t>
      </w:r>
      <w:r>
        <w:rPr>
          <w:spacing w:val="-1"/>
        </w:rPr>
        <w:t>股。</w:t>
      </w:r>
    </w:p>
    <w:p>
      <w:pPr>
        <w:spacing w:line="240" w:lineRule="auto" w:before="1"/>
        <w:rPr>
          <w:rFonts w:ascii="宋体" w:hAnsi="宋体" w:cs="宋体" w:eastAsia="宋体" w:hint="default"/>
          <w:sz w:val="21"/>
          <w:szCs w:val="21"/>
        </w:rPr>
      </w:pPr>
    </w:p>
    <w:p>
      <w:pPr>
        <w:pStyle w:val="BodyText"/>
        <w:spacing w:line="312" w:lineRule="exact"/>
        <w:ind w:left="829" w:right="225"/>
        <w:jc w:val="both"/>
      </w:pPr>
      <w:r>
        <w:rPr>
          <w:spacing w:val="-2"/>
        </w:rPr>
        <w:t>自本公司股权分置改革方案于</w:t>
      </w:r>
      <w:r>
        <w:rPr>
          <w:rFonts w:ascii="Arial" w:hAnsi="Arial" w:cs="Arial" w:eastAsia="Arial" w:hint="default"/>
          <w:spacing w:val="-2"/>
        </w:rPr>
        <w:t>2005</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11</w:t>
      </w:r>
      <w:r>
        <w:rPr>
          <w:spacing w:val="-2"/>
        </w:rPr>
        <w:t>日实施后，本公司非流通股股份即获得上市流</w:t>
      </w:r>
      <w:r>
        <w:rPr>
          <w:spacing w:val="-105"/>
        </w:rPr>
        <w:t> </w:t>
      </w:r>
      <w:r>
        <w:rPr>
          <w:spacing w:val="-105"/>
        </w:rPr>
      </w:r>
      <w:r>
        <w:rPr>
          <w:spacing w:val="2"/>
        </w:rPr>
        <w:t>通权，根据约定</w:t>
      </w:r>
      <w:r>
        <w:rPr>
          <w:rFonts w:ascii="Arial" w:hAnsi="Arial" w:cs="Arial" w:eastAsia="Arial" w:hint="default"/>
          <w:spacing w:val="2"/>
        </w:rPr>
        <w:t>1</w:t>
      </w:r>
      <w:r>
        <w:rPr>
          <w:spacing w:val="2"/>
        </w:rPr>
        <w:t>至</w:t>
      </w:r>
      <w:r>
        <w:rPr>
          <w:rFonts w:ascii="Arial" w:hAnsi="Arial" w:cs="Arial" w:eastAsia="Arial" w:hint="default"/>
          <w:spacing w:val="2"/>
        </w:rPr>
        <w:t>3</w:t>
      </w:r>
      <w:r>
        <w:rPr>
          <w:spacing w:val="2"/>
        </w:rPr>
        <w:t>年不等的限售期，由原非流通股股东持有的股份将于</w:t>
      </w:r>
      <w:r>
        <w:rPr>
          <w:rFonts w:ascii="Arial" w:hAnsi="Arial" w:cs="Arial" w:eastAsia="Arial" w:hint="default"/>
          <w:spacing w:val="2"/>
        </w:rPr>
        <w:t>2008</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11</w:t>
      </w:r>
      <w:r>
        <w:rPr>
          <w:rFonts w:ascii="Arial" w:hAnsi="Arial" w:cs="Arial" w:eastAsia="Arial" w:hint="default"/>
          <w:spacing w:val="-49"/>
        </w:rPr>
        <w:t> </w:t>
      </w:r>
      <w:r>
        <w:rPr>
          <w:spacing w:val="-2"/>
        </w:rPr>
        <w:t>日解禁并上市流通。于</w:t>
      </w:r>
      <w:r>
        <w:rPr>
          <w:rFonts w:ascii="Arial" w:hAnsi="Arial" w:cs="Arial" w:eastAsia="Arial" w:hint="default"/>
          <w:spacing w:val="-2"/>
        </w:rPr>
        <w:t>2008</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30</w:t>
      </w:r>
      <w:r>
        <w:rPr>
          <w:spacing w:val="-2"/>
        </w:rPr>
        <w:t>日，本公司控股股东张近东先生出具的追加股份限售</w:t>
      </w:r>
      <w:r>
        <w:rPr>
          <w:spacing w:val="-111"/>
        </w:rPr>
        <w:t> </w:t>
      </w:r>
      <w:r>
        <w:rPr>
          <w:spacing w:val="-111"/>
        </w:rPr>
      </w:r>
      <w:r>
        <w:rPr>
          <w:spacing w:val="2"/>
        </w:rPr>
        <w:t>的承诺书，其所持有的所有本公司股份于</w:t>
      </w:r>
      <w:r>
        <w:rPr>
          <w:rFonts w:ascii="Arial" w:hAnsi="Arial" w:cs="Arial" w:eastAsia="Arial" w:hint="default"/>
          <w:spacing w:val="2"/>
        </w:rPr>
        <w:t>2010</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10</w:t>
      </w:r>
      <w:r>
        <w:rPr>
          <w:spacing w:val="2"/>
        </w:rPr>
        <w:t>日之前暂不实现流通。于</w:t>
      </w:r>
      <w:r>
        <w:rPr>
          <w:rFonts w:ascii="Arial" w:hAnsi="Arial" w:cs="Arial" w:eastAsia="Arial" w:hint="default"/>
          <w:spacing w:val="2"/>
        </w:rPr>
        <w:t>2008</w:t>
      </w:r>
      <w:r>
        <w:rPr>
          <w:spacing w:val="2"/>
        </w:rPr>
        <w:t>年</w:t>
      </w:r>
      <w:r>
        <w:rPr>
          <w:spacing w:val="-108"/>
        </w:rPr>
        <w:t> </w:t>
      </w:r>
      <w:r>
        <w:rPr>
          <w:rFonts w:ascii="Arial" w:hAnsi="Arial" w:cs="Arial" w:eastAsia="Arial" w:hint="default"/>
        </w:rPr>
        <w:t>12</w:t>
      </w:r>
      <w:r>
        <w:rPr/>
        <w:t>月</w:t>
      </w:r>
      <w:r>
        <w:rPr>
          <w:rFonts w:ascii="Arial" w:hAnsi="Arial" w:cs="Arial" w:eastAsia="Arial" w:hint="default"/>
        </w:rPr>
        <w:t>31</w:t>
      </w:r>
      <w:r>
        <w:rPr/>
        <w:t>日，本公司控股股东张近东先生持有的</w:t>
      </w:r>
      <w:r>
        <w:rPr>
          <w:rFonts w:ascii="Arial" w:hAnsi="Arial" w:cs="Arial" w:eastAsia="Arial" w:hint="default"/>
        </w:rPr>
        <w:t>855,843,840</w:t>
      </w:r>
      <w:r>
        <w:rPr/>
        <w:t>股暂未实现流通。</w:t>
      </w:r>
    </w:p>
    <w:p>
      <w:pPr>
        <w:spacing w:line="240" w:lineRule="auto" w:before="10"/>
        <w:rPr>
          <w:rFonts w:ascii="宋体" w:hAnsi="宋体" w:cs="宋体" w:eastAsia="宋体" w:hint="default"/>
          <w:sz w:val="18"/>
          <w:szCs w:val="18"/>
        </w:rPr>
      </w:pPr>
    </w:p>
    <w:p>
      <w:pPr>
        <w:tabs>
          <w:tab w:pos="901" w:val="left" w:leader="none"/>
        </w:tabs>
        <w:spacing w:before="0"/>
        <w:ind w:left="182" w:right="741" w:firstLine="0"/>
        <w:jc w:val="left"/>
        <w:rPr>
          <w:rFonts w:ascii="宋体" w:hAnsi="宋体" w:cs="宋体" w:eastAsia="宋体" w:hint="default"/>
          <w:sz w:val="24"/>
          <w:szCs w:val="24"/>
        </w:rPr>
      </w:pPr>
      <w:r>
        <w:rPr>
          <w:rFonts w:ascii="Arial" w:hAnsi="Arial" w:cs="Arial" w:eastAsia="Arial" w:hint="default"/>
          <w:w w:val="95"/>
          <w:position w:val="2"/>
          <w:sz w:val="24"/>
          <w:szCs w:val="24"/>
        </w:rPr>
        <w:t>(25)</w:t>
        <w:tab/>
      </w:r>
      <w:r>
        <w:rPr>
          <w:rFonts w:ascii="宋体" w:hAnsi="宋体" w:cs="宋体" w:eastAsia="宋体" w:hint="default"/>
          <w:b/>
          <w:bCs/>
          <w:sz w:val="24"/>
          <w:szCs w:val="24"/>
        </w:rPr>
        <w:t>资本公积</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52" w:footer="707" w:top="1020" w:bottom="900" w:left="860" w:right="720"/>
        </w:sectPr>
      </w:pPr>
    </w:p>
    <w:p>
      <w:pPr>
        <w:pStyle w:val="BodyText"/>
        <w:spacing w:line="322" w:lineRule="exact" w:before="26"/>
        <w:ind w:left="3945" w:right="3361"/>
        <w:jc w:val="center"/>
      </w:pPr>
      <w:r>
        <w:rPr>
          <w:rFonts w:ascii="Arial" w:hAnsi="Arial" w:cs="Arial" w:eastAsia="Arial" w:hint="default"/>
        </w:rPr>
        <w:t>2007</w:t>
      </w:r>
      <w:r>
        <w:rPr>
          <w:rFonts w:ascii="Arial" w:hAnsi="Arial" w:cs="Arial" w:eastAsia="Arial" w:hint="default"/>
          <w:spacing w:val="-11"/>
        </w:rPr>
        <w:t> </w:t>
      </w:r>
      <w:r>
        <w:rPr/>
        <w:t>年</w:t>
      </w:r>
    </w:p>
    <w:p>
      <w:pPr>
        <w:pStyle w:val="BodyText"/>
        <w:tabs>
          <w:tab w:pos="5528" w:val="left" w:leader="none"/>
          <w:tab w:pos="7215" w:val="left" w:leader="none"/>
        </w:tabs>
        <w:spacing w:line="312" w:lineRule="exact"/>
        <w:ind w:left="3602" w:right="-19"/>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本年减少</w:t>
      </w:r>
    </w:p>
    <w:p>
      <w:pPr>
        <w:pStyle w:val="BodyText"/>
        <w:spacing w:line="322" w:lineRule="exact"/>
        <w:ind w:left="0" w:right="819"/>
        <w:jc w:val="righ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r>
      <w:r>
        <w:rPr>
          <w:rFonts w:ascii="Arial" w:hAnsi="Arial" w:cs="Arial" w:eastAsia="Arial" w:hint="default"/>
        </w:rPr>
      </w:r>
    </w:p>
    <w:p>
      <w:pPr>
        <w:pStyle w:val="BodyText"/>
        <w:spacing w:line="322" w:lineRule="exact" w:before="26"/>
        <w:ind w:left="982" w:right="0"/>
        <w:jc w:val="lef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621"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860" w:right="720"/>
          <w:cols w:num="2" w:equalWidth="0">
            <w:col w:w="8177" w:space="40"/>
            <w:col w:w="2113"/>
          </w:cols>
        </w:sectPr>
      </w:pPr>
    </w:p>
    <w:p>
      <w:pPr>
        <w:spacing w:line="240" w:lineRule="auto" w:before="2"/>
        <w:rPr>
          <w:rFonts w:ascii="宋体" w:hAnsi="宋体" w:cs="宋体" w:eastAsia="宋体" w:hint="default"/>
          <w:sz w:val="17"/>
          <w:szCs w:val="17"/>
        </w:rPr>
      </w:pPr>
    </w:p>
    <w:tbl>
      <w:tblPr>
        <w:tblW w:w="0" w:type="auto"/>
        <w:jc w:val="left"/>
        <w:tblInd w:w="866" w:type="dxa"/>
        <w:tblLayout w:type="fixed"/>
        <w:tblCellMar>
          <w:top w:w="0" w:type="dxa"/>
          <w:left w:w="0" w:type="dxa"/>
          <w:bottom w:w="0" w:type="dxa"/>
          <w:right w:w="0" w:type="dxa"/>
        </w:tblCellMar>
        <w:tblLook w:val="01E0"/>
      </w:tblPr>
      <w:tblGrid>
        <w:gridCol w:w="2337"/>
        <w:gridCol w:w="1694"/>
        <w:gridCol w:w="365"/>
        <w:gridCol w:w="4871"/>
      </w:tblGrid>
      <w:tr>
        <w:trPr>
          <w:trHeight w:val="394"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24"/>
                <w:szCs w:val="24"/>
              </w:rPr>
            </w:pPr>
            <w:r>
              <w:rPr>
                <w:rFonts w:ascii="宋体" w:hAnsi="宋体" w:cs="宋体" w:eastAsia="宋体" w:hint="default"/>
                <w:sz w:val="24"/>
                <w:szCs w:val="24"/>
              </w:rPr>
              <w:t>股本溢价</w:t>
            </w:r>
            <w:r>
              <w:rPr>
                <w:rFonts w:ascii="宋体" w:hAnsi="宋体" w:cs="宋体" w:eastAsia="宋体" w:hint="default"/>
                <w:spacing w:val="-1"/>
                <w:sz w:val="24"/>
                <w:szCs w:val="24"/>
              </w:rPr>
              <w:t> </w:t>
            </w:r>
            <w:r>
              <w:rPr>
                <w:rFonts w:ascii="Arial" w:hAnsi="Arial" w:cs="Arial" w:eastAsia="Arial" w:hint="default"/>
                <w:sz w:val="24"/>
                <w:szCs w:val="24"/>
              </w:rPr>
              <w:t>(a)</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9"/>
              <w:jc w:val="right"/>
              <w:rPr>
                <w:rFonts w:ascii="Arial" w:hAnsi="Arial" w:cs="Arial" w:eastAsia="Arial" w:hint="default"/>
                <w:sz w:val="24"/>
                <w:szCs w:val="24"/>
              </w:rPr>
            </w:pPr>
            <w:r>
              <w:rPr>
                <w:rFonts w:ascii="Arial"/>
                <w:spacing w:val="-1"/>
                <w:w w:val="95"/>
                <w:sz w:val="24"/>
              </w:rPr>
              <w:t>213,034</w:t>
            </w:r>
            <w:r>
              <w:rPr>
                <w:rFonts w:ascii="Arial"/>
                <w:sz w:val="24"/>
              </w:rPr>
            </w:r>
          </w:p>
        </w:tc>
        <w:tc>
          <w:tcPr>
            <w:tcW w:w="365"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nil" w:sz="6" w:space="0" w:color="auto"/>
              <w:right w:val="nil" w:sz="6" w:space="0" w:color="auto"/>
            </w:tcBorders>
          </w:tcPr>
          <w:p>
            <w:pPr>
              <w:pStyle w:val="TableParagraph"/>
              <w:tabs>
                <w:tab w:pos="1593" w:val="left" w:leader="none"/>
                <w:tab w:pos="3542" w:val="left" w:leader="none"/>
              </w:tabs>
              <w:spacing w:line="240" w:lineRule="auto" w:before="65"/>
              <w:ind w:right="101"/>
              <w:jc w:val="right"/>
              <w:rPr>
                <w:rFonts w:ascii="Arial" w:hAnsi="Arial" w:cs="Arial" w:eastAsia="Arial" w:hint="default"/>
                <w:sz w:val="24"/>
                <w:szCs w:val="24"/>
              </w:rPr>
            </w:pPr>
            <w:r>
              <w:rPr>
                <w:rFonts w:ascii="Arial"/>
                <w:spacing w:val="-1"/>
                <w:sz w:val="24"/>
              </w:rPr>
              <w:t>2,366,056</w:t>
              <w:tab/>
            </w:r>
            <w:r>
              <w:rPr>
                <w:rFonts w:ascii="Arial"/>
                <w:w w:val="95"/>
                <w:sz w:val="24"/>
              </w:rPr>
              <w:t>(1,495,504)</w:t>
              <w:tab/>
            </w:r>
            <w:r>
              <w:rPr>
                <w:rFonts w:ascii="Arial"/>
                <w:spacing w:val="-1"/>
                <w:w w:val="95"/>
                <w:position w:val="4"/>
                <w:sz w:val="24"/>
              </w:rPr>
              <w:t>1,083,586</w:t>
            </w:r>
            <w:r>
              <w:rPr>
                <w:rFonts w:ascii="Arial"/>
                <w:sz w:val="24"/>
              </w:rPr>
            </w:r>
          </w:p>
        </w:tc>
      </w:tr>
      <w:tr>
        <w:trPr>
          <w:trHeight w:val="306"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63" w:lineRule="exact"/>
              <w:ind w:right="98"/>
              <w:jc w:val="right"/>
              <w:rPr>
                <w:rFonts w:ascii="Arial" w:hAnsi="Arial" w:cs="Arial" w:eastAsia="Arial" w:hint="default"/>
                <w:sz w:val="24"/>
                <w:szCs w:val="24"/>
              </w:rPr>
            </w:pPr>
            <w:r>
              <w:rPr>
                <w:rFonts w:ascii="Arial"/>
                <w:spacing w:val="-1"/>
                <w:w w:val="95"/>
                <w:sz w:val="24"/>
              </w:rPr>
              <w:t>2,605</w:t>
            </w:r>
            <w:r>
              <w:rPr>
                <w:rFonts w:ascii="Arial"/>
                <w:sz w:val="24"/>
              </w:rPr>
            </w:r>
          </w:p>
        </w:tc>
        <w:tc>
          <w:tcPr>
            <w:tcW w:w="365" w:type="dxa"/>
            <w:tcBorders>
              <w:top w:val="nil" w:sz="6" w:space="0" w:color="auto"/>
              <w:left w:val="nil" w:sz="6" w:space="0" w:color="auto"/>
              <w:bottom w:val="nil" w:sz="6" w:space="0" w:color="auto"/>
              <w:right w:val="nil" w:sz="6" w:space="0" w:color="auto"/>
            </w:tcBorders>
          </w:tcPr>
          <w:p>
            <w:pPr/>
          </w:p>
        </w:tc>
        <w:tc>
          <w:tcPr>
            <w:tcW w:w="4871" w:type="dxa"/>
            <w:tcBorders>
              <w:top w:val="nil" w:sz="6" w:space="0" w:color="auto"/>
              <w:left w:val="nil" w:sz="6" w:space="0" w:color="auto"/>
              <w:bottom w:val="single" w:sz="4" w:space="0" w:color="000000"/>
              <w:right w:val="nil" w:sz="6" w:space="0" w:color="auto"/>
            </w:tcBorders>
          </w:tcPr>
          <w:p>
            <w:pPr>
              <w:pStyle w:val="TableParagraph"/>
              <w:tabs>
                <w:tab w:pos="1672" w:val="left" w:leader="none"/>
                <w:tab w:pos="3022" w:val="left" w:leader="none"/>
              </w:tabs>
              <w:spacing w:line="303" w:lineRule="exact"/>
              <w:ind w:right="99"/>
              <w:jc w:val="right"/>
              <w:rPr>
                <w:rFonts w:ascii="Arial" w:hAnsi="Arial" w:cs="Arial" w:eastAsia="Arial" w:hint="default"/>
                <w:sz w:val="24"/>
                <w:szCs w:val="24"/>
              </w:rPr>
            </w:pPr>
            <w:r>
              <w:rPr>
                <w:rFonts w:ascii="Arial"/>
                <w:position w:val="-3"/>
                <w:sz w:val="24"/>
              </w:rPr>
              <w:t>-</w:t>
              <w:tab/>
              <w:t>-</w:t>
              <w:tab/>
            </w:r>
            <w:r>
              <w:rPr>
                <w:rFonts w:ascii="Arial"/>
                <w:spacing w:val="-1"/>
                <w:w w:val="95"/>
                <w:sz w:val="24"/>
              </w:rPr>
              <w:t>2,605</w:t>
            </w:r>
            <w:r>
              <w:rPr>
                <w:rFonts w:ascii="Arial"/>
                <w:sz w:val="24"/>
              </w:rPr>
            </w:r>
          </w:p>
        </w:tc>
      </w:tr>
    </w:tbl>
    <w:p>
      <w:pPr>
        <w:pStyle w:val="BodyText"/>
        <w:tabs>
          <w:tab w:pos="5421" w:val="left" w:leader="none"/>
          <w:tab w:pos="7014" w:val="left" w:leader="none"/>
          <w:tab w:pos="8962" w:val="left" w:leader="none"/>
        </w:tabs>
        <w:spacing w:line="269" w:lineRule="exact"/>
        <w:ind w:left="3930" w:right="0"/>
        <w:jc w:val="left"/>
        <w:rPr>
          <w:rFonts w:ascii="Arial" w:hAnsi="Arial" w:cs="Arial" w:eastAsia="Arial" w:hint="default"/>
        </w:rPr>
      </w:pPr>
      <w:r>
        <w:rPr/>
        <w:pict>
          <v:group style="position:absolute;margin-left:306.119995pt;margin-top:-.47998pt;width:66.3pt;height:.1pt;mso-position-horizontal-relative:page;mso-position-vertical-relative:paragraph;z-index:-670456" coordorigin="6122,-10" coordsize="1326,2">
            <v:shape style="position:absolute;left:6122;top:-10;width:1326;height:2" coordorigin="6122,-10" coordsize="1326,0" path="m6122,-10l7448,-10e" filled="false" stroked="true" strokeweight=".47998pt" strokecolor="#000000">
              <v:path arrowok="t"/>
            </v:shape>
            <w10:wrap type="none"/>
          </v:group>
        </w:pict>
      </w:r>
      <w:r>
        <w:rPr/>
        <w:pict>
          <v:group style="position:absolute;margin-left:387.119995pt;margin-top:-.47998pt;width:68.05pt;height:.1pt;mso-position-horizontal-relative:page;mso-position-vertical-relative:paragraph;z-index:-670432" coordorigin="7742,-10" coordsize="1361,2">
            <v:shape style="position:absolute;left:7742;top:-10;width:1361;height:2" coordorigin="7742,-10" coordsize="1361,0" path="m7742,-10l9103,-10e" filled="false" stroked="true" strokeweight=".47998pt" strokecolor="#000000">
              <v:path arrowok="t"/>
            </v:shape>
            <w10:wrap type="none"/>
          </v:group>
        </w:pict>
      </w:r>
      <w:r>
        <w:rPr>
          <w:rFonts w:ascii="Arial"/>
          <w:spacing w:val="-1"/>
        </w:rPr>
        <w:t>215,639</w:t>
        <w:tab/>
        <w:t>2,366,056</w:t>
        <w:tab/>
        <w:t>(1,495,504)</w:t>
        <w:tab/>
        <w:t>1,086,191</w:t>
      </w:r>
      <w:r>
        <w:rPr>
          <w:rFonts w:ascii="Arial"/>
        </w:rPr>
      </w:r>
    </w:p>
    <w:p>
      <w:pPr>
        <w:tabs>
          <w:tab w:pos="5240" w:val="left" w:leader="none"/>
          <w:tab w:pos="6860" w:val="left" w:leader="none"/>
          <w:tab w:pos="8504" w:val="left" w:leader="none"/>
        </w:tabs>
        <w:spacing w:line="30" w:lineRule="exact"/>
        <w:ind w:left="3181" w:right="0" w:firstLine="0"/>
        <w:rPr>
          <w:rFonts w:ascii="Arial" w:hAnsi="Arial" w:cs="Arial" w:eastAsia="Arial" w:hint="default"/>
          <w:sz w:val="3"/>
          <w:szCs w:val="3"/>
        </w:rPr>
      </w:pPr>
      <w:r>
        <w:rPr>
          <w:rFonts w:ascii="Arial"/>
          <w:position w:val="0"/>
          <w:sz w:val="3"/>
        </w:rPr>
        <w:pict>
          <v:group style="width:86.95pt;height:1.5pt;mso-position-horizontal-relative:char;mso-position-vertical-relative:line" coordorigin="0,0" coordsize="1739,30">
            <v:group style="position:absolute;left:15;top:15;width:1709;height:2" coordorigin="15,15" coordsize="1709,2">
              <v:shape style="position:absolute;left:15;top:15;width:1709;height:2" coordorigin="15,15" coordsize="1709,0" path="m15,15l1724,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68.55pt;height:1.5pt;mso-position-horizontal-relative:char;mso-position-vertical-relative:line" coordorigin="0,0" coordsize="1371,30">
            <v:group style="position:absolute;left:15;top:15;width:1341;height:2" coordorigin="15,15" coordsize="1341,2">
              <v:shape style="position:absolute;left:15;top:15;width:1341;height:2" coordorigin="15,15" coordsize="1341,0" path="m15,15l135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0.3pt;height:1.5pt;mso-position-horizontal-relative:char;mso-position-vertical-relative:line" coordorigin="0,0" coordsize="1406,30">
            <v:group style="position:absolute;left:15;top:15;width:1376;height:2" coordorigin="15,15" coordsize="1376,2">
              <v:shape style="position:absolute;left:15;top:15;width:1376;height:2" coordorigin="15,15" coordsize="1376,0" path="m15,15l1390,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2.6pt;height:1.5pt;mso-position-horizontal-relative:char;mso-position-vertical-relative:line" coordorigin="0,0" coordsize="1652,30">
            <v:group style="position:absolute;left:15;top:15;width:1622;height:2" coordorigin="15,15" coordsize="1622,2">
              <v:shape style="position:absolute;left:15;top:15;width:1622;height:2" coordorigin="15,15" coordsize="1622,0" path="m15,15l1636,15e" filled="false" stroked="true" strokeweight="1.5pt" strokecolor="#000000">
                <v:path arrowok="t"/>
              </v:shape>
            </v:group>
          </v:group>
        </w:pict>
      </w:r>
      <w:r>
        <w:rPr>
          <w:rFonts w:ascii="Arial"/>
          <w:position w:val="0"/>
          <w:sz w:val="3"/>
        </w:rPr>
      </w:r>
    </w:p>
    <w:p>
      <w:pPr>
        <w:spacing w:line="240" w:lineRule="auto" w:before="7"/>
        <w:rPr>
          <w:rFonts w:ascii="Arial" w:hAnsi="Arial" w:cs="Arial" w:eastAsia="Arial" w:hint="default"/>
          <w:sz w:val="15"/>
          <w:szCs w:val="15"/>
        </w:rPr>
      </w:pPr>
    </w:p>
    <w:p>
      <w:pPr>
        <w:spacing w:after="0" w:line="240" w:lineRule="auto"/>
        <w:rPr>
          <w:rFonts w:ascii="Arial" w:hAnsi="Arial" w:cs="Arial" w:eastAsia="Arial" w:hint="default"/>
          <w:sz w:val="15"/>
          <w:szCs w:val="15"/>
        </w:rPr>
        <w:sectPr>
          <w:type w:val="continuous"/>
          <w:pgSz w:w="11910" w:h="16840"/>
          <w:pgMar w:top="1600" w:bottom="280" w:left="860" w:right="720"/>
        </w:sectPr>
      </w:pPr>
    </w:p>
    <w:p>
      <w:pPr>
        <w:pStyle w:val="BodyText"/>
        <w:spacing w:line="322" w:lineRule="exact" w:before="26"/>
        <w:ind w:left="3954" w:right="3358"/>
        <w:jc w:val="center"/>
      </w:pPr>
      <w:r>
        <w:rPr>
          <w:rFonts w:ascii="Arial" w:hAnsi="Arial" w:cs="Arial" w:eastAsia="Arial" w:hint="default"/>
        </w:rPr>
        <w:t>2006</w:t>
      </w:r>
      <w:r>
        <w:rPr>
          <w:rFonts w:ascii="Arial" w:hAnsi="Arial" w:cs="Arial" w:eastAsia="Arial" w:hint="default"/>
          <w:spacing w:val="-11"/>
        </w:rPr>
        <w:t> </w:t>
      </w:r>
      <w:r>
        <w:rPr/>
        <w:t>年</w:t>
      </w:r>
    </w:p>
    <w:p>
      <w:pPr>
        <w:pStyle w:val="BodyText"/>
        <w:tabs>
          <w:tab w:pos="5523" w:val="left" w:leader="none"/>
          <w:tab w:pos="7223" w:val="left" w:leader="none"/>
        </w:tabs>
        <w:spacing w:line="312" w:lineRule="exact"/>
        <w:ind w:left="3612"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本年减少</w:t>
      </w:r>
    </w:p>
    <w:p>
      <w:pPr>
        <w:pStyle w:val="BodyText"/>
        <w:spacing w:line="322" w:lineRule="exact"/>
        <w:ind w:left="0" w:right="816"/>
        <w:jc w:val="righ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r>
      <w:r>
        <w:rPr>
          <w:rFonts w:ascii="Arial" w:hAnsi="Arial" w:cs="Arial" w:eastAsia="Arial" w:hint="default"/>
        </w:rPr>
      </w:r>
    </w:p>
    <w:p>
      <w:pPr>
        <w:pStyle w:val="BodyText"/>
        <w:spacing w:line="322" w:lineRule="exact" w:before="26"/>
        <w:ind w:left="985" w:right="0"/>
        <w:jc w:val="left"/>
      </w:pPr>
      <w:r>
        <w:rPr/>
        <w:br w:type="column"/>
      </w: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624"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860" w:right="720"/>
          <w:cols w:num="2" w:equalWidth="0">
            <w:col w:w="8184" w:space="40"/>
            <w:col w:w="2106"/>
          </w:cols>
        </w:sectPr>
      </w:pPr>
    </w:p>
    <w:p>
      <w:pPr>
        <w:spacing w:line="240" w:lineRule="auto" w:before="2"/>
        <w:rPr>
          <w:rFonts w:ascii="宋体" w:hAnsi="宋体" w:cs="宋体" w:eastAsia="宋体" w:hint="default"/>
          <w:sz w:val="17"/>
          <w:szCs w:val="17"/>
        </w:rPr>
      </w:pPr>
    </w:p>
    <w:tbl>
      <w:tblPr>
        <w:tblW w:w="0" w:type="auto"/>
        <w:jc w:val="left"/>
        <w:tblInd w:w="871" w:type="dxa"/>
        <w:tblLayout w:type="fixed"/>
        <w:tblCellMar>
          <w:top w:w="0" w:type="dxa"/>
          <w:left w:w="0" w:type="dxa"/>
          <w:bottom w:w="0" w:type="dxa"/>
          <w:right w:w="0" w:type="dxa"/>
        </w:tblCellMar>
        <w:tblLook w:val="01E0"/>
      </w:tblPr>
      <w:tblGrid>
        <w:gridCol w:w="2341"/>
        <w:gridCol w:w="1694"/>
        <w:gridCol w:w="346"/>
        <w:gridCol w:w="4889"/>
      </w:tblGrid>
      <w:tr>
        <w:trPr>
          <w:trHeight w:val="39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Arial" w:hAnsi="Arial" w:cs="Arial" w:eastAsia="Arial" w:hint="default"/>
                <w:sz w:val="24"/>
                <w:szCs w:val="24"/>
              </w:rPr>
            </w:pPr>
            <w:r>
              <w:rPr>
                <w:rFonts w:ascii="宋体" w:hAnsi="宋体" w:cs="宋体" w:eastAsia="宋体" w:hint="default"/>
                <w:sz w:val="24"/>
                <w:szCs w:val="24"/>
              </w:rPr>
              <w:t>股本溢价</w:t>
            </w:r>
            <w:r>
              <w:rPr>
                <w:rFonts w:ascii="宋体" w:hAnsi="宋体" w:cs="宋体" w:eastAsia="宋体" w:hint="default"/>
                <w:spacing w:val="-1"/>
                <w:sz w:val="24"/>
                <w:szCs w:val="24"/>
              </w:rPr>
              <w:t> </w:t>
            </w:r>
            <w:r>
              <w:rPr>
                <w:rFonts w:ascii="Arial" w:hAnsi="Arial" w:cs="Arial" w:eastAsia="Arial" w:hint="default"/>
                <w:sz w:val="24"/>
                <w:szCs w:val="24"/>
              </w:rPr>
              <w:t>(a)</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9"/>
              <w:jc w:val="right"/>
              <w:rPr>
                <w:rFonts w:ascii="Arial" w:hAnsi="Arial" w:cs="Arial" w:eastAsia="Arial" w:hint="default"/>
                <w:sz w:val="24"/>
                <w:szCs w:val="24"/>
              </w:rPr>
            </w:pPr>
            <w:r>
              <w:rPr>
                <w:rFonts w:ascii="Arial"/>
                <w:spacing w:val="-1"/>
                <w:w w:val="95"/>
                <w:sz w:val="24"/>
              </w:rPr>
              <w:t>933,786</w:t>
            </w:r>
            <w:r>
              <w:rPr>
                <w:rFonts w:ascii="Arial"/>
                <w:sz w:val="24"/>
              </w:rPr>
            </w:r>
          </w:p>
        </w:tc>
        <w:tc>
          <w:tcPr>
            <w:tcW w:w="346" w:type="dxa"/>
            <w:tcBorders>
              <w:top w:val="nil" w:sz="6" w:space="0" w:color="auto"/>
              <w:left w:val="nil" w:sz="6" w:space="0" w:color="auto"/>
              <w:bottom w:val="nil" w:sz="6" w:space="0" w:color="auto"/>
              <w:right w:val="nil" w:sz="6" w:space="0" w:color="auto"/>
            </w:tcBorders>
          </w:tcPr>
          <w:p>
            <w:pPr/>
          </w:p>
        </w:tc>
        <w:tc>
          <w:tcPr>
            <w:tcW w:w="4889" w:type="dxa"/>
            <w:tcBorders>
              <w:top w:val="nil" w:sz="6" w:space="0" w:color="auto"/>
              <w:left w:val="nil" w:sz="6" w:space="0" w:color="auto"/>
              <w:bottom w:val="nil" w:sz="6" w:space="0" w:color="auto"/>
              <w:right w:val="nil" w:sz="6" w:space="0" w:color="auto"/>
            </w:tcBorders>
          </w:tcPr>
          <w:p>
            <w:pPr>
              <w:pStyle w:val="TableParagraph"/>
              <w:tabs>
                <w:tab w:pos="809" w:val="left" w:leader="none"/>
                <w:tab w:pos="2771" w:val="left" w:leader="none"/>
              </w:tabs>
              <w:spacing w:line="240" w:lineRule="auto" w:before="65"/>
              <w:ind w:right="97"/>
              <w:jc w:val="right"/>
              <w:rPr>
                <w:rFonts w:ascii="Arial" w:hAnsi="Arial" w:cs="Arial" w:eastAsia="Arial" w:hint="default"/>
                <w:sz w:val="24"/>
                <w:szCs w:val="24"/>
              </w:rPr>
            </w:pPr>
            <w:r>
              <w:rPr>
                <w:rFonts w:ascii="Arial"/>
                <w:sz w:val="24"/>
              </w:rPr>
              <w:t>-</w:t>
              <w:tab/>
            </w:r>
            <w:r>
              <w:rPr>
                <w:rFonts w:ascii="Arial"/>
                <w:spacing w:val="-1"/>
                <w:sz w:val="24"/>
              </w:rPr>
              <w:t>(720,752)</w:t>
              <w:tab/>
            </w:r>
            <w:r>
              <w:rPr>
                <w:rFonts w:ascii="Arial"/>
                <w:spacing w:val="-1"/>
                <w:w w:val="95"/>
                <w:position w:val="4"/>
                <w:sz w:val="24"/>
              </w:rPr>
              <w:t>213,034</w:t>
            </w:r>
            <w:r>
              <w:rPr>
                <w:rFonts w:ascii="Arial"/>
                <w:sz w:val="24"/>
              </w:rPr>
            </w:r>
          </w:p>
        </w:tc>
      </w:tr>
      <w:tr>
        <w:trPr>
          <w:trHeight w:val="30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63" w:lineRule="exact"/>
              <w:ind w:right="98"/>
              <w:jc w:val="right"/>
              <w:rPr>
                <w:rFonts w:ascii="Arial" w:hAnsi="Arial" w:cs="Arial" w:eastAsia="Arial" w:hint="default"/>
                <w:sz w:val="24"/>
                <w:szCs w:val="24"/>
              </w:rPr>
            </w:pPr>
            <w:r>
              <w:rPr>
                <w:rFonts w:ascii="Arial"/>
                <w:spacing w:val="-1"/>
                <w:w w:val="95"/>
                <w:sz w:val="24"/>
              </w:rPr>
              <w:t>2,605</w:t>
            </w:r>
            <w:r>
              <w:rPr>
                <w:rFonts w:ascii="Arial"/>
                <w:sz w:val="24"/>
              </w:rPr>
            </w:r>
          </w:p>
        </w:tc>
        <w:tc>
          <w:tcPr>
            <w:tcW w:w="346" w:type="dxa"/>
            <w:tcBorders>
              <w:top w:val="nil" w:sz="6" w:space="0" w:color="auto"/>
              <w:left w:val="nil" w:sz="6" w:space="0" w:color="auto"/>
              <w:bottom w:val="nil" w:sz="6" w:space="0" w:color="auto"/>
              <w:right w:val="nil" w:sz="6" w:space="0" w:color="auto"/>
            </w:tcBorders>
          </w:tcPr>
          <w:p>
            <w:pPr/>
          </w:p>
        </w:tc>
        <w:tc>
          <w:tcPr>
            <w:tcW w:w="4889" w:type="dxa"/>
            <w:tcBorders>
              <w:top w:val="nil" w:sz="6" w:space="0" w:color="auto"/>
              <w:left w:val="nil" w:sz="6" w:space="0" w:color="auto"/>
              <w:bottom w:val="single" w:sz="4" w:space="0" w:color="000000"/>
              <w:right w:val="nil" w:sz="6" w:space="0" w:color="auto"/>
            </w:tcBorders>
          </w:tcPr>
          <w:p>
            <w:pPr>
              <w:pStyle w:val="TableParagraph"/>
              <w:tabs>
                <w:tab w:pos="1676" w:val="left" w:leader="none"/>
                <w:tab w:pos="3038" w:val="left" w:leader="none"/>
              </w:tabs>
              <w:spacing w:line="303" w:lineRule="exact"/>
              <w:ind w:right="97"/>
              <w:jc w:val="right"/>
              <w:rPr>
                <w:rFonts w:ascii="Arial" w:hAnsi="Arial" w:cs="Arial" w:eastAsia="Arial" w:hint="default"/>
                <w:sz w:val="24"/>
                <w:szCs w:val="24"/>
              </w:rPr>
            </w:pPr>
            <w:r>
              <w:rPr>
                <w:rFonts w:ascii="Arial"/>
                <w:position w:val="-3"/>
                <w:sz w:val="24"/>
              </w:rPr>
              <w:t>-</w:t>
              <w:tab/>
              <w:t>-</w:t>
              <w:tab/>
            </w:r>
            <w:r>
              <w:rPr>
                <w:rFonts w:ascii="Arial"/>
                <w:spacing w:val="-1"/>
                <w:w w:val="95"/>
                <w:sz w:val="24"/>
              </w:rPr>
              <w:t>2,605</w:t>
            </w:r>
            <w:r>
              <w:rPr>
                <w:rFonts w:ascii="Arial"/>
                <w:sz w:val="24"/>
              </w:rPr>
            </w:r>
          </w:p>
        </w:tc>
      </w:tr>
      <w:tr>
        <w:trPr>
          <w:trHeight w:val="296" w:hRule="exact"/>
        </w:trPr>
        <w:tc>
          <w:tcPr>
            <w:tcW w:w="2341"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936,391</w:t>
            </w:r>
            <w:r>
              <w:rPr>
                <w:rFonts w:ascii="Arial"/>
                <w:sz w:val="24"/>
              </w:rPr>
            </w:r>
          </w:p>
        </w:tc>
        <w:tc>
          <w:tcPr>
            <w:tcW w:w="346" w:type="dxa"/>
            <w:tcBorders>
              <w:top w:val="nil" w:sz="6" w:space="0" w:color="auto"/>
              <w:left w:val="nil" w:sz="6" w:space="0" w:color="auto"/>
              <w:bottom w:val="nil" w:sz="6" w:space="0" w:color="auto"/>
              <w:right w:val="nil" w:sz="6" w:space="0" w:color="auto"/>
            </w:tcBorders>
          </w:tcPr>
          <w:p>
            <w:pPr/>
          </w:p>
        </w:tc>
        <w:tc>
          <w:tcPr>
            <w:tcW w:w="4889" w:type="dxa"/>
            <w:tcBorders>
              <w:top w:val="single" w:sz="4" w:space="0" w:color="000000"/>
              <w:left w:val="nil" w:sz="6" w:space="0" w:color="auto"/>
              <w:bottom w:val="single" w:sz="12" w:space="0" w:color="000000"/>
              <w:right w:val="nil" w:sz="6" w:space="0" w:color="auto"/>
            </w:tcBorders>
          </w:tcPr>
          <w:p>
            <w:pPr>
              <w:pStyle w:val="TableParagraph"/>
              <w:tabs>
                <w:tab w:pos="809" w:val="left" w:leader="none"/>
                <w:tab w:pos="2771" w:val="left" w:leader="none"/>
              </w:tabs>
              <w:spacing w:line="274" w:lineRule="exact"/>
              <w:ind w:right="98"/>
              <w:jc w:val="right"/>
              <w:rPr>
                <w:rFonts w:ascii="Arial" w:hAnsi="Arial" w:cs="Arial" w:eastAsia="Arial" w:hint="default"/>
                <w:sz w:val="24"/>
                <w:szCs w:val="24"/>
              </w:rPr>
            </w:pPr>
            <w:r>
              <w:rPr>
                <w:rFonts w:ascii="Arial"/>
                <w:sz w:val="24"/>
              </w:rPr>
              <w:t>-</w:t>
              <w:tab/>
            </w:r>
            <w:r>
              <w:rPr>
                <w:rFonts w:ascii="Arial"/>
                <w:spacing w:val="-1"/>
                <w:sz w:val="24"/>
              </w:rPr>
              <w:t>(720,752)</w:t>
              <w:tab/>
            </w:r>
            <w:r>
              <w:rPr>
                <w:rFonts w:ascii="Arial"/>
                <w:spacing w:val="-1"/>
                <w:w w:val="95"/>
                <w:sz w:val="24"/>
              </w:rPr>
              <w:t>215,639</w:t>
            </w:r>
            <w:r>
              <w:rPr>
                <w:rFonts w:ascii="Arial"/>
                <w:sz w:val="24"/>
              </w:rPr>
            </w:r>
          </w:p>
        </w:tc>
      </w:tr>
    </w:tbl>
    <w:p>
      <w:pPr>
        <w:spacing w:line="240" w:lineRule="auto" w:before="11"/>
        <w:rPr>
          <w:rFonts w:ascii="宋体" w:hAnsi="宋体" w:cs="宋体" w:eastAsia="宋体" w:hint="default"/>
          <w:sz w:val="11"/>
          <w:szCs w:val="11"/>
        </w:rPr>
      </w:pPr>
    </w:p>
    <w:p>
      <w:pPr>
        <w:pStyle w:val="BodyText"/>
        <w:tabs>
          <w:tab w:pos="1381" w:val="left" w:leader="none"/>
        </w:tabs>
        <w:spacing w:line="312" w:lineRule="exact" w:before="63"/>
        <w:ind w:left="901" w:right="291" w:hanging="719"/>
        <w:jc w:val="both"/>
      </w:pPr>
      <w:r>
        <w:rPr/>
        <w:pict>
          <v:group style="position:absolute;margin-left:305.820007pt;margin-top:-24.029696pt;width:66.5pt;height:.1pt;mso-position-horizontal-relative:page;mso-position-vertical-relative:paragraph;z-index:-670408" coordorigin="6116,-481" coordsize="1330,2">
            <v:shape style="position:absolute;left:6116;top:-481;width:1330;height:2" coordorigin="6116,-481" coordsize="1330,0" path="m6116,-481l7446,-481e" filled="false" stroked="true" strokeweight=".48pt" strokecolor="#000000">
              <v:path arrowok="t"/>
            </v:shape>
            <w10:wrap type="none"/>
          </v:group>
        </w:pict>
      </w:r>
      <w:r>
        <w:rPr/>
        <w:pict>
          <v:group style="position:absolute;margin-left:386.279999pt;margin-top:-24.029696pt;width:69.3pt;height:.1pt;mso-position-horizontal-relative:page;mso-position-vertical-relative:paragraph;z-index:-670384" coordorigin="7726,-481" coordsize="1386,2">
            <v:shape style="position:absolute;left:7726;top:-481;width:1386;height:2" coordorigin="7726,-481" coordsize="1386,0" path="m7726,-481l9112,-481e" filled="false" stroked="true" strokeweight=".48pt" strokecolor="#000000">
              <v:path arrowok="t"/>
            </v:shape>
            <w10:wrap type="none"/>
          </v:group>
        </w:pict>
      </w:r>
      <w:r>
        <w:rPr/>
        <w:pict>
          <v:group style="position:absolute;margin-left:385.920013pt;margin-top:-9.239695pt;width:70.05pt;height:.1pt;mso-position-horizontal-relative:page;mso-position-vertical-relative:paragraph;z-index:-670360" coordorigin="7718,-185" coordsize="1401,2">
            <v:shape style="position:absolute;left:7718;top:-185;width:1401;height:2" coordorigin="7718,-185" coordsize="1401,0" path="m7718,-185l9119,-185e" filled="false" stroked="true" strokeweight="1.5pt" strokecolor="#000000">
              <v:path arrowok="t"/>
            </v:shape>
            <w10:wrap type="none"/>
          </v:group>
        </w:pict>
      </w:r>
      <w:r>
        <w:rPr>
          <w:rFonts w:ascii="Arial" w:hAnsi="Arial" w:cs="Arial" w:eastAsia="Arial" w:hint="default"/>
          <w:w w:val="95"/>
          <w:position w:val="2"/>
        </w:rPr>
        <w:t>(a)</w:t>
        <w:tab/>
        <w:tab/>
      </w:r>
      <w:r>
        <w:rPr/>
        <w:t>于</w:t>
      </w:r>
      <w:r>
        <w:rPr>
          <w:spacing w:val="-65"/>
        </w:rPr>
        <w:t> </w:t>
      </w:r>
      <w:r>
        <w:rPr>
          <w:rFonts w:ascii="Arial" w:hAnsi="Arial" w:cs="Arial" w:eastAsia="Arial" w:hint="default"/>
        </w:rPr>
        <w:t>2008</w:t>
      </w:r>
      <w:r>
        <w:rPr>
          <w:rFonts w:ascii="Arial" w:hAnsi="Arial" w:cs="Arial" w:eastAsia="Arial" w:hint="default"/>
          <w:spacing w:val="-12"/>
        </w:rPr>
        <w:t> </w:t>
      </w:r>
      <w:r>
        <w:rPr/>
        <w:t>年</w:t>
      </w:r>
      <w:r>
        <w:rPr>
          <w:spacing w:val="-64"/>
        </w:rPr>
        <w:t> </w:t>
      </w:r>
      <w:r>
        <w:rPr>
          <w:rFonts w:ascii="Arial" w:hAnsi="Arial" w:cs="Arial" w:eastAsia="Arial" w:hint="default"/>
        </w:rPr>
        <w:t>5</w:t>
      </w:r>
      <w:r>
        <w:rPr>
          <w:rFonts w:ascii="Arial" w:hAnsi="Arial" w:cs="Arial" w:eastAsia="Arial" w:hint="default"/>
          <w:spacing w:val="-12"/>
        </w:rPr>
        <w:t> </w:t>
      </w:r>
      <w:r>
        <w:rPr/>
        <w:t>月，本公司非公开发行人民币普通股</w:t>
      </w:r>
      <w:r>
        <w:rPr>
          <w:rFonts w:ascii="Arial" w:hAnsi="Arial" w:cs="Arial" w:eastAsia="Arial" w:hint="default"/>
        </w:rPr>
        <w:t>(A</w:t>
      </w:r>
      <w:r>
        <w:rPr>
          <w:rFonts w:ascii="Arial" w:hAnsi="Arial" w:cs="Arial" w:eastAsia="Arial" w:hint="default"/>
          <w:spacing w:val="-13"/>
        </w:rPr>
        <w:t> </w:t>
      </w:r>
      <w:r>
        <w:rPr/>
        <w:t>股</w:t>
      </w:r>
      <w:r>
        <w:rPr>
          <w:rFonts w:ascii="Arial" w:hAnsi="Arial" w:cs="Arial" w:eastAsia="Arial" w:hint="default"/>
        </w:rPr>
        <w:t>)5,400</w:t>
      </w:r>
      <w:r>
        <w:rPr>
          <w:rFonts w:ascii="Arial" w:hAnsi="Arial" w:cs="Arial" w:eastAsia="Arial" w:hint="default"/>
          <w:spacing w:val="-12"/>
        </w:rPr>
        <w:t> </w:t>
      </w:r>
      <w:r>
        <w:rPr/>
        <w:t>万股，每股面值人民 币 </w:t>
      </w:r>
      <w:r>
        <w:rPr>
          <w:rFonts w:ascii="Arial" w:hAnsi="Arial" w:cs="Arial" w:eastAsia="Arial" w:hint="default"/>
        </w:rPr>
        <w:t>1 </w:t>
      </w:r>
      <w:r>
        <w:rPr/>
        <w:t>元，发行价格为每股人民币 </w:t>
      </w:r>
      <w:r>
        <w:rPr>
          <w:rFonts w:ascii="Arial" w:hAnsi="Arial" w:cs="Arial" w:eastAsia="Arial" w:hint="default"/>
        </w:rPr>
        <w:t>45 </w:t>
      </w:r>
      <w:r>
        <w:rPr/>
        <w:t>元，扣除发行费用后增加资本公积约人民币</w:t>
      </w:r>
      <w:r>
        <w:rPr>
          <w:spacing w:val="-51"/>
        </w:rPr>
        <w:t> </w:t>
      </w:r>
      <w:r>
        <w:rPr>
          <w:rFonts w:ascii="Arial" w:hAnsi="Arial" w:cs="Arial" w:eastAsia="Arial" w:hint="default"/>
        </w:rPr>
        <w:t>23.66</w:t>
      </w:r>
      <w:r>
        <w:rPr>
          <w:rFonts w:ascii="Arial" w:hAnsi="Arial" w:cs="Arial" w:eastAsia="Arial" w:hint="default"/>
          <w:spacing w:val="-1"/>
          <w:w w:val="99"/>
        </w:rPr>
        <w:t> </w:t>
      </w:r>
      <w:r>
        <w:rPr/>
        <w:t>亿元。</w:t>
      </w:r>
    </w:p>
    <w:p>
      <w:pPr>
        <w:spacing w:line="240" w:lineRule="auto" w:before="10"/>
        <w:rPr>
          <w:rFonts w:ascii="宋体" w:hAnsi="宋体" w:cs="宋体" w:eastAsia="宋体" w:hint="default"/>
          <w:sz w:val="18"/>
          <w:szCs w:val="18"/>
        </w:rPr>
      </w:pPr>
    </w:p>
    <w:p>
      <w:pPr>
        <w:pStyle w:val="BodyText"/>
        <w:spacing w:line="322" w:lineRule="exact"/>
        <w:ind w:left="1381" w:right="0"/>
        <w:jc w:val="left"/>
      </w:pPr>
      <w:r>
        <w:rPr/>
        <w:t>经于</w:t>
      </w:r>
      <w:r>
        <w:rPr>
          <w:spacing w:val="-64"/>
        </w:rPr>
        <w:t> </w:t>
      </w:r>
      <w:r>
        <w:rPr>
          <w:rFonts w:ascii="Arial" w:hAnsi="Arial" w:cs="Arial" w:eastAsia="Arial" w:hint="default"/>
        </w:rPr>
        <w:t>2008</w:t>
      </w:r>
      <w:r>
        <w:rPr>
          <w:rFonts w:ascii="Arial" w:hAnsi="Arial" w:cs="Arial" w:eastAsia="Arial" w:hint="default"/>
          <w:spacing w:val="-10"/>
        </w:rPr>
        <w:t> </w:t>
      </w:r>
      <w:r>
        <w:rPr/>
        <w:t>年</w:t>
      </w:r>
      <w:r>
        <w:rPr>
          <w:spacing w:val="-64"/>
        </w:rPr>
        <w:t> </w:t>
      </w:r>
      <w:r>
        <w:rPr>
          <w:rFonts w:ascii="Arial" w:hAnsi="Arial" w:cs="Arial" w:eastAsia="Arial" w:hint="default"/>
        </w:rPr>
        <w:t>9</w:t>
      </w:r>
      <w:r>
        <w:rPr>
          <w:rFonts w:ascii="Arial" w:hAnsi="Arial" w:cs="Arial" w:eastAsia="Arial" w:hint="default"/>
          <w:spacing w:val="-10"/>
        </w:rPr>
        <w:t> </w:t>
      </w:r>
      <w:r>
        <w:rPr/>
        <w:t>月</w:t>
      </w:r>
      <w:r>
        <w:rPr>
          <w:spacing w:val="-64"/>
        </w:rPr>
        <w:t> </w:t>
      </w:r>
      <w:r>
        <w:rPr>
          <w:rFonts w:ascii="Arial" w:hAnsi="Arial" w:cs="Arial" w:eastAsia="Arial" w:hint="default"/>
        </w:rPr>
        <w:t>16</w:t>
      </w:r>
      <w:r>
        <w:rPr>
          <w:rFonts w:ascii="Arial" w:hAnsi="Arial" w:cs="Arial" w:eastAsia="Arial" w:hint="default"/>
          <w:spacing w:val="-10"/>
        </w:rPr>
        <w:t> </w:t>
      </w:r>
      <w:r>
        <w:rPr/>
        <w:t>日召开的</w:t>
      </w:r>
      <w:r>
        <w:rPr>
          <w:spacing w:val="-64"/>
        </w:rPr>
        <w:t> </w:t>
      </w:r>
      <w:r>
        <w:rPr>
          <w:rFonts w:ascii="Arial" w:hAnsi="Arial" w:cs="Arial" w:eastAsia="Arial" w:hint="default"/>
        </w:rPr>
        <w:t>2008</w:t>
      </w:r>
      <w:r>
        <w:rPr>
          <w:rFonts w:ascii="Arial" w:hAnsi="Arial" w:cs="Arial" w:eastAsia="Arial" w:hint="default"/>
          <w:spacing w:val="-10"/>
        </w:rPr>
        <w:t> </w:t>
      </w:r>
      <w:r>
        <w:rPr/>
        <w:t>年第一次临时股东大会决议通过，本公司以资</w:t>
      </w:r>
    </w:p>
    <w:p>
      <w:pPr>
        <w:pStyle w:val="BodyText"/>
        <w:spacing w:line="322" w:lineRule="exact"/>
        <w:ind w:left="901" w:right="741"/>
        <w:jc w:val="left"/>
      </w:pPr>
      <w:r>
        <w:rPr/>
        <w:t>本公积转增股本人民币</w:t>
      </w:r>
      <w:r>
        <w:rPr>
          <w:spacing w:val="-66"/>
        </w:rPr>
        <w:t> </w:t>
      </w:r>
      <w:r>
        <w:rPr>
          <w:rFonts w:ascii="Arial" w:hAnsi="Arial" w:cs="Arial" w:eastAsia="Arial" w:hint="default"/>
        </w:rPr>
        <w:t>1,495,504,000</w:t>
      </w:r>
      <w:r>
        <w:rPr>
          <w:rFonts w:ascii="Arial" w:hAnsi="Arial" w:cs="Arial" w:eastAsia="Arial" w:hint="default"/>
          <w:spacing w:val="-13"/>
        </w:rPr>
        <w:t> </w:t>
      </w:r>
      <w:r>
        <w:rPr/>
        <w:t>元。</w:t>
      </w:r>
    </w:p>
    <w:p>
      <w:pPr>
        <w:spacing w:after="0" w:line="322" w:lineRule="exact"/>
        <w:jc w:val="left"/>
        <w:sectPr>
          <w:type w:val="continuous"/>
          <w:pgSz w:w="11910" w:h="16840"/>
          <w:pgMar w:top="1600" w:bottom="280" w:left="860" w:right="720"/>
        </w:sectPr>
      </w:pPr>
    </w:p>
    <w:p>
      <w:pPr>
        <w:spacing w:line="240" w:lineRule="auto" w:before="0"/>
        <w:rPr>
          <w:rFonts w:ascii="宋体" w:hAnsi="宋体" w:cs="宋体" w:eastAsia="宋体" w:hint="default"/>
          <w:sz w:val="20"/>
          <w:szCs w:val="20"/>
        </w:rPr>
      </w:pPr>
    </w:p>
    <w:p>
      <w:pPr>
        <w:pStyle w:val="Heading2"/>
        <w:tabs>
          <w:tab w:pos="829" w:val="left" w:leader="none"/>
        </w:tabs>
        <w:spacing w:line="240" w:lineRule="auto" w:before="158"/>
        <w:ind w:left="117"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06" w:val="left" w:leader="none"/>
        </w:tabs>
        <w:spacing w:before="0"/>
        <w:ind w:left="18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(26)</w:t>
        <w:tab/>
      </w:r>
      <w:r>
        <w:rPr>
          <w:rFonts w:ascii="宋体" w:hAnsi="宋体" w:cs="宋体" w:eastAsia="宋体" w:hint="default"/>
          <w:b/>
          <w:bCs/>
          <w:sz w:val="24"/>
          <w:szCs w:val="24"/>
        </w:rPr>
        <w:t>盈余公积</w:t>
      </w:r>
      <w:r>
        <w:rPr>
          <w:rFonts w:ascii="宋体" w:hAnsi="宋体" w:cs="宋体" w:eastAsia="宋体" w:hint="default"/>
          <w:sz w:val="24"/>
          <w:szCs w:val="24"/>
        </w:rPr>
      </w:r>
    </w:p>
    <w:p>
      <w:pPr>
        <w:spacing w:line="240" w:lineRule="auto" w:before="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52" w:footer="707" w:top="1020" w:bottom="900" w:left="860" w:right="800"/>
        </w:sectPr>
      </w:pPr>
    </w:p>
    <w:p>
      <w:pPr>
        <w:pStyle w:val="BodyText"/>
        <w:spacing w:line="322" w:lineRule="exact" w:before="26"/>
        <w:ind w:left="3987" w:right="3330"/>
        <w:jc w:val="center"/>
      </w:pPr>
      <w:r>
        <w:rPr>
          <w:rFonts w:ascii="Arial" w:hAnsi="Arial" w:cs="Arial" w:eastAsia="Arial" w:hint="default"/>
        </w:rPr>
        <w:t>2007</w:t>
      </w:r>
      <w:r>
        <w:rPr>
          <w:rFonts w:ascii="Arial" w:hAnsi="Arial" w:cs="Arial" w:eastAsia="Arial" w:hint="default"/>
          <w:spacing w:val="-11"/>
        </w:rPr>
        <w:t> </w:t>
      </w:r>
      <w:r>
        <w:rPr/>
        <w:t>年</w:t>
      </w:r>
    </w:p>
    <w:p>
      <w:pPr>
        <w:pStyle w:val="BodyText"/>
        <w:tabs>
          <w:tab w:pos="5561" w:val="left" w:leader="none"/>
          <w:tab w:pos="7226" w:val="left" w:leader="none"/>
        </w:tabs>
        <w:spacing w:line="312" w:lineRule="exact"/>
        <w:ind w:left="3644"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本年提取</w:t>
        <w:tab/>
        <w:t>本年减少</w:t>
      </w:r>
    </w:p>
    <w:p>
      <w:pPr>
        <w:pStyle w:val="BodyText"/>
        <w:spacing w:line="322" w:lineRule="exact"/>
        <w:ind w:left="0" w:right="569"/>
        <w:jc w:val="righ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r>
      <w:r>
        <w:rPr>
          <w:rFonts w:ascii="Arial" w:hAnsi="Arial" w:cs="Arial" w:eastAsia="Arial" w:hint="default"/>
        </w:rPr>
      </w:r>
    </w:p>
    <w:p>
      <w:pPr>
        <w:pStyle w:val="BodyText"/>
        <w:spacing w:line="322" w:lineRule="exact" w:before="26"/>
        <w:ind w:left="1008" w:right="0"/>
        <w:jc w:val="lef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647"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860" w:right="800"/>
          <w:cols w:num="2" w:equalWidth="0">
            <w:col w:w="8187" w:space="40"/>
            <w:col w:w="2023"/>
          </w:cols>
        </w:sectPr>
      </w:pPr>
    </w:p>
    <w:p>
      <w:pPr>
        <w:spacing w:line="240" w:lineRule="auto" w:before="8"/>
        <w:rPr>
          <w:rFonts w:ascii="宋体" w:hAnsi="宋体" w:cs="宋体" w:eastAsia="宋体" w:hint="default"/>
          <w:sz w:val="17"/>
          <w:szCs w:val="17"/>
        </w:rPr>
      </w:pPr>
    </w:p>
    <w:p>
      <w:pPr>
        <w:pStyle w:val="BodyText"/>
        <w:tabs>
          <w:tab w:pos="3212" w:val="left" w:leader="none"/>
          <w:tab w:pos="3972" w:val="left" w:leader="none"/>
          <w:tab w:pos="5253" w:val="left" w:leader="none"/>
          <w:tab w:pos="5654" w:val="left" w:leader="none"/>
          <w:tab w:pos="6879" w:val="left" w:leader="none"/>
          <w:tab w:pos="8106" w:val="left" w:leader="none"/>
          <w:tab w:pos="8532" w:val="left" w:leader="none"/>
          <w:tab w:pos="9201" w:val="left" w:leader="none"/>
          <w:tab w:pos="10133" w:val="left" w:leader="none"/>
        </w:tabs>
        <w:spacing w:line="240" w:lineRule="auto" w:before="24"/>
        <w:ind w:left="870" w:right="0"/>
        <w:jc w:val="left"/>
        <w:rPr>
          <w:rFonts w:ascii="Arial" w:hAnsi="Arial" w:cs="Arial" w:eastAsia="Arial" w:hint="default"/>
        </w:rPr>
      </w:pPr>
      <w:r>
        <w:rPr>
          <w:position w:val="2"/>
        </w:rPr>
        <w:t>法定盈余公积金</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223,870</w:t>
      </w:r>
      <w:r>
        <w:rPr>
          <w:rFonts w:ascii="Arial" w:hAnsi="Arial" w:cs="Arial" w:eastAsia="Arial" w:hint="default"/>
          <w:spacing w:val="-1"/>
        </w:rPr>
        <w:tab/>
      </w:r>
      <w:r>
        <w:rPr>
          <w:rFonts w:ascii="Arial" w:hAnsi="Arial" w:cs="Arial" w:eastAsia="Arial" w:hint="default"/>
          <w:spacing w:val="-1"/>
          <w:u w:val="thick" w:color="000000"/>
        </w:rPr>
        <w:t> </w:t>
        <w:tab/>
        <w:t>140,400</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r>
      <w:r>
        <w:rPr>
          <w:rFonts w:ascii="Arial" w:hAnsi="Arial" w:cs="Arial" w:eastAsia="Arial" w:hint="default"/>
          <w:spacing w:val="-1"/>
          <w:u w:val="thick" w:color="000000"/>
        </w:rPr>
        <w:t>364,270</w:t>
        <w:tab/>
      </w:r>
      <w:r>
        <w:rPr>
          <w:rFonts w:ascii="Arial" w:hAnsi="Arial" w:cs="Arial" w:eastAsia="Arial" w:hint="default"/>
          <w:spacing w:val="-1"/>
        </w:rPr>
      </w:r>
    </w:p>
    <w:p>
      <w:pPr>
        <w:spacing w:line="240" w:lineRule="auto" w:before="4"/>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1600" w:bottom="280" w:left="860" w:right="800"/>
        </w:sectPr>
      </w:pPr>
    </w:p>
    <w:p>
      <w:pPr>
        <w:pStyle w:val="BodyText"/>
        <w:spacing w:line="322" w:lineRule="exact" w:before="26"/>
        <w:ind w:left="3987" w:right="3330"/>
        <w:jc w:val="center"/>
      </w:pPr>
      <w:r>
        <w:rPr>
          <w:rFonts w:ascii="Arial" w:hAnsi="Arial" w:cs="Arial" w:eastAsia="Arial" w:hint="default"/>
        </w:rPr>
        <w:t>2006</w:t>
      </w:r>
      <w:r>
        <w:rPr>
          <w:rFonts w:ascii="Arial" w:hAnsi="Arial" w:cs="Arial" w:eastAsia="Arial" w:hint="default"/>
          <w:spacing w:val="-11"/>
        </w:rPr>
        <w:t> </w:t>
      </w:r>
      <w:r>
        <w:rPr/>
        <w:t>年</w:t>
      </w:r>
    </w:p>
    <w:p>
      <w:pPr>
        <w:pStyle w:val="BodyText"/>
        <w:tabs>
          <w:tab w:pos="5561" w:val="left" w:leader="none"/>
          <w:tab w:pos="7226" w:val="left" w:leader="none"/>
        </w:tabs>
        <w:spacing w:line="312" w:lineRule="exact"/>
        <w:ind w:left="3644"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本年提取</w:t>
        <w:tab/>
        <w:t>本年减少</w:t>
      </w:r>
    </w:p>
    <w:p>
      <w:pPr>
        <w:pStyle w:val="BodyText"/>
        <w:spacing w:line="322" w:lineRule="exact"/>
        <w:ind w:left="0" w:right="569"/>
        <w:jc w:val="righ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r>
      <w:r>
        <w:rPr>
          <w:rFonts w:ascii="Arial" w:hAnsi="Arial" w:cs="Arial" w:eastAsia="Arial" w:hint="default"/>
        </w:rPr>
      </w:r>
    </w:p>
    <w:p>
      <w:pPr>
        <w:pStyle w:val="BodyText"/>
        <w:spacing w:line="322" w:lineRule="exact" w:before="26"/>
        <w:ind w:left="1008" w:right="0"/>
        <w:jc w:val="left"/>
      </w:pPr>
      <w:r>
        <w:rPr/>
        <w:br w:type="column"/>
      </w: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647"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860" w:right="800"/>
          <w:cols w:num="2" w:equalWidth="0">
            <w:col w:w="8187" w:space="40"/>
            <w:col w:w="2023"/>
          </w:cols>
        </w:sectPr>
      </w:pPr>
    </w:p>
    <w:p>
      <w:pPr>
        <w:spacing w:line="240" w:lineRule="auto" w:before="8"/>
        <w:rPr>
          <w:rFonts w:ascii="宋体" w:hAnsi="宋体" w:cs="宋体" w:eastAsia="宋体" w:hint="default"/>
          <w:sz w:val="17"/>
          <w:szCs w:val="17"/>
        </w:rPr>
      </w:pPr>
    </w:p>
    <w:p>
      <w:pPr>
        <w:pStyle w:val="BodyText"/>
        <w:tabs>
          <w:tab w:pos="3205" w:val="left" w:leader="none"/>
          <w:tab w:pos="3972" w:val="left" w:leader="none"/>
          <w:tab w:pos="5246" w:val="left" w:leader="none"/>
          <w:tab w:pos="5788" w:val="left" w:leader="none"/>
          <w:tab w:pos="6872" w:val="left" w:leader="none"/>
          <w:tab w:pos="8106" w:val="left" w:leader="none"/>
          <w:tab w:pos="8525" w:val="left" w:leader="none"/>
          <w:tab w:pos="9201" w:val="left" w:leader="none"/>
          <w:tab w:pos="10140" w:val="left" w:leader="none"/>
        </w:tabs>
        <w:spacing w:line="240" w:lineRule="auto" w:before="24"/>
        <w:ind w:left="870" w:right="0"/>
        <w:jc w:val="left"/>
        <w:rPr>
          <w:rFonts w:ascii="Arial" w:hAnsi="Arial" w:cs="Arial" w:eastAsia="Arial" w:hint="default"/>
        </w:rPr>
      </w:pPr>
      <w:r>
        <w:rPr>
          <w:position w:val="2"/>
        </w:rPr>
        <w:t>法定盈余公积金</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131,018</w:t>
      </w:r>
      <w:r>
        <w:rPr>
          <w:rFonts w:ascii="Arial" w:hAnsi="Arial" w:cs="Arial" w:eastAsia="Arial" w:hint="default"/>
          <w:spacing w:val="-1"/>
        </w:rPr>
        <w:tab/>
      </w:r>
      <w:r>
        <w:rPr>
          <w:rFonts w:ascii="Arial" w:hAnsi="Arial" w:cs="Arial" w:eastAsia="Arial" w:hint="default"/>
          <w:spacing w:val="-1"/>
          <w:u w:val="thick" w:color="000000"/>
        </w:rPr>
        <w:t> </w:t>
        <w:tab/>
        <w:t>92,852</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r>
      <w:r>
        <w:rPr>
          <w:rFonts w:ascii="Arial" w:hAnsi="Arial" w:cs="Arial" w:eastAsia="Arial" w:hint="default"/>
          <w:spacing w:val="-1"/>
          <w:u w:val="thick" w:color="000000"/>
        </w:rPr>
        <w:t>223,870</w:t>
        <w:tab/>
      </w:r>
      <w:r>
        <w:rPr>
          <w:rFonts w:ascii="Arial" w:hAnsi="Arial" w:cs="Arial" w:eastAsia="Arial" w:hint="default"/>
          <w:spacing w:val="-1"/>
        </w:rPr>
      </w:r>
    </w:p>
    <w:p>
      <w:pPr>
        <w:spacing w:line="240" w:lineRule="auto" w:before="1"/>
        <w:rPr>
          <w:rFonts w:ascii="Arial" w:hAnsi="Arial" w:cs="Arial" w:eastAsia="Arial" w:hint="default"/>
          <w:sz w:val="18"/>
          <w:szCs w:val="18"/>
        </w:rPr>
      </w:pPr>
    </w:p>
    <w:p>
      <w:pPr>
        <w:pStyle w:val="BodyText"/>
        <w:spacing w:line="312" w:lineRule="exact" w:before="56"/>
        <w:ind w:left="870" w:right="171"/>
        <w:jc w:val="both"/>
      </w:pPr>
      <w:r>
        <w:rPr>
          <w:spacing w:val="-13"/>
        </w:rPr>
        <w:t>根据《中华人民共和国公司法》、本公司章程及董事会的决议，本公司按年度净利润的</w:t>
      </w:r>
      <w:r>
        <w:rPr>
          <w:spacing w:val="-34"/>
        </w:rPr>
        <w:t> </w:t>
      </w:r>
      <w:r>
        <w:rPr>
          <w:rFonts w:ascii="Arial" w:hAnsi="Arial" w:cs="Arial" w:eastAsia="Arial" w:hint="default"/>
          <w:spacing w:val="-1"/>
          <w:w w:val="99"/>
        </w:rPr>
        <w:t>10%</w:t>
      </w:r>
      <w:r>
        <w:rPr>
          <w:rFonts w:ascii="Arial" w:hAnsi="Arial" w:cs="Arial" w:eastAsia="Arial" w:hint="default"/>
          <w:spacing w:val="-61"/>
          <w:w w:val="99"/>
        </w:rPr>
        <w:t> </w:t>
      </w:r>
      <w:r>
        <w:rPr/>
        <w:t>提取法定盈余公积金，当法定盈余公积金累计额达到股本的</w:t>
      </w:r>
      <w:r>
        <w:rPr>
          <w:spacing w:val="-44"/>
        </w:rPr>
        <w:t> </w:t>
      </w:r>
      <w:r>
        <w:rPr>
          <w:rFonts w:ascii="Arial" w:hAnsi="Arial" w:cs="Arial" w:eastAsia="Arial" w:hint="default"/>
        </w:rPr>
        <w:t>50%</w:t>
      </w:r>
      <w:r>
        <w:rPr/>
        <w:t>以上时，可不再提取。 法定盈余公积金经批准后可用于弥补亏损，或者增加股本。本公司 </w:t>
      </w:r>
      <w:r>
        <w:rPr>
          <w:rFonts w:ascii="Arial" w:hAnsi="Arial" w:cs="Arial" w:eastAsia="Arial" w:hint="default"/>
        </w:rPr>
        <w:t>2008</w:t>
      </w:r>
      <w:r>
        <w:rPr>
          <w:rFonts w:ascii="Arial" w:hAnsi="Arial" w:cs="Arial" w:eastAsia="Arial" w:hint="default"/>
          <w:spacing w:val="56"/>
        </w:rPr>
        <w:t> </w:t>
      </w:r>
      <w:r>
        <w:rPr/>
        <w:t>年按净利润的</w:t>
      </w:r>
      <w:r>
        <w:rPr>
          <w:spacing w:val="1"/>
        </w:rPr>
        <w:t> </w:t>
      </w:r>
      <w:r>
        <w:rPr>
          <w:rFonts w:ascii="Arial" w:hAnsi="Arial" w:cs="Arial" w:eastAsia="Arial" w:hint="default"/>
        </w:rPr>
        <w:t>10%</w:t>
      </w:r>
      <w:r>
        <w:rPr/>
        <w:t>提取法定盈余公积金约人民币</w:t>
      </w:r>
      <w:r>
        <w:rPr>
          <w:spacing w:val="-60"/>
        </w:rPr>
        <w:t> </w:t>
      </w:r>
      <w:r>
        <w:rPr>
          <w:rFonts w:ascii="Arial" w:hAnsi="Arial" w:cs="Arial" w:eastAsia="Arial" w:hint="default"/>
        </w:rPr>
        <w:t>1.40</w:t>
      </w:r>
      <w:r>
        <w:rPr>
          <w:rFonts w:ascii="Arial" w:hAnsi="Arial" w:cs="Arial" w:eastAsia="Arial" w:hint="default"/>
          <w:spacing w:val="-7"/>
        </w:rPr>
        <w:t> </w:t>
      </w:r>
      <w:r>
        <w:rPr/>
        <w:t>亿元</w:t>
      </w:r>
      <w:r>
        <w:rPr>
          <w:rFonts w:ascii="Arial" w:hAnsi="Arial" w:cs="Arial" w:eastAsia="Arial" w:hint="default"/>
        </w:rPr>
        <w:t>(2007</w:t>
      </w:r>
      <w:r>
        <w:rPr>
          <w:rFonts w:ascii="Arial" w:hAnsi="Arial" w:cs="Arial" w:eastAsia="Arial" w:hint="default"/>
          <w:spacing w:val="-7"/>
        </w:rPr>
        <w:t> </w:t>
      </w:r>
      <w:r>
        <w:rPr>
          <w:spacing w:val="-4"/>
        </w:rPr>
        <w:t>年：按净利润的</w:t>
      </w:r>
      <w:r>
        <w:rPr>
          <w:spacing w:val="-60"/>
        </w:rPr>
        <w:t> </w:t>
      </w:r>
      <w:r>
        <w:rPr>
          <w:rFonts w:ascii="Arial" w:hAnsi="Arial" w:cs="Arial" w:eastAsia="Arial" w:hint="default"/>
          <w:spacing w:val="-3"/>
        </w:rPr>
        <w:t>10%</w:t>
      </w:r>
      <w:r>
        <w:rPr>
          <w:spacing w:val="-3"/>
        </w:rPr>
        <w:t>提取，约人民币</w:t>
      </w:r>
    </w:p>
    <w:p>
      <w:pPr>
        <w:pStyle w:val="BodyText"/>
        <w:spacing w:line="300" w:lineRule="exact"/>
        <w:ind w:left="870" w:right="0"/>
        <w:jc w:val="both"/>
      </w:pPr>
      <w:r>
        <w:rPr>
          <w:rFonts w:ascii="Arial" w:hAnsi="Arial" w:cs="Arial" w:eastAsia="Arial" w:hint="default"/>
        </w:rPr>
        <w:t>9,285</w:t>
      </w:r>
      <w:r>
        <w:rPr>
          <w:rFonts w:ascii="Arial" w:hAnsi="Arial" w:cs="Arial" w:eastAsia="Arial" w:hint="default"/>
          <w:spacing w:val="-12"/>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tabs>
          <w:tab w:pos="906" w:val="left" w:leader="none"/>
        </w:tabs>
        <w:spacing w:before="0"/>
        <w:ind w:left="18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(27)</w:t>
        <w:tab/>
      </w:r>
      <w:r>
        <w:rPr>
          <w:rFonts w:ascii="宋体" w:hAnsi="宋体" w:cs="宋体" w:eastAsia="宋体" w:hint="default"/>
          <w:b/>
          <w:bCs/>
          <w:sz w:val="24"/>
          <w:szCs w:val="24"/>
        </w:rPr>
        <w:t>未分配利润</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22" w:lineRule="exact"/>
        <w:ind w:left="902" w:right="0"/>
        <w:jc w:val="both"/>
      </w:pPr>
      <w:r>
        <w:rPr/>
        <w:t>于</w:t>
      </w:r>
      <w:r>
        <w:rPr>
          <w:spacing w:val="-58"/>
        </w:rPr>
        <w:t> </w:t>
      </w:r>
      <w:r>
        <w:rPr>
          <w:rFonts w:ascii="Arial" w:hAnsi="Arial" w:cs="Arial" w:eastAsia="Arial" w:hint="default"/>
        </w:rPr>
        <w:t>2008</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日，未分配利润中包含归属于母公司的子公司盈余公积余额约人民</w:t>
      </w:r>
    </w:p>
    <w:p>
      <w:pPr>
        <w:pStyle w:val="BodyText"/>
        <w:spacing w:line="312" w:lineRule="exact"/>
        <w:ind w:left="920" w:right="0"/>
        <w:jc w:val="both"/>
      </w:pPr>
      <w:r>
        <w:rPr/>
        <w:t>币</w:t>
      </w:r>
      <w:r>
        <w:rPr>
          <w:spacing w:val="-60"/>
        </w:rPr>
        <w:t> </w:t>
      </w:r>
      <w:r>
        <w:rPr>
          <w:rFonts w:ascii="Arial" w:hAnsi="Arial" w:cs="Arial" w:eastAsia="Arial" w:hint="default"/>
        </w:rPr>
        <w:t>2.96</w:t>
      </w:r>
      <w:r>
        <w:rPr>
          <w:rFonts w:ascii="Arial" w:hAnsi="Arial" w:cs="Arial" w:eastAsia="Arial" w:hint="default"/>
          <w:spacing w:val="-7"/>
        </w:rPr>
        <w:t> </w:t>
      </w:r>
      <w:r>
        <w:rPr/>
        <w:t>亿元</w:t>
      </w:r>
      <w:r>
        <w:rPr>
          <w:rFonts w:ascii="Arial" w:hAnsi="Arial" w:cs="Arial" w:eastAsia="Arial" w:hint="default"/>
        </w:rPr>
        <w:t>(2007</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日：约人民币</w:t>
      </w:r>
      <w:r>
        <w:rPr>
          <w:spacing w:val="-61"/>
        </w:rPr>
        <w:t> </w:t>
      </w:r>
      <w:r>
        <w:rPr>
          <w:rFonts w:ascii="Arial" w:hAnsi="Arial" w:cs="Arial" w:eastAsia="Arial" w:hint="default"/>
        </w:rPr>
        <w:t>1.80</w:t>
      </w:r>
      <w:r>
        <w:rPr>
          <w:rFonts w:ascii="Arial" w:hAnsi="Arial" w:cs="Arial" w:eastAsia="Arial" w:hint="default"/>
          <w:spacing w:val="-7"/>
        </w:rPr>
        <w:t> </w:t>
      </w:r>
      <w:r>
        <w:rPr>
          <w:spacing w:val="-3"/>
        </w:rPr>
        <w:t>亿元</w:t>
      </w:r>
      <w:r>
        <w:rPr>
          <w:rFonts w:ascii="Arial" w:hAnsi="Arial" w:cs="Arial" w:eastAsia="Arial" w:hint="default"/>
          <w:spacing w:val="-3"/>
        </w:rPr>
        <w:t>)</w:t>
      </w:r>
      <w:r>
        <w:rPr>
          <w:spacing w:val="-3"/>
        </w:rPr>
        <w:t>，其中子公司本年度计提的归属</w:t>
      </w:r>
    </w:p>
    <w:p>
      <w:pPr>
        <w:pStyle w:val="BodyText"/>
        <w:spacing w:line="322" w:lineRule="exact"/>
        <w:ind w:left="920" w:right="0"/>
        <w:jc w:val="both"/>
      </w:pPr>
      <w:r>
        <w:rPr/>
        <w:t>于母公司的盈余公积约人民币</w:t>
      </w:r>
      <w:r>
        <w:rPr>
          <w:spacing w:val="-63"/>
        </w:rPr>
        <w:t> </w:t>
      </w:r>
      <w:r>
        <w:rPr>
          <w:rFonts w:ascii="Arial" w:hAnsi="Arial" w:cs="Arial" w:eastAsia="Arial" w:hint="default"/>
        </w:rPr>
        <w:t>1.16</w:t>
      </w:r>
      <w:r>
        <w:rPr>
          <w:rFonts w:ascii="Arial" w:hAnsi="Arial" w:cs="Arial" w:eastAsia="Arial" w:hint="default"/>
          <w:spacing w:val="-10"/>
        </w:rPr>
        <w:t> </w:t>
      </w:r>
      <w:r>
        <w:rPr/>
        <w:t>亿元</w:t>
      </w:r>
      <w:r>
        <w:rPr>
          <w:rFonts w:ascii="Arial" w:hAnsi="Arial" w:cs="Arial" w:eastAsia="Arial" w:hint="default"/>
        </w:rPr>
        <w:t>(2007</w:t>
      </w:r>
      <w:r>
        <w:rPr>
          <w:rFonts w:ascii="Arial" w:hAnsi="Arial" w:cs="Arial" w:eastAsia="Arial" w:hint="default"/>
          <w:spacing w:val="-10"/>
        </w:rPr>
        <w:t> </w:t>
      </w:r>
      <w:r>
        <w:rPr/>
        <w:t>年：约人民币</w:t>
      </w:r>
      <w:r>
        <w:rPr>
          <w:spacing w:val="-63"/>
        </w:rPr>
        <w:t> </w:t>
      </w:r>
      <w:r>
        <w:rPr>
          <w:rFonts w:ascii="Arial" w:hAnsi="Arial" w:cs="Arial" w:eastAsia="Arial" w:hint="default"/>
        </w:rPr>
        <w:t>0.71</w:t>
      </w:r>
      <w:r>
        <w:rPr>
          <w:rFonts w:ascii="Arial" w:hAnsi="Arial" w:cs="Arial" w:eastAsia="Arial" w:hint="default"/>
          <w:spacing w:val="-10"/>
        </w:rPr>
        <w:t> </w:t>
      </w:r>
      <w:r>
        <w:rPr/>
        <w:t>亿元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322" w:lineRule="exact"/>
        <w:ind w:left="902" w:right="0"/>
        <w:jc w:val="both"/>
      </w:pPr>
      <w:r>
        <w:rPr/>
        <w:t>于</w:t>
      </w:r>
      <w:r>
        <w:rPr>
          <w:spacing w:val="-64"/>
        </w:rPr>
        <w:t> </w:t>
      </w:r>
      <w:r>
        <w:rPr>
          <w:rFonts w:ascii="Arial" w:hAnsi="Arial" w:cs="Arial" w:eastAsia="Arial" w:hint="default"/>
        </w:rPr>
        <w:t>2008</w:t>
      </w:r>
      <w:r>
        <w:rPr>
          <w:rFonts w:ascii="Arial" w:hAnsi="Arial" w:cs="Arial" w:eastAsia="Arial" w:hint="default"/>
          <w:spacing w:val="-11"/>
        </w:rPr>
        <w:t> </w:t>
      </w:r>
      <w:r>
        <w:rPr/>
        <w:t>年</w:t>
      </w:r>
      <w:r>
        <w:rPr>
          <w:spacing w:val="-63"/>
        </w:rPr>
        <w:t> </w:t>
      </w:r>
      <w:r>
        <w:rPr>
          <w:rFonts w:ascii="Arial" w:hAnsi="Arial" w:cs="Arial" w:eastAsia="Arial" w:hint="default"/>
        </w:rPr>
        <w:t>3</w:t>
      </w:r>
      <w:r>
        <w:rPr>
          <w:rFonts w:ascii="Arial" w:hAnsi="Arial" w:cs="Arial" w:eastAsia="Arial" w:hint="default"/>
          <w:spacing w:val="-11"/>
        </w:rPr>
        <w:t> </w:t>
      </w:r>
      <w:r>
        <w:rPr/>
        <w:t>月</w:t>
      </w:r>
      <w:r>
        <w:rPr>
          <w:spacing w:val="-64"/>
        </w:rPr>
        <w:t> </w:t>
      </w:r>
      <w:r>
        <w:rPr>
          <w:rFonts w:ascii="Arial" w:hAnsi="Arial" w:cs="Arial" w:eastAsia="Arial" w:hint="default"/>
        </w:rPr>
        <w:t>20</w:t>
      </w:r>
      <w:r>
        <w:rPr>
          <w:rFonts w:ascii="Arial" w:hAnsi="Arial" w:cs="Arial" w:eastAsia="Arial" w:hint="default"/>
          <w:spacing w:val="-11"/>
        </w:rPr>
        <w:t> </w:t>
      </w:r>
      <w:r>
        <w:rPr/>
        <w:t>日召开的本公司股东大会批准了董事会提议的</w:t>
      </w:r>
      <w:r>
        <w:rPr>
          <w:spacing w:val="-64"/>
        </w:rPr>
        <w:t> </w:t>
      </w:r>
      <w:r>
        <w:rPr>
          <w:rFonts w:ascii="Arial" w:hAnsi="Arial" w:cs="Arial" w:eastAsia="Arial" w:hint="default"/>
        </w:rPr>
        <w:t>2007</w:t>
      </w:r>
      <w:r>
        <w:rPr>
          <w:rFonts w:ascii="Arial" w:hAnsi="Arial" w:cs="Arial" w:eastAsia="Arial" w:hint="default"/>
          <w:spacing w:val="-11"/>
        </w:rPr>
        <w:t> </w:t>
      </w:r>
      <w:r>
        <w:rPr/>
        <w:t>年度现金股利方</w:t>
      </w:r>
    </w:p>
    <w:p>
      <w:pPr>
        <w:pStyle w:val="BodyText"/>
        <w:spacing w:line="312" w:lineRule="exact"/>
        <w:ind w:left="920" w:right="0"/>
        <w:jc w:val="both"/>
      </w:pPr>
      <w:r>
        <w:rPr>
          <w:spacing w:val="-7"/>
        </w:rPr>
        <w:t>案，每股人民币</w:t>
      </w:r>
      <w:r>
        <w:rPr>
          <w:spacing w:val="-59"/>
        </w:rPr>
        <w:t> </w:t>
      </w:r>
      <w:r>
        <w:rPr>
          <w:rFonts w:ascii="Arial" w:hAnsi="Arial" w:cs="Arial" w:eastAsia="Arial" w:hint="default"/>
        </w:rPr>
        <w:t>0.2</w:t>
      </w:r>
      <w:r>
        <w:rPr>
          <w:rFonts w:ascii="Arial" w:hAnsi="Arial" w:cs="Arial" w:eastAsia="Arial" w:hint="default"/>
          <w:spacing w:val="-5"/>
        </w:rPr>
        <w:t> </w:t>
      </w:r>
      <w:r>
        <w:rPr>
          <w:spacing w:val="-4"/>
        </w:rPr>
        <w:t>元</w:t>
      </w:r>
      <w:r>
        <w:rPr>
          <w:rFonts w:ascii="Arial" w:hAnsi="Arial" w:cs="Arial" w:eastAsia="Arial" w:hint="default"/>
          <w:spacing w:val="-4"/>
        </w:rPr>
        <w:t>(</w:t>
      </w:r>
      <w:r>
        <w:rPr>
          <w:spacing w:val="-4"/>
        </w:rPr>
        <w:t>含税</w:t>
      </w:r>
      <w:r>
        <w:rPr>
          <w:rFonts w:ascii="Arial" w:hAnsi="Arial" w:cs="Arial" w:eastAsia="Arial" w:hint="default"/>
          <w:spacing w:val="-4"/>
        </w:rPr>
        <w:t>)</w:t>
      </w:r>
      <w:r>
        <w:rPr>
          <w:spacing w:val="-4"/>
        </w:rPr>
        <w:t>，按已发行股份</w:t>
      </w:r>
      <w:r>
        <w:rPr>
          <w:spacing w:val="-58"/>
        </w:rPr>
        <w:t> </w:t>
      </w:r>
      <w:r>
        <w:rPr>
          <w:rFonts w:ascii="Arial" w:hAnsi="Arial" w:cs="Arial" w:eastAsia="Arial" w:hint="default"/>
        </w:rPr>
        <w:t>1,441,504,000</w:t>
      </w:r>
      <w:r>
        <w:rPr>
          <w:rFonts w:ascii="Arial" w:hAnsi="Arial" w:cs="Arial" w:eastAsia="Arial" w:hint="default"/>
          <w:spacing w:val="-5"/>
        </w:rPr>
        <w:t> </w:t>
      </w:r>
      <w:r>
        <w:rPr>
          <w:spacing w:val="-4"/>
        </w:rPr>
        <w:t>股为基数，共派发现金股利</w:t>
      </w:r>
    </w:p>
    <w:p>
      <w:pPr>
        <w:pStyle w:val="BodyText"/>
        <w:spacing w:line="322" w:lineRule="exact"/>
        <w:ind w:left="920" w:right="0"/>
        <w:jc w:val="both"/>
      </w:pPr>
      <w:r>
        <w:rPr/>
        <w:t>约人民币</w:t>
      </w:r>
      <w:r>
        <w:rPr>
          <w:spacing w:val="-61"/>
        </w:rPr>
        <w:t> </w:t>
      </w:r>
      <w:r>
        <w:rPr>
          <w:rFonts w:ascii="Arial" w:hAnsi="Arial" w:cs="Arial" w:eastAsia="Arial" w:hint="default"/>
        </w:rPr>
        <w:t>28,830</w:t>
      </w:r>
      <w:r>
        <w:rPr>
          <w:rFonts w:ascii="Arial" w:hAnsi="Arial" w:cs="Arial" w:eastAsia="Arial" w:hint="default"/>
          <w:spacing w:val="-8"/>
        </w:rPr>
        <w:t> </w:t>
      </w:r>
      <w:r>
        <w:rPr/>
        <w:t>万元。</w:t>
      </w:r>
      <w:r>
        <w:rPr>
          <w:spacing w:val="-2"/>
        </w:rPr>
        <w:t> </w:t>
      </w: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3</w:t>
      </w:r>
      <w:r>
        <w:rPr>
          <w:rFonts w:ascii="Arial" w:hAnsi="Arial" w:cs="Arial" w:eastAsia="Arial" w:hint="default"/>
          <w:spacing w:val="-8"/>
        </w:rPr>
        <w:t> </w:t>
      </w:r>
      <w:r>
        <w:rPr/>
        <w:t>月</w:t>
      </w:r>
      <w:r>
        <w:rPr>
          <w:spacing w:val="-61"/>
        </w:rPr>
        <w:t> </w:t>
      </w:r>
      <w:r>
        <w:rPr>
          <w:rFonts w:ascii="Arial" w:hAnsi="Arial" w:cs="Arial" w:eastAsia="Arial" w:hint="default"/>
        </w:rPr>
        <w:t>28</w:t>
      </w:r>
      <w:r>
        <w:rPr>
          <w:rFonts w:ascii="Arial" w:hAnsi="Arial" w:cs="Arial" w:eastAsia="Arial" w:hint="default"/>
          <w:spacing w:val="-8"/>
        </w:rPr>
        <w:t> </w:t>
      </w:r>
      <w:r>
        <w:rPr/>
        <w:t>日，现金股利派发完成。</w:t>
      </w:r>
    </w:p>
    <w:p>
      <w:pPr>
        <w:spacing w:line="240" w:lineRule="auto" w:before="8"/>
        <w:rPr>
          <w:rFonts w:ascii="宋体" w:hAnsi="宋体" w:cs="宋体" w:eastAsia="宋体" w:hint="default"/>
          <w:sz w:val="19"/>
          <w:szCs w:val="19"/>
        </w:rPr>
      </w:pPr>
    </w:p>
    <w:p>
      <w:pPr>
        <w:pStyle w:val="BodyText"/>
        <w:spacing w:line="322" w:lineRule="exact"/>
        <w:ind w:left="902" w:right="0"/>
        <w:jc w:val="both"/>
      </w:pPr>
      <w:r>
        <w:rPr/>
        <w:t>于</w:t>
      </w:r>
      <w:r>
        <w:rPr>
          <w:spacing w:val="-64"/>
        </w:rPr>
        <w:t> </w:t>
      </w:r>
      <w:r>
        <w:rPr>
          <w:rFonts w:ascii="Arial" w:hAnsi="Arial" w:cs="Arial" w:eastAsia="Arial" w:hint="default"/>
        </w:rPr>
        <w:t>2008</w:t>
      </w:r>
      <w:r>
        <w:rPr>
          <w:rFonts w:ascii="Arial" w:hAnsi="Arial" w:cs="Arial" w:eastAsia="Arial" w:hint="default"/>
          <w:spacing w:val="-11"/>
        </w:rPr>
        <w:t> </w:t>
      </w:r>
      <w:r>
        <w:rPr/>
        <w:t>年</w:t>
      </w:r>
      <w:r>
        <w:rPr>
          <w:spacing w:val="-63"/>
        </w:rPr>
        <w:t> </w:t>
      </w:r>
      <w:r>
        <w:rPr>
          <w:rFonts w:ascii="Arial" w:hAnsi="Arial" w:cs="Arial" w:eastAsia="Arial" w:hint="default"/>
        </w:rPr>
        <w:t>9</w:t>
      </w:r>
      <w:r>
        <w:rPr>
          <w:rFonts w:ascii="Arial" w:hAnsi="Arial" w:cs="Arial" w:eastAsia="Arial" w:hint="default"/>
          <w:spacing w:val="-11"/>
        </w:rPr>
        <w:t> </w:t>
      </w:r>
      <w:r>
        <w:rPr/>
        <w:t>月</w:t>
      </w:r>
      <w:r>
        <w:rPr>
          <w:spacing w:val="-64"/>
        </w:rPr>
        <w:t> </w:t>
      </w:r>
      <w:r>
        <w:rPr>
          <w:rFonts w:ascii="Arial" w:hAnsi="Arial" w:cs="Arial" w:eastAsia="Arial" w:hint="default"/>
        </w:rPr>
        <w:t>16</w:t>
      </w:r>
      <w:r>
        <w:rPr>
          <w:rFonts w:ascii="Arial" w:hAnsi="Arial" w:cs="Arial" w:eastAsia="Arial" w:hint="default"/>
          <w:spacing w:val="-11"/>
        </w:rPr>
        <w:t> </w:t>
      </w:r>
      <w:r>
        <w:rPr/>
        <w:t>日召开的本公司临时股东大会批准了本公司</w:t>
      </w:r>
      <w:r>
        <w:rPr>
          <w:spacing w:val="-64"/>
        </w:rPr>
        <w:t> </w:t>
      </w:r>
      <w:r>
        <w:rPr>
          <w:rFonts w:ascii="Arial" w:hAnsi="Arial" w:cs="Arial" w:eastAsia="Arial" w:hint="default"/>
        </w:rPr>
        <w:t>2008</w:t>
      </w:r>
      <w:r>
        <w:rPr>
          <w:rFonts w:ascii="Arial" w:hAnsi="Arial" w:cs="Arial" w:eastAsia="Arial" w:hint="default"/>
          <w:spacing w:val="-11"/>
        </w:rPr>
        <w:t> </w:t>
      </w:r>
      <w:r>
        <w:rPr/>
        <w:t>年半年度现金股利</w:t>
      </w:r>
    </w:p>
    <w:p>
      <w:pPr>
        <w:pStyle w:val="BodyText"/>
        <w:spacing w:line="312" w:lineRule="exact"/>
        <w:ind w:left="920" w:right="0"/>
        <w:jc w:val="both"/>
      </w:pPr>
      <w:r>
        <w:rPr>
          <w:spacing w:val="-6"/>
        </w:rPr>
        <w:t>方案，每股人民币</w:t>
      </w:r>
      <w:r>
        <w:rPr>
          <w:spacing w:val="-61"/>
        </w:rPr>
        <w:t> </w:t>
      </w:r>
      <w:r>
        <w:rPr>
          <w:rFonts w:ascii="Arial" w:hAnsi="Arial" w:cs="Arial" w:eastAsia="Arial" w:hint="default"/>
        </w:rPr>
        <w:t>0.1</w:t>
      </w:r>
      <w:r>
        <w:rPr>
          <w:rFonts w:ascii="Arial" w:hAnsi="Arial" w:cs="Arial" w:eastAsia="Arial" w:hint="default"/>
          <w:spacing w:val="-7"/>
        </w:rPr>
        <w:t> </w:t>
      </w:r>
      <w:r>
        <w:rPr>
          <w:spacing w:val="-4"/>
        </w:rPr>
        <w:t>元</w:t>
      </w:r>
      <w:r>
        <w:rPr>
          <w:rFonts w:ascii="Arial" w:hAnsi="Arial" w:cs="Arial" w:eastAsia="Arial" w:hint="default"/>
          <w:spacing w:val="-4"/>
        </w:rPr>
        <w:t>(</w:t>
      </w:r>
      <w:r>
        <w:rPr>
          <w:spacing w:val="-4"/>
        </w:rPr>
        <w:t>含税</w:t>
      </w:r>
      <w:r>
        <w:rPr>
          <w:rFonts w:ascii="Arial" w:hAnsi="Arial" w:cs="Arial" w:eastAsia="Arial" w:hint="default"/>
          <w:spacing w:val="-4"/>
        </w:rPr>
        <w:t>)</w:t>
      </w:r>
      <w:r>
        <w:rPr>
          <w:spacing w:val="-4"/>
        </w:rPr>
        <w:t>，按转增前总股本</w:t>
      </w:r>
      <w:r>
        <w:rPr>
          <w:spacing w:val="-60"/>
        </w:rPr>
        <w:t> </w:t>
      </w:r>
      <w:r>
        <w:rPr>
          <w:rFonts w:ascii="Arial" w:hAnsi="Arial" w:cs="Arial" w:eastAsia="Arial" w:hint="default"/>
        </w:rPr>
        <w:t>1,495,504,000</w:t>
      </w:r>
      <w:r>
        <w:rPr>
          <w:rFonts w:ascii="Arial" w:hAnsi="Arial" w:cs="Arial" w:eastAsia="Arial" w:hint="default"/>
          <w:spacing w:val="-7"/>
        </w:rPr>
        <w:t> </w:t>
      </w:r>
      <w:r>
        <w:rPr>
          <w:spacing w:val="-4"/>
        </w:rPr>
        <w:t>股为基数，供派发现金</w:t>
      </w:r>
    </w:p>
    <w:p>
      <w:pPr>
        <w:pStyle w:val="BodyText"/>
        <w:spacing w:line="322" w:lineRule="exact"/>
        <w:ind w:left="920" w:right="0"/>
        <w:jc w:val="both"/>
      </w:pPr>
      <w:r>
        <w:rPr/>
        <w:t>股利约人民币</w:t>
      </w:r>
      <w:r>
        <w:rPr>
          <w:spacing w:val="-62"/>
        </w:rPr>
        <w:t> </w:t>
      </w:r>
      <w:r>
        <w:rPr>
          <w:rFonts w:ascii="Arial" w:hAnsi="Arial" w:cs="Arial" w:eastAsia="Arial" w:hint="default"/>
        </w:rPr>
        <w:t>14,955</w:t>
      </w:r>
      <w:r>
        <w:rPr>
          <w:rFonts w:ascii="Arial" w:hAnsi="Arial" w:cs="Arial" w:eastAsia="Arial" w:hint="default"/>
          <w:spacing w:val="-8"/>
        </w:rPr>
        <w:t> </w:t>
      </w:r>
      <w:r>
        <w:rPr/>
        <w:t>万元。于</w:t>
      </w:r>
      <w:r>
        <w:rPr>
          <w:spacing w:val="-62"/>
        </w:rPr>
        <w:t> </w:t>
      </w: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w:t>
      </w:r>
      <w:r>
        <w:rPr>
          <w:spacing w:val="-62"/>
        </w:rPr>
        <w:t> </w:t>
      </w:r>
      <w:r>
        <w:rPr>
          <w:rFonts w:ascii="Arial" w:hAnsi="Arial" w:cs="Arial" w:eastAsia="Arial" w:hint="default"/>
        </w:rPr>
        <w:t>26</w:t>
      </w:r>
      <w:r>
        <w:rPr>
          <w:rFonts w:ascii="Arial" w:hAnsi="Arial" w:cs="Arial" w:eastAsia="Arial" w:hint="default"/>
          <w:spacing w:val="-9"/>
        </w:rPr>
        <w:t> </w:t>
      </w:r>
      <w:r>
        <w:rPr/>
        <w:t>日，现金股利派发完成。</w:t>
      </w:r>
    </w:p>
    <w:p>
      <w:pPr>
        <w:spacing w:line="240" w:lineRule="auto" w:before="8"/>
        <w:rPr>
          <w:rFonts w:ascii="宋体" w:hAnsi="宋体" w:cs="宋体" w:eastAsia="宋体" w:hint="default"/>
          <w:sz w:val="19"/>
          <w:szCs w:val="19"/>
        </w:rPr>
      </w:pPr>
    </w:p>
    <w:p>
      <w:pPr>
        <w:pStyle w:val="BodyText"/>
        <w:spacing w:line="322" w:lineRule="exact"/>
        <w:ind w:left="902" w:right="0"/>
        <w:jc w:val="both"/>
      </w:pPr>
      <w:r>
        <w:rPr/>
        <w:t>根据</w:t>
      </w:r>
      <w:r>
        <w:rPr>
          <w:spacing w:val="-35"/>
        </w:rPr>
        <w:t> </w:t>
      </w:r>
      <w:r>
        <w:rPr>
          <w:rFonts w:ascii="Arial" w:hAnsi="Arial" w:cs="Arial" w:eastAsia="Arial" w:hint="default"/>
        </w:rPr>
        <w:t>2009</w:t>
      </w:r>
      <w:r>
        <w:rPr>
          <w:rFonts w:ascii="Arial" w:hAnsi="Arial" w:cs="Arial" w:eastAsia="Arial" w:hint="default"/>
          <w:spacing w:val="18"/>
        </w:rPr>
        <w:t> </w:t>
      </w:r>
      <w:r>
        <w:rPr/>
        <w:t>年</w:t>
      </w:r>
      <w:r>
        <w:rPr>
          <w:spacing w:val="-35"/>
        </w:rPr>
        <w:t> </w:t>
      </w:r>
      <w:r>
        <w:rPr>
          <w:rFonts w:ascii="Arial" w:hAnsi="Arial" w:cs="Arial" w:eastAsia="Arial" w:hint="default"/>
        </w:rPr>
        <w:t>2</w:t>
      </w:r>
      <w:r>
        <w:rPr>
          <w:rFonts w:ascii="Arial" w:hAnsi="Arial" w:cs="Arial" w:eastAsia="Arial" w:hint="default"/>
          <w:spacing w:val="18"/>
        </w:rPr>
        <w:t> </w:t>
      </w:r>
      <w:r>
        <w:rPr/>
        <w:t>月</w:t>
      </w:r>
      <w:r>
        <w:rPr>
          <w:spacing w:val="-35"/>
        </w:rPr>
        <w:t> </w:t>
      </w:r>
      <w:r>
        <w:rPr>
          <w:rFonts w:ascii="Arial" w:hAnsi="Arial" w:cs="Arial" w:eastAsia="Arial" w:hint="default"/>
        </w:rPr>
        <w:t>27</w:t>
      </w:r>
      <w:r>
        <w:rPr>
          <w:rFonts w:ascii="Arial" w:hAnsi="Arial" w:cs="Arial" w:eastAsia="Arial" w:hint="default"/>
          <w:spacing w:val="17"/>
        </w:rPr>
        <w:t> </w:t>
      </w:r>
      <w:r>
        <w:rPr/>
        <w:t>日董事会决议，董事会提议本公司向全体股东派发股票股利，每</w:t>
      </w:r>
    </w:p>
    <w:p>
      <w:pPr>
        <w:pStyle w:val="BodyText"/>
        <w:spacing w:line="312" w:lineRule="exact"/>
        <w:ind w:left="920" w:right="0"/>
        <w:jc w:val="both"/>
      </w:pPr>
      <w:r>
        <w:rPr>
          <w:rFonts w:ascii="Arial" w:hAnsi="Arial" w:cs="Arial" w:eastAsia="Arial" w:hint="default"/>
        </w:rPr>
        <w:t>10  </w:t>
      </w:r>
      <w:r>
        <w:rPr>
          <w:spacing w:val="3"/>
        </w:rPr>
        <w:t>股送红股 </w:t>
      </w:r>
      <w:r>
        <w:rPr>
          <w:rFonts w:ascii="Arial" w:hAnsi="Arial" w:cs="Arial" w:eastAsia="Arial" w:hint="default"/>
        </w:rPr>
        <w:t>2  </w:t>
      </w:r>
      <w:r>
        <w:rPr>
          <w:spacing w:val="3"/>
        </w:rPr>
        <w:t>股，并派发现金股利，每 </w:t>
      </w:r>
      <w:r>
        <w:rPr>
          <w:rFonts w:ascii="Arial" w:hAnsi="Arial" w:cs="Arial" w:eastAsia="Arial" w:hint="default"/>
        </w:rPr>
        <w:t>10  </w:t>
      </w:r>
      <w:r>
        <w:rPr>
          <w:spacing w:val="3"/>
        </w:rPr>
        <w:t>股人民币 </w:t>
      </w:r>
      <w:r>
        <w:rPr>
          <w:rFonts w:ascii="Arial" w:hAnsi="Arial" w:cs="Arial" w:eastAsia="Arial" w:hint="default"/>
        </w:rPr>
        <w:t>0.3</w:t>
      </w:r>
      <w:r>
        <w:rPr>
          <w:rFonts w:ascii="Arial" w:hAnsi="Arial" w:cs="Arial" w:eastAsia="Arial" w:hint="default"/>
          <w:spacing w:val="48"/>
        </w:rPr>
        <w:t> </w:t>
      </w:r>
      <w:r>
        <w:rPr>
          <w:spacing w:val="3"/>
        </w:rPr>
        <w:t>元</w:t>
      </w:r>
      <w:r>
        <w:rPr>
          <w:rFonts w:ascii="Arial" w:hAnsi="Arial" w:cs="Arial" w:eastAsia="Arial" w:hint="default"/>
          <w:spacing w:val="3"/>
        </w:rPr>
        <w:t>(</w:t>
      </w:r>
      <w:r>
        <w:rPr>
          <w:spacing w:val="3"/>
        </w:rPr>
        <w:t>含税</w:t>
      </w:r>
      <w:r>
        <w:rPr>
          <w:rFonts w:ascii="Arial" w:hAnsi="Arial" w:cs="Arial" w:eastAsia="Arial" w:hint="default"/>
          <w:spacing w:val="3"/>
        </w:rPr>
        <w:t>)</w:t>
      </w:r>
      <w:r>
        <w:rPr>
          <w:spacing w:val="3"/>
        </w:rPr>
        <w:t>，按已发行股份</w:t>
      </w:r>
      <w:r>
        <w:rPr/>
      </w:r>
    </w:p>
    <w:p>
      <w:pPr>
        <w:pStyle w:val="BodyText"/>
        <w:spacing w:line="312" w:lineRule="exact"/>
        <w:ind w:left="920" w:right="0"/>
        <w:jc w:val="both"/>
      </w:pPr>
      <w:r>
        <w:rPr>
          <w:rFonts w:ascii="Arial" w:hAnsi="Arial" w:cs="Arial" w:eastAsia="Arial" w:hint="default"/>
        </w:rPr>
        <w:t>2,991,008,000 </w:t>
      </w:r>
      <w:r>
        <w:rPr/>
        <w:t>股为基数，拟派发现金股利共计约人民币 </w:t>
      </w:r>
      <w:r>
        <w:rPr>
          <w:rFonts w:ascii="Arial" w:hAnsi="Arial" w:cs="Arial" w:eastAsia="Arial" w:hint="default"/>
        </w:rPr>
        <w:t>8,973</w:t>
      </w:r>
      <w:r>
        <w:rPr>
          <w:rFonts w:ascii="Arial" w:hAnsi="Arial" w:cs="Arial" w:eastAsia="Arial" w:hint="default"/>
          <w:spacing w:val="-15"/>
        </w:rPr>
        <w:t> </w:t>
      </w:r>
      <w:r>
        <w:rPr/>
        <w:t>万元，同时，以资本公</w:t>
      </w:r>
    </w:p>
    <w:p>
      <w:pPr>
        <w:pStyle w:val="BodyText"/>
        <w:spacing w:line="322" w:lineRule="exact"/>
        <w:ind w:left="920" w:right="0"/>
        <w:jc w:val="both"/>
      </w:pPr>
      <w:r>
        <w:rPr/>
        <w:t>积转增股本的方式每</w:t>
      </w:r>
      <w:r>
        <w:rPr>
          <w:spacing w:val="-61"/>
        </w:rPr>
        <w:t> </w:t>
      </w:r>
      <w:r>
        <w:rPr>
          <w:rFonts w:ascii="Arial" w:hAnsi="Arial" w:cs="Arial" w:eastAsia="Arial" w:hint="default"/>
        </w:rPr>
        <w:t>10</w:t>
      </w:r>
      <w:r>
        <w:rPr>
          <w:rFonts w:ascii="Arial" w:hAnsi="Arial" w:cs="Arial" w:eastAsia="Arial" w:hint="default"/>
          <w:spacing w:val="-8"/>
        </w:rPr>
        <w:t> </w:t>
      </w:r>
      <w:r>
        <w:rPr/>
        <w:t>股转增</w:t>
      </w:r>
      <w:r>
        <w:rPr>
          <w:spacing w:val="-61"/>
        </w:rPr>
        <w:t> </w:t>
      </w:r>
      <w:r>
        <w:rPr>
          <w:rFonts w:ascii="Arial" w:hAnsi="Arial" w:cs="Arial" w:eastAsia="Arial" w:hint="default"/>
        </w:rPr>
        <w:t>3</w:t>
      </w:r>
      <w:r>
        <w:rPr>
          <w:rFonts w:ascii="Arial" w:hAnsi="Arial" w:cs="Arial" w:eastAsia="Arial" w:hint="default"/>
          <w:spacing w:val="-8"/>
        </w:rPr>
        <w:t> </w:t>
      </w:r>
      <w:r>
        <w:rPr/>
        <w:t>股。</w:t>
      </w:r>
    </w:p>
    <w:p>
      <w:pPr>
        <w:spacing w:line="240" w:lineRule="auto" w:before="8"/>
        <w:rPr>
          <w:rFonts w:ascii="宋体" w:hAnsi="宋体" w:cs="宋体" w:eastAsia="宋体" w:hint="default"/>
          <w:sz w:val="19"/>
          <w:szCs w:val="19"/>
        </w:rPr>
      </w:pPr>
    </w:p>
    <w:p>
      <w:pPr>
        <w:pStyle w:val="BodyText"/>
        <w:spacing w:line="240" w:lineRule="auto"/>
        <w:ind w:left="902" w:right="0"/>
        <w:jc w:val="both"/>
      </w:pPr>
      <w:r>
        <w:rPr/>
        <w:t>上述提议尚待股东大会批准，不确认为</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日的负债。</w:t>
      </w:r>
    </w:p>
    <w:p>
      <w:pPr>
        <w:spacing w:after="0" w:line="240" w:lineRule="auto"/>
        <w:jc w:val="both"/>
        <w:sectPr>
          <w:type w:val="continuous"/>
          <w:pgSz w:w="11910" w:h="16840"/>
          <w:pgMar w:top="1600" w:bottom="280" w:left="860" w:right="8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28"/>
        <w:gridCol w:w="6659"/>
        <w:gridCol w:w="2805"/>
      </w:tblGrid>
      <w:tr>
        <w:trPr>
          <w:trHeight w:val="1102"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(28)</w:t>
            </w:r>
          </w:p>
        </w:tc>
        <w:tc>
          <w:tcPr>
            <w:tcW w:w="6659"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66" w:right="3753" w:hanging="65"/>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少数股东权益</w:t>
            </w:r>
            <w:r>
              <w:rPr>
                <w:rFonts w:ascii="宋体" w:hAnsi="宋体" w:cs="宋体" w:eastAsia="宋体" w:hint="default"/>
                <w:sz w:val="24"/>
                <w:szCs w:val="24"/>
              </w:rPr>
            </w:r>
          </w:p>
        </w:tc>
        <w:tc>
          <w:tcPr>
            <w:tcW w:w="2805" w:type="dxa"/>
            <w:vMerge w:val="restart"/>
            <w:tcBorders>
              <w:top w:val="nil" w:sz="6" w:space="0" w:color="auto"/>
              <w:left w:val="nil" w:sz="6" w:space="0" w:color="auto"/>
              <w:right w:val="nil" w:sz="6" w:space="0" w:color="auto"/>
            </w:tcBorders>
          </w:tcPr>
          <w:p>
            <w:pPr/>
          </w:p>
        </w:tc>
      </w:tr>
      <w:tr>
        <w:trPr>
          <w:trHeight w:val="588"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6" w:right="0"/>
              <w:jc w:val="left"/>
              <w:rPr>
                <w:rFonts w:ascii="宋体" w:hAnsi="宋体" w:cs="宋体" w:eastAsia="宋体" w:hint="default"/>
                <w:sz w:val="24"/>
                <w:szCs w:val="24"/>
              </w:rPr>
            </w:pPr>
            <w:r>
              <w:rPr>
                <w:rFonts w:ascii="宋体" w:hAnsi="宋体" w:cs="宋体" w:eastAsia="宋体" w:hint="default"/>
                <w:sz w:val="24"/>
                <w:szCs w:val="24"/>
              </w:rPr>
              <w:t>归属于各子公司少数股东的少数股东权益</w:t>
            </w:r>
          </w:p>
        </w:tc>
        <w:tc>
          <w:tcPr>
            <w:tcW w:w="2805" w:type="dxa"/>
            <w:vMerge/>
            <w:tcBorders>
              <w:left w:val="nil" w:sz="6" w:space="0" w:color="auto"/>
              <w:bottom w:val="nil" w:sz="6" w:space="0" w:color="auto"/>
              <w:right w:val="nil" w:sz="6" w:space="0" w:color="auto"/>
            </w:tcBorders>
          </w:tcPr>
          <w:p>
            <w:pPr/>
          </w:p>
        </w:tc>
      </w:tr>
      <w:tr>
        <w:trPr>
          <w:trHeight w:val="456"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4115" w:val="left" w:leader="none"/>
              </w:tabs>
              <w:spacing w:line="240" w:lineRule="auto" w:before="100"/>
              <w:ind w:left="166" w:right="0"/>
              <w:jc w:val="left"/>
              <w:rPr>
                <w:rFonts w:ascii="宋体" w:hAnsi="宋体" w:cs="宋体" w:eastAsia="宋体" w:hint="default"/>
                <w:sz w:val="24"/>
                <w:szCs w:val="24"/>
              </w:rPr>
            </w:pPr>
            <w:r>
              <w:rPr>
                <w:rFonts w:ascii="宋体" w:hAnsi="宋体" w:cs="宋体" w:eastAsia="宋体" w:hint="default"/>
                <w:sz w:val="24"/>
                <w:szCs w:val="24"/>
              </w:rPr>
              <w:t>子公司名称</w:t>
              <w:tab/>
            </w: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0"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spacing w:line="287" w:lineRule="exact"/>
              <w:ind w:right="380"/>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805" w:type="dxa"/>
            <w:tcBorders>
              <w:top w:val="nil" w:sz="6" w:space="0" w:color="auto"/>
              <w:left w:val="nil" w:sz="6" w:space="0" w:color="auto"/>
              <w:bottom w:val="nil" w:sz="6" w:space="0" w:color="auto"/>
              <w:right w:val="nil" w:sz="6" w:space="0" w:color="auto"/>
            </w:tcBorders>
          </w:tcPr>
          <w:p>
            <w:pPr>
              <w:pStyle w:val="TableParagraph"/>
              <w:spacing w:line="287" w:lineRule="exact"/>
              <w:ind w:right="79"/>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40" w:lineRule="auto" w:before="92"/>
              <w:ind w:left="166" w:right="0"/>
              <w:jc w:val="left"/>
              <w:rPr>
                <w:rFonts w:ascii="Arial" w:hAnsi="Arial" w:cs="Arial" w:eastAsia="Arial" w:hint="default"/>
                <w:sz w:val="24"/>
                <w:szCs w:val="24"/>
              </w:rPr>
            </w:pPr>
            <w:r>
              <w:rPr>
                <w:rFonts w:ascii="宋体" w:hAnsi="宋体" w:cs="宋体" w:eastAsia="宋体" w:hint="default"/>
                <w:position w:val="2"/>
                <w:sz w:val="24"/>
                <w:szCs w:val="24"/>
              </w:rPr>
              <w:t>北京苏宁电器有限公司</w:t>
              <w:tab/>
            </w:r>
            <w:r>
              <w:rPr>
                <w:rFonts w:ascii="Arial" w:hAnsi="Arial" w:cs="Arial" w:eastAsia="Arial" w:hint="default"/>
                <w:sz w:val="24"/>
                <w:szCs w:val="24"/>
              </w:rPr>
              <w:t>69,987</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1"/>
              <w:jc w:val="right"/>
              <w:rPr>
                <w:rFonts w:ascii="Arial" w:hAnsi="Arial" w:cs="Arial" w:eastAsia="Arial" w:hint="default"/>
                <w:sz w:val="24"/>
                <w:szCs w:val="24"/>
              </w:rPr>
            </w:pPr>
            <w:r>
              <w:rPr>
                <w:rFonts w:ascii="Arial"/>
                <w:spacing w:val="-1"/>
                <w:w w:val="95"/>
                <w:sz w:val="24"/>
              </w:rPr>
              <w:t>36,328</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上海苏宁电器有限公司</w:t>
              <w:tab/>
            </w:r>
            <w:r>
              <w:rPr>
                <w:rFonts w:ascii="Arial" w:hAnsi="Arial" w:cs="Arial" w:eastAsia="Arial" w:hint="default"/>
                <w:sz w:val="24"/>
                <w:szCs w:val="24"/>
              </w:rPr>
              <w:t>52,455</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32,752</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安徽苏宁电器有限公司</w:t>
              <w:tab/>
            </w:r>
            <w:r>
              <w:rPr>
                <w:rFonts w:ascii="Arial" w:hAnsi="Arial" w:cs="Arial" w:eastAsia="Arial" w:hint="default"/>
                <w:sz w:val="24"/>
                <w:szCs w:val="24"/>
              </w:rPr>
              <w:t>47,583</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23,704</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浙江苏宁电器有限公司</w:t>
              <w:tab/>
            </w:r>
            <w:r>
              <w:rPr>
                <w:rFonts w:ascii="Arial" w:hAnsi="Arial" w:cs="Arial" w:eastAsia="Arial" w:hint="default"/>
                <w:sz w:val="24"/>
                <w:szCs w:val="24"/>
              </w:rPr>
              <w:t>38,674</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26,188</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深圳市苏宁电器有限公司</w:t>
              <w:tab/>
            </w:r>
            <w:r>
              <w:rPr>
                <w:rFonts w:ascii="Arial" w:hAnsi="Arial" w:cs="Arial" w:eastAsia="Arial" w:hint="default"/>
                <w:sz w:val="24"/>
                <w:szCs w:val="24"/>
              </w:rPr>
              <w:t>25,003</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17,244</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陕西苏宁电器有限责任公司</w:t>
              <w:tab/>
            </w:r>
            <w:r>
              <w:rPr>
                <w:rFonts w:ascii="Arial" w:hAnsi="Arial" w:cs="Arial" w:eastAsia="Arial" w:hint="default"/>
                <w:sz w:val="24"/>
                <w:szCs w:val="24"/>
              </w:rPr>
              <w:t>19,298</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14,417</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96"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福建苏宁电器有限公司</w:t>
              <w:tab/>
            </w:r>
            <w:r>
              <w:rPr>
                <w:rFonts w:ascii="Arial" w:hAnsi="Arial" w:cs="Arial" w:eastAsia="Arial" w:hint="default"/>
                <w:sz w:val="24"/>
                <w:szCs w:val="24"/>
              </w:rPr>
              <w:t>19,103</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13,453</w:t>
            </w:r>
            <w:r>
              <w:rPr>
                <w:rFonts w:ascii="Arial"/>
                <w:sz w:val="24"/>
              </w:rPr>
            </w:r>
          </w:p>
        </w:tc>
      </w:tr>
      <w:tr>
        <w:trPr>
          <w:trHeight w:val="615"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5468" w:val="left" w:leader="none"/>
              </w:tabs>
              <w:spacing w:line="278" w:lineRule="exact"/>
              <w:ind w:left="166" w:right="0"/>
              <w:jc w:val="left"/>
              <w:rPr>
                <w:rFonts w:ascii="Arial" w:hAnsi="Arial" w:cs="Arial" w:eastAsia="Arial" w:hint="default"/>
                <w:sz w:val="24"/>
                <w:szCs w:val="24"/>
              </w:rPr>
            </w:pPr>
            <w:r>
              <w:rPr>
                <w:rFonts w:ascii="宋体" w:hAnsi="宋体" w:cs="宋体" w:eastAsia="宋体" w:hint="default"/>
                <w:position w:val="2"/>
                <w:sz w:val="24"/>
                <w:szCs w:val="24"/>
              </w:rPr>
              <w:t>厦门福厦苏宁电器有限公司</w:t>
              <w:tab/>
            </w:r>
            <w:r>
              <w:rPr>
                <w:rFonts w:ascii="Arial" w:hAnsi="Arial" w:cs="Arial" w:eastAsia="Arial" w:hint="default"/>
                <w:sz w:val="24"/>
                <w:szCs w:val="24"/>
              </w:rPr>
              <w:t>10,638</w:t>
            </w:r>
          </w:p>
          <w:p>
            <w:pPr>
              <w:pStyle w:val="TableParagraph"/>
              <w:spacing w:line="313" w:lineRule="exact"/>
              <w:ind w:left="166" w:right="0"/>
              <w:jc w:val="left"/>
              <w:rPr>
                <w:rFonts w:ascii="宋体" w:hAnsi="宋体" w:cs="宋体" w:eastAsia="宋体" w:hint="default"/>
                <w:sz w:val="24"/>
                <w:szCs w:val="24"/>
              </w:rPr>
            </w:pPr>
            <w:r>
              <w:rPr>
                <w:rFonts w:ascii="宋体" w:hAnsi="宋体" w:cs="宋体" w:eastAsia="宋体" w:hint="default"/>
                <w:sz w:val="24"/>
                <w:szCs w:val="24"/>
              </w:rPr>
              <w:t>其他子公司</w:t>
            </w:r>
            <w:r>
              <w:rPr>
                <w:rFonts w:ascii="Arial" w:hAnsi="Arial" w:cs="Arial" w:eastAsia="Arial" w:hint="default"/>
                <w:sz w:val="24"/>
                <w:szCs w:val="24"/>
              </w:rPr>
              <w:t>(</w:t>
            </w:r>
            <w:r>
              <w:rPr>
                <w:rFonts w:ascii="宋体" w:hAnsi="宋体" w:cs="宋体" w:eastAsia="宋体" w:hint="default"/>
                <w:sz w:val="24"/>
                <w:szCs w:val="24"/>
              </w:rPr>
              <w:t>单个子公司的少</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7,286</w:t>
            </w:r>
            <w:r>
              <w:rPr>
                <w:rFonts w:ascii="Arial"/>
                <w:sz w:val="24"/>
              </w:rPr>
            </w:r>
          </w:p>
        </w:tc>
      </w:tr>
      <w:tr>
        <w:trPr>
          <w:trHeight w:val="306"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spacing w:line="270" w:lineRule="exact"/>
              <w:ind w:left="646" w:right="0"/>
              <w:jc w:val="left"/>
              <w:rPr>
                <w:rFonts w:ascii="宋体" w:hAnsi="宋体" w:cs="宋体" w:eastAsia="宋体" w:hint="default"/>
                <w:sz w:val="24"/>
                <w:szCs w:val="24"/>
              </w:rPr>
            </w:pPr>
            <w:r>
              <w:rPr>
                <w:rFonts w:ascii="宋体" w:hAnsi="宋体" w:cs="宋体" w:eastAsia="宋体" w:hint="default"/>
                <w:sz w:val="24"/>
                <w:szCs w:val="24"/>
              </w:rPr>
              <w:t>数股东权益金额均小于人民币</w:t>
            </w:r>
          </w:p>
        </w:tc>
        <w:tc>
          <w:tcPr>
            <w:tcW w:w="2805" w:type="dxa"/>
            <w:tcBorders>
              <w:top w:val="nil" w:sz="6" w:space="0" w:color="auto"/>
              <w:left w:val="nil" w:sz="6" w:space="0" w:color="auto"/>
              <w:bottom w:val="nil" w:sz="6" w:space="0" w:color="auto"/>
              <w:right w:val="nil" w:sz="6" w:space="0" w:color="auto"/>
            </w:tcBorders>
          </w:tcPr>
          <w:p>
            <w:pPr/>
          </w:p>
        </w:tc>
      </w:tr>
      <w:tr>
        <w:trPr>
          <w:trHeight w:val="329"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3321" w:val="left" w:leader="none"/>
                <w:tab w:pos="4822" w:val="left" w:leader="none"/>
                <w:tab w:pos="5656" w:val="left" w:leader="none"/>
              </w:tabs>
              <w:spacing w:line="311" w:lineRule="exact"/>
              <w:ind w:right="354"/>
              <w:jc w:val="right"/>
              <w:rPr>
                <w:rFonts w:ascii="Arial" w:hAnsi="Arial" w:cs="Arial" w:eastAsia="Arial" w:hint="default"/>
                <w:sz w:val="24"/>
                <w:szCs w:val="24"/>
              </w:rPr>
            </w:pPr>
            <w:r>
              <w:rPr>
                <w:rFonts w:ascii="Arial" w:hAnsi="Arial" w:cs="Arial" w:eastAsia="Arial" w:hint="default"/>
                <w:spacing w:val="-1"/>
                <w:position w:val="2"/>
                <w:sz w:val="24"/>
                <w:szCs w:val="24"/>
              </w:rPr>
              <w:t>700</w:t>
            </w:r>
            <w:r>
              <w:rPr>
                <w:rFonts w:ascii="Arial" w:hAnsi="Arial" w:cs="Arial" w:eastAsia="Arial" w:hint="default"/>
                <w:spacing w:val="-6"/>
                <w:position w:val="2"/>
                <w:sz w:val="24"/>
                <w:szCs w:val="24"/>
              </w:rPr>
              <w:t> </w:t>
            </w:r>
            <w:r>
              <w:rPr>
                <w:rFonts w:ascii="宋体" w:hAnsi="宋体" w:cs="宋体" w:eastAsia="宋体" w:hint="default"/>
                <w:position w:val="2"/>
                <w:sz w:val="24"/>
                <w:szCs w:val="24"/>
              </w:rPr>
              <w:t>万元</w:t>
            </w:r>
            <w:r>
              <w:rPr>
                <w:rFonts w:ascii="Arial" w:hAnsi="Arial" w:cs="Arial" w:eastAsia="Arial" w:hint="default"/>
                <w:position w:val="2"/>
                <w:sz w:val="24"/>
                <w:szCs w:val="24"/>
              </w:rPr>
              <w:t>)</w:t>
              <w:tab/>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53,622</w:t>
              <w:tab/>
            </w:r>
            <w:r>
              <w:rPr>
                <w:rFonts w:ascii="Arial" w:hAnsi="Arial" w:cs="Arial" w:eastAsia="Arial" w:hint="default"/>
                <w:spacing w:val="-1"/>
                <w:sz w:val="24"/>
                <w:szCs w:val="24"/>
              </w:rPr>
            </w:r>
          </w:p>
        </w:tc>
        <w:tc>
          <w:tcPr>
            <w:tcW w:w="2805" w:type="dxa"/>
            <w:tcBorders>
              <w:top w:val="nil" w:sz="6" w:space="0" w:color="auto"/>
              <w:left w:val="nil" w:sz="6" w:space="0" w:color="auto"/>
              <w:bottom w:val="nil" w:sz="6" w:space="0" w:color="auto"/>
              <w:right w:val="nil" w:sz="6" w:space="0" w:color="auto"/>
            </w:tcBorders>
          </w:tcPr>
          <w:p>
            <w:pPr>
              <w:pStyle w:val="TableParagraph"/>
              <w:tabs>
                <w:tab w:pos="1571" w:val="left" w:leader="none"/>
                <w:tab w:pos="2405" w:val="left" w:leader="none"/>
              </w:tabs>
              <w:spacing w:line="240" w:lineRule="auto" w:before="35"/>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32,946</w:t>
              <w:tab/>
            </w:r>
            <w:r>
              <w:rPr>
                <w:rFonts w:ascii="Arial"/>
                <w:spacing w:val="-1"/>
                <w:sz w:val="24"/>
              </w:rPr>
            </w:r>
          </w:p>
        </w:tc>
      </w:tr>
      <w:tr>
        <w:trPr>
          <w:trHeight w:val="363" w:hRule="exact"/>
        </w:trPr>
        <w:tc>
          <w:tcPr>
            <w:tcW w:w="628" w:type="dxa"/>
            <w:tcBorders>
              <w:top w:val="nil" w:sz="6" w:space="0" w:color="auto"/>
              <w:left w:val="nil" w:sz="6" w:space="0" w:color="auto"/>
              <w:bottom w:val="nil" w:sz="6" w:space="0" w:color="auto"/>
              <w:right w:val="nil" w:sz="6" w:space="0" w:color="auto"/>
            </w:tcBorders>
          </w:tcPr>
          <w:p>
            <w:pPr/>
          </w:p>
        </w:tc>
        <w:tc>
          <w:tcPr>
            <w:tcW w:w="6659" w:type="dxa"/>
            <w:tcBorders>
              <w:top w:val="nil" w:sz="6" w:space="0" w:color="auto"/>
              <w:left w:val="nil" w:sz="6" w:space="0" w:color="auto"/>
              <w:bottom w:val="nil" w:sz="6" w:space="0" w:color="auto"/>
              <w:right w:val="nil" w:sz="6" w:space="0" w:color="auto"/>
            </w:tcBorders>
          </w:tcPr>
          <w:p>
            <w:pPr>
              <w:pStyle w:val="TableParagraph"/>
              <w:tabs>
                <w:tab w:pos="1375" w:val="left" w:leader="none"/>
                <w:tab w:pos="2349" w:val="left" w:leader="none"/>
              </w:tabs>
              <w:spacing w:line="268" w:lineRule="exact"/>
              <w:ind w:right="34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336,363</w:t>
              <w:tab/>
            </w:r>
            <w:r>
              <w:rPr>
                <w:rFonts w:ascii="Arial"/>
                <w:spacing w:val="-1"/>
                <w:sz w:val="24"/>
              </w:rPr>
            </w:r>
          </w:p>
        </w:tc>
        <w:tc>
          <w:tcPr>
            <w:tcW w:w="2805" w:type="dxa"/>
            <w:tcBorders>
              <w:top w:val="nil" w:sz="6" w:space="0" w:color="auto"/>
              <w:left w:val="nil" w:sz="6" w:space="0" w:color="auto"/>
              <w:bottom w:val="nil" w:sz="6" w:space="0" w:color="auto"/>
              <w:right w:val="nil" w:sz="6" w:space="0" w:color="auto"/>
            </w:tcBorders>
          </w:tcPr>
          <w:p>
            <w:pPr>
              <w:pStyle w:val="TableParagraph"/>
              <w:tabs>
                <w:tab w:pos="1445" w:val="left" w:leader="none"/>
                <w:tab w:pos="242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204,318</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752" w:footer="707" w:top="1020" w:bottom="900" w:left="840" w:right="760"/>
        </w:sectPr>
      </w:pPr>
    </w:p>
    <w:p>
      <w:pPr>
        <w:spacing w:line="240" w:lineRule="auto" w:before="0"/>
        <w:rPr>
          <w:rFonts w:ascii="Times New Roman" w:hAnsi="Times New Roman" w:cs="Times New Roman" w:eastAsia="Times New Roman" w:hint="default"/>
          <w:sz w:val="20"/>
          <w:szCs w:val="20"/>
        </w:rPr>
      </w:pPr>
    </w:p>
    <w:p>
      <w:pPr>
        <w:pStyle w:val="Heading2"/>
        <w:tabs>
          <w:tab w:pos="789" w:val="left" w:leader="none"/>
        </w:tabs>
        <w:spacing w:line="240" w:lineRule="auto" w:before="190"/>
        <w:ind w:left="117" w:right="3753"/>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89" w:val="left" w:leader="none"/>
        </w:tabs>
        <w:spacing w:before="0"/>
        <w:ind w:left="118" w:right="3753" w:firstLine="0"/>
        <w:jc w:val="left"/>
        <w:rPr>
          <w:rFonts w:ascii="宋体" w:hAnsi="宋体" w:cs="宋体" w:eastAsia="宋体" w:hint="default"/>
          <w:sz w:val="24"/>
          <w:szCs w:val="24"/>
        </w:rPr>
      </w:pPr>
      <w:r>
        <w:rPr>
          <w:rFonts w:ascii="Arial" w:hAnsi="Arial" w:cs="Arial" w:eastAsia="Arial" w:hint="default"/>
          <w:w w:val="95"/>
          <w:position w:val="2"/>
          <w:sz w:val="24"/>
          <w:szCs w:val="24"/>
        </w:rPr>
        <w:t>(29)</w:t>
        <w:tab/>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8704" w:val="left" w:leader="none"/>
        </w:tabs>
        <w:spacing w:line="322" w:lineRule="exact" w:before="26"/>
        <w:ind w:left="5595"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8612" w:val="left" w:leader="none"/>
        </w:tabs>
        <w:spacing w:line="322" w:lineRule="exact"/>
        <w:ind w:left="5475"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5749" w:val="left" w:leader="none"/>
          <w:tab w:pos="8840" w:val="left" w:leader="none"/>
        </w:tabs>
        <w:spacing w:line="332" w:lineRule="exact"/>
        <w:ind w:left="854" w:right="0"/>
        <w:jc w:val="left"/>
        <w:rPr>
          <w:rFonts w:ascii="Arial" w:hAnsi="Arial" w:cs="Arial" w:eastAsia="Arial" w:hint="default"/>
        </w:rPr>
      </w:pPr>
      <w:r>
        <w:rPr>
          <w:position w:val="2"/>
        </w:rPr>
        <w:t>主营业务收入</w:t>
        <w:tab/>
      </w:r>
      <w:r>
        <w:rPr>
          <w:rFonts w:ascii="Arial" w:hAnsi="Arial" w:cs="Arial" w:eastAsia="Arial" w:hint="default"/>
          <w:spacing w:val="-3"/>
        </w:rPr>
        <w:t>48,311,039</w:t>
        <w:tab/>
      </w:r>
      <w:r>
        <w:rPr>
          <w:rFonts w:ascii="Arial" w:hAnsi="Arial" w:cs="Arial" w:eastAsia="Arial" w:hint="default"/>
        </w:rPr>
        <w:t>38,676,524</w:t>
      </w:r>
    </w:p>
    <w:p>
      <w:pPr>
        <w:pStyle w:val="BodyText"/>
        <w:tabs>
          <w:tab w:pos="4682" w:val="left" w:leader="none"/>
          <w:tab w:pos="5864" w:val="left" w:leader="none"/>
          <w:tab w:pos="7719" w:val="left" w:leader="none"/>
          <w:tab w:pos="8974" w:val="left" w:leader="none"/>
          <w:tab w:pos="10142" w:val="left" w:leader="none"/>
        </w:tabs>
        <w:spacing w:line="332" w:lineRule="exact"/>
        <w:ind w:left="854" w:right="0"/>
        <w:jc w:val="left"/>
        <w:rPr>
          <w:rFonts w:ascii="Arial" w:hAnsi="Arial" w:cs="Arial" w:eastAsia="Arial" w:hint="default"/>
        </w:rPr>
      </w:pPr>
      <w:r>
        <w:rPr>
          <w:position w:val="2"/>
        </w:rPr>
        <w:t>其他业务收入</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1,585,670</w:t>
      </w:r>
      <w:r>
        <w:rPr>
          <w:rFonts w:ascii="Arial" w:hAnsi="Arial" w:cs="Arial" w:eastAsia="Arial" w:hint="default"/>
          <w:spacing w:val="-1"/>
        </w:rPr>
        <w:tab/>
      </w:r>
      <w:r>
        <w:rPr>
          <w:rFonts w:ascii="Arial" w:hAnsi="Arial" w:cs="Arial" w:eastAsia="Arial" w:hint="default"/>
          <w:spacing w:val="-1"/>
          <w:u w:val="single" w:color="000000"/>
        </w:rPr>
        <w:t> </w:t>
        <w:tab/>
        <w:t>1,475,847</w:t>
        <w:tab/>
      </w:r>
      <w:r>
        <w:rPr>
          <w:rFonts w:ascii="Arial" w:hAnsi="Arial" w:cs="Arial" w:eastAsia="Arial" w:hint="default"/>
          <w:spacing w:val="-1"/>
        </w:rPr>
      </w:r>
    </w:p>
    <w:p>
      <w:pPr>
        <w:pStyle w:val="BodyText"/>
        <w:tabs>
          <w:tab w:pos="5731" w:val="left" w:leader="none"/>
          <w:tab w:pos="7719" w:val="left" w:leader="none"/>
          <w:tab w:pos="8841" w:val="left" w:leader="none"/>
          <w:tab w:pos="10142" w:val="left" w:leader="none"/>
        </w:tabs>
        <w:spacing w:line="240" w:lineRule="auto" w:before="9"/>
        <w:ind w:left="4682"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w w:val="95"/>
          <w:u w:val="thick" w:color="000000"/>
        </w:rPr>
        <w:t>49,896,709</w:t>
      </w:r>
      <w:r>
        <w:rPr>
          <w:rFonts w:ascii="Arial"/>
          <w:w w:val="95"/>
        </w:rPr>
        <w:tab/>
      </w:r>
      <w:r>
        <w:rPr>
          <w:rFonts w:ascii="Arial"/>
          <w:w w:val="95"/>
          <w:u w:val="thick" w:color="000000"/>
        </w:rPr>
        <w:t> </w:t>
        <w:tab/>
      </w:r>
      <w:r>
        <w:rPr>
          <w:rFonts w:ascii="Arial"/>
          <w:u w:val="thick" w:color="000000"/>
        </w:rPr>
        <w:t>40,152,371</w:t>
        <w:tab/>
      </w:r>
      <w:r>
        <w:rPr>
          <w:rFonts w:ascii="Arial"/>
        </w:rPr>
      </w:r>
    </w:p>
    <w:p>
      <w:pPr>
        <w:spacing w:line="240" w:lineRule="auto" w:before="3"/>
        <w:rPr>
          <w:rFonts w:ascii="Arial" w:hAnsi="Arial" w:cs="Arial" w:eastAsia="Arial" w:hint="default"/>
          <w:sz w:val="21"/>
          <w:szCs w:val="21"/>
        </w:rPr>
      </w:pPr>
    </w:p>
    <w:tbl>
      <w:tblPr>
        <w:tblW w:w="0" w:type="auto"/>
        <w:jc w:val="left"/>
        <w:tblInd w:w="147" w:type="dxa"/>
        <w:tblLayout w:type="fixed"/>
        <w:tblCellMar>
          <w:top w:w="0" w:type="dxa"/>
          <w:left w:w="0" w:type="dxa"/>
          <w:bottom w:w="0" w:type="dxa"/>
          <w:right w:w="0" w:type="dxa"/>
        </w:tblCellMar>
        <w:tblLook w:val="01E0"/>
      </w:tblPr>
      <w:tblGrid>
        <w:gridCol w:w="672"/>
        <w:gridCol w:w="2225"/>
        <w:gridCol w:w="1665"/>
        <w:gridCol w:w="1807"/>
        <w:gridCol w:w="235"/>
        <w:gridCol w:w="625"/>
        <w:gridCol w:w="1096"/>
        <w:gridCol w:w="1712"/>
      </w:tblGrid>
      <w:tr>
        <w:trPr>
          <w:trHeight w:val="391" w:hRule="exact"/>
        </w:trPr>
        <w:tc>
          <w:tcPr>
            <w:tcW w:w="672" w:type="dxa"/>
            <w:vMerge w:val="restart"/>
            <w:tcBorders>
              <w:top w:val="nil" w:sz="6" w:space="0" w:color="auto"/>
              <w:left w:val="nil" w:sz="6" w:space="0" w:color="auto"/>
              <w:right w:val="nil" w:sz="6" w:space="0" w:color="auto"/>
            </w:tcBorders>
          </w:tcPr>
          <w:p>
            <w:pPr/>
          </w:p>
        </w:tc>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1021" w:right="0"/>
              <w:jc w:val="left"/>
              <w:rPr>
                <w:rFonts w:ascii="Arial" w:hAnsi="Arial" w:cs="Arial" w:eastAsia="Arial" w:hint="default"/>
                <w:sz w:val="24"/>
                <w:szCs w:val="24"/>
              </w:rPr>
            </w:pPr>
            <w:r>
              <w:rPr>
                <w:rFonts w:ascii="Arial"/>
                <w:sz w:val="24"/>
              </w:rPr>
              <w:t>41,292,637</w:t>
            </w:r>
          </w:p>
        </w:tc>
        <w:tc>
          <w:tcPr>
            <w:tcW w:w="2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463" w:right="0"/>
              <w:jc w:val="left"/>
              <w:rPr>
                <w:rFonts w:ascii="Arial" w:hAnsi="Arial" w:cs="Arial" w:eastAsia="Arial" w:hint="default"/>
                <w:sz w:val="24"/>
                <w:szCs w:val="24"/>
              </w:rPr>
            </w:pPr>
            <w:r>
              <w:rPr>
                <w:rFonts w:ascii="Arial"/>
                <w:sz w:val="24"/>
              </w:rPr>
              <w:t>34,324,741</w:t>
            </w:r>
          </w:p>
        </w:tc>
      </w:tr>
      <w:tr>
        <w:trPr>
          <w:trHeight w:val="314" w:hRule="exact"/>
        </w:trPr>
        <w:tc>
          <w:tcPr>
            <w:tcW w:w="672" w:type="dxa"/>
            <w:vMerge/>
            <w:tcBorders>
              <w:left w:val="nil" w:sz="6" w:space="0" w:color="auto"/>
              <w:right w:val="nil" w:sz="6" w:space="0" w:color="auto"/>
            </w:tcBorders>
          </w:tcPr>
          <w:p>
            <w:pPr/>
          </w:p>
        </w:tc>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2667" w:type="dxa"/>
            <w:gridSpan w:val="3"/>
            <w:tcBorders>
              <w:top w:val="nil" w:sz="6" w:space="0" w:color="auto"/>
              <w:left w:val="nil" w:sz="6" w:space="0" w:color="auto"/>
              <w:bottom w:val="nil" w:sz="6" w:space="0" w:color="auto"/>
              <w:right w:val="nil" w:sz="6" w:space="0" w:color="auto"/>
            </w:tcBorders>
          </w:tcPr>
          <w:p>
            <w:pPr>
              <w:pStyle w:val="TableParagraph"/>
              <w:tabs>
                <w:tab w:pos="1507" w:val="left" w:leader="none"/>
                <w:tab w:pos="2323" w:val="left" w:leader="none"/>
              </w:tabs>
              <w:spacing w:line="240" w:lineRule="auto" w:before="20"/>
              <w:ind w:left="-2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42,119</w:t>
              <w:tab/>
            </w:r>
            <w:r>
              <w:rPr>
                <w:rFonts w:ascii="Arial"/>
                <w:spacing w:val="-4"/>
                <w:sz w:val="24"/>
              </w:rPr>
            </w:r>
          </w:p>
        </w:tc>
        <w:tc>
          <w:tcPr>
            <w:tcW w:w="2808" w:type="dxa"/>
            <w:gridSpan w:val="2"/>
            <w:tcBorders>
              <w:top w:val="nil" w:sz="6" w:space="0" w:color="auto"/>
              <w:left w:val="nil" w:sz="6" w:space="0" w:color="auto"/>
              <w:bottom w:val="nil" w:sz="6" w:space="0" w:color="auto"/>
              <w:right w:val="nil" w:sz="6" w:space="0" w:color="auto"/>
            </w:tcBorders>
          </w:tcPr>
          <w:p>
            <w:pPr>
              <w:pStyle w:val="TableParagraph"/>
              <w:tabs>
                <w:tab w:pos="1931" w:val="left" w:leader="none"/>
                <w:tab w:pos="2765" w:val="left" w:leader="none"/>
              </w:tabs>
              <w:spacing w:line="240" w:lineRule="auto" w:before="20"/>
              <w:ind w:left="34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21,999</w:t>
              <w:tab/>
            </w:r>
            <w:r>
              <w:rPr>
                <w:rFonts w:ascii="Arial"/>
                <w:sz w:val="24"/>
              </w:rPr>
            </w:r>
          </w:p>
        </w:tc>
      </w:tr>
      <w:tr>
        <w:trPr>
          <w:trHeight w:val="416" w:hRule="exact"/>
        </w:trPr>
        <w:tc>
          <w:tcPr>
            <w:tcW w:w="672" w:type="dxa"/>
            <w:vMerge/>
            <w:tcBorders>
              <w:left w:val="nil" w:sz="6" w:space="0" w:color="auto"/>
              <w:bottom w:val="nil" w:sz="6" w:space="0" w:color="auto"/>
              <w:right w:val="nil" w:sz="6" w:space="0" w:color="auto"/>
            </w:tcBorders>
          </w:tcPr>
          <w:p>
            <w:pPr/>
          </w:p>
        </w:tc>
        <w:tc>
          <w:tcPr>
            <w:tcW w:w="3890" w:type="dxa"/>
            <w:gridSpan w:val="2"/>
            <w:tcBorders>
              <w:top w:val="nil" w:sz="6" w:space="0" w:color="auto"/>
              <w:left w:val="nil" w:sz="6" w:space="0" w:color="auto"/>
              <w:bottom w:val="nil" w:sz="6" w:space="0" w:color="auto"/>
              <w:right w:val="nil" w:sz="6" w:space="0" w:color="auto"/>
            </w:tcBorders>
          </w:tcPr>
          <w:p>
            <w:pPr/>
          </w:p>
        </w:tc>
        <w:tc>
          <w:tcPr>
            <w:tcW w:w="2667" w:type="dxa"/>
            <w:gridSpan w:val="3"/>
            <w:tcBorders>
              <w:top w:val="nil" w:sz="6" w:space="0" w:color="auto"/>
              <w:left w:val="nil" w:sz="6" w:space="0" w:color="auto"/>
              <w:bottom w:val="nil" w:sz="6" w:space="0" w:color="auto"/>
              <w:right w:val="nil" w:sz="6" w:space="0" w:color="auto"/>
            </w:tcBorders>
          </w:tcPr>
          <w:p>
            <w:pPr>
              <w:pStyle w:val="TableParagraph"/>
              <w:tabs>
                <w:tab w:pos="1021" w:val="left" w:leader="none"/>
                <w:tab w:pos="2330" w:val="left" w:leader="none"/>
              </w:tabs>
              <w:spacing w:line="268" w:lineRule="exact"/>
              <w:ind w:left="-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41,334,756</w:t>
              <w:tab/>
            </w:r>
            <w:r>
              <w:rPr>
                <w:rFonts w:ascii="Arial"/>
                <w:sz w:val="24"/>
              </w:rPr>
            </w:r>
          </w:p>
        </w:tc>
        <w:tc>
          <w:tcPr>
            <w:tcW w:w="2808" w:type="dxa"/>
            <w:gridSpan w:val="2"/>
            <w:tcBorders>
              <w:top w:val="nil" w:sz="6" w:space="0" w:color="auto"/>
              <w:left w:val="nil" w:sz="6" w:space="0" w:color="auto"/>
              <w:bottom w:val="nil" w:sz="6" w:space="0" w:color="auto"/>
              <w:right w:val="nil" w:sz="6" w:space="0" w:color="auto"/>
            </w:tcBorders>
          </w:tcPr>
          <w:p>
            <w:pPr>
              <w:pStyle w:val="TableParagraph"/>
              <w:tabs>
                <w:tab w:pos="1463" w:val="left" w:leader="none"/>
                <w:tab w:pos="2773" w:val="left" w:leader="none"/>
              </w:tabs>
              <w:spacing w:line="268" w:lineRule="exact"/>
              <w:ind w:left="3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34,346,740</w:t>
              <w:tab/>
            </w:r>
            <w:r>
              <w:rPr>
                <w:rFonts w:ascii="Arial"/>
                <w:sz w:val="24"/>
              </w:rPr>
            </w:r>
          </w:p>
        </w:tc>
      </w:tr>
      <w:tr>
        <w:trPr>
          <w:trHeight w:val="400" w:hRule="exact"/>
        </w:trPr>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(a)</w:t>
            </w:r>
          </w:p>
        </w:tc>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2667" w:type="dxa"/>
            <w:gridSpan w:val="3"/>
            <w:tcBorders>
              <w:top w:val="nil" w:sz="6" w:space="0" w:color="auto"/>
              <w:left w:val="nil" w:sz="6" w:space="0" w:color="auto"/>
              <w:bottom w:val="nil" w:sz="6" w:space="0" w:color="auto"/>
              <w:right w:val="nil" w:sz="6" w:space="0" w:color="auto"/>
            </w:tcBorders>
          </w:tcPr>
          <w:p>
            <w:pPr/>
          </w:p>
        </w:tc>
        <w:tc>
          <w:tcPr>
            <w:tcW w:w="2808" w:type="dxa"/>
            <w:gridSpan w:val="2"/>
            <w:tcBorders>
              <w:top w:val="nil" w:sz="6" w:space="0" w:color="auto"/>
              <w:left w:val="nil" w:sz="6" w:space="0" w:color="auto"/>
              <w:bottom w:val="nil" w:sz="6" w:space="0" w:color="auto"/>
              <w:right w:val="nil" w:sz="6" w:space="0" w:color="auto"/>
            </w:tcBorders>
          </w:tcPr>
          <w:p>
            <w:pPr/>
          </w:p>
        </w:tc>
      </w:tr>
      <w:tr>
        <w:trPr>
          <w:trHeight w:val="630" w:hRule="exact"/>
        </w:trPr>
        <w:tc>
          <w:tcPr>
            <w:tcW w:w="1003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3"/>
                <w:szCs w:val="23"/>
              </w:rPr>
            </w:pPr>
          </w:p>
          <w:p>
            <w:pPr>
              <w:pStyle w:val="TableParagraph"/>
              <w:tabs>
                <w:tab w:pos="7768" w:val="left" w:leader="none"/>
              </w:tabs>
              <w:spacing w:line="240" w:lineRule="auto"/>
              <w:ind w:left="4102"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tab/>
            </w: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270" w:hRule="exact"/>
        </w:trPr>
        <w:tc>
          <w:tcPr>
            <w:tcW w:w="6369" w:type="dxa"/>
            <w:gridSpan w:val="4"/>
            <w:tcBorders>
              <w:top w:val="nil" w:sz="6" w:space="0" w:color="auto"/>
              <w:left w:val="nil" w:sz="6" w:space="0" w:color="auto"/>
              <w:bottom w:val="nil" w:sz="6" w:space="0" w:color="auto"/>
              <w:right w:val="nil" w:sz="6" w:space="0" w:color="auto"/>
            </w:tcBorders>
          </w:tcPr>
          <w:p>
            <w:pPr>
              <w:pStyle w:val="TableParagraph"/>
              <w:tabs>
                <w:tab w:pos="4827" w:val="left" w:leader="none"/>
              </w:tabs>
              <w:spacing w:line="270" w:lineRule="exact"/>
              <w:ind w:left="3127" w:right="0"/>
              <w:jc w:val="left"/>
              <w:rPr>
                <w:rFonts w:ascii="宋体" w:hAnsi="宋体" w:cs="宋体" w:eastAsia="宋体" w:hint="default"/>
                <w:sz w:val="24"/>
                <w:szCs w:val="24"/>
              </w:rPr>
            </w:pPr>
            <w:r>
              <w:rPr>
                <w:rFonts w:ascii="宋体" w:hAnsi="宋体" w:cs="宋体" w:eastAsia="宋体" w:hint="default"/>
                <w:sz w:val="24"/>
                <w:szCs w:val="24"/>
              </w:rPr>
              <w:t>主营业务收入</w:t>
              <w:tab/>
              <w:t>主营业务成本</w:t>
            </w:r>
          </w:p>
        </w:tc>
        <w:tc>
          <w:tcPr>
            <w:tcW w:w="860"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383" w:right="-4"/>
              <w:jc w:val="left"/>
              <w:rPr>
                <w:rFonts w:ascii="宋体" w:hAnsi="宋体" w:cs="宋体" w:eastAsia="宋体" w:hint="default"/>
                <w:sz w:val="24"/>
                <w:szCs w:val="24"/>
              </w:rPr>
            </w:pPr>
            <w:r>
              <w:rPr>
                <w:rFonts w:ascii="宋体" w:hAnsi="宋体" w:cs="宋体" w:eastAsia="宋体" w:hint="default"/>
                <w:sz w:val="24"/>
                <w:szCs w:val="24"/>
              </w:rPr>
              <w:t>主营</w:t>
            </w:r>
          </w:p>
        </w:tc>
        <w:tc>
          <w:tcPr>
            <w:tcW w:w="1096" w:type="dxa"/>
            <w:tcBorders>
              <w:top w:val="nil" w:sz="6" w:space="0" w:color="auto"/>
              <w:left w:val="nil" w:sz="6" w:space="0" w:color="auto"/>
              <w:bottom w:val="nil" w:sz="6" w:space="0" w:color="auto"/>
              <w:right w:val="nil" w:sz="6" w:space="0" w:color="auto"/>
            </w:tcBorders>
          </w:tcPr>
          <w:p>
            <w:pPr>
              <w:pStyle w:val="TableParagraph"/>
              <w:spacing w:line="270" w:lineRule="exact"/>
              <w:ind w:left="3" w:right="0"/>
              <w:jc w:val="left"/>
              <w:rPr>
                <w:rFonts w:ascii="宋体" w:hAnsi="宋体" w:cs="宋体" w:eastAsia="宋体" w:hint="default"/>
                <w:sz w:val="24"/>
                <w:szCs w:val="24"/>
              </w:rPr>
            </w:pPr>
            <w:r>
              <w:rPr>
                <w:rFonts w:ascii="宋体" w:hAnsi="宋体" w:cs="宋体" w:eastAsia="宋体" w:hint="default"/>
                <w:sz w:val="24"/>
                <w:szCs w:val="24"/>
              </w:rPr>
              <w:t>业务收入</w:t>
            </w:r>
          </w:p>
        </w:tc>
        <w:tc>
          <w:tcPr>
            <w:tcW w:w="1712" w:type="dxa"/>
            <w:tcBorders>
              <w:top w:val="nil" w:sz="6" w:space="0" w:color="auto"/>
              <w:left w:val="nil" w:sz="6" w:space="0" w:color="auto"/>
              <w:bottom w:val="nil" w:sz="6" w:space="0" w:color="auto"/>
              <w:right w:val="nil" w:sz="6" w:space="0" w:color="auto"/>
            </w:tcBorders>
          </w:tcPr>
          <w:p>
            <w:pPr>
              <w:pStyle w:val="TableParagraph"/>
              <w:spacing w:line="270" w:lineRule="exact"/>
              <w:ind w:right="139"/>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89" w:hRule="exact"/>
        </w:trPr>
        <w:tc>
          <w:tcPr>
            <w:tcW w:w="10037" w:type="dxa"/>
            <w:gridSpan w:val="8"/>
            <w:tcBorders>
              <w:top w:val="nil" w:sz="6" w:space="0" w:color="auto"/>
              <w:left w:val="nil" w:sz="6" w:space="0" w:color="auto"/>
              <w:bottom w:val="nil" w:sz="6" w:space="0" w:color="auto"/>
              <w:right w:val="nil" w:sz="6" w:space="0" w:color="auto"/>
            </w:tcBorders>
          </w:tcPr>
          <w:p>
            <w:pPr>
              <w:pStyle w:val="TableParagraph"/>
              <w:spacing w:line="329" w:lineRule="exact"/>
              <w:ind w:left="577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706"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
              <w:jc w:val="right"/>
              <w:rPr>
                <w:rFonts w:ascii="Arial" w:hAnsi="Arial" w:cs="Arial" w:eastAsia="Arial" w:hint="default"/>
                <w:sz w:val="24"/>
                <w:szCs w:val="24"/>
              </w:rPr>
            </w:pPr>
            <w:r>
              <w:rPr>
                <w:rFonts w:ascii="Arial"/>
                <w:w w:val="95"/>
                <w:sz w:val="24"/>
              </w:rPr>
              <w:t>13,739,446</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2"/>
                <w:w w:val="95"/>
                <w:sz w:val="24"/>
              </w:rPr>
              <w:t>11,224,495</w:t>
            </w:r>
            <w:r>
              <w:rPr>
                <w:rFonts w:ascii="Arial"/>
                <w:spacing w:val="-2"/>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4"/>
              <w:ind w:left="407" w:right="0"/>
              <w:jc w:val="left"/>
              <w:rPr>
                <w:rFonts w:ascii="Arial" w:hAnsi="Arial" w:cs="Arial" w:eastAsia="Arial" w:hint="default"/>
                <w:sz w:val="24"/>
                <w:szCs w:val="24"/>
              </w:rPr>
            </w:pPr>
            <w:r>
              <w:rPr>
                <w:rFonts w:ascii="Arial"/>
                <w:sz w:val="24"/>
              </w:rPr>
              <w:t>11,379,107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0"/>
              <w:jc w:val="right"/>
              <w:rPr>
                <w:rFonts w:ascii="Arial" w:hAnsi="Arial" w:cs="Arial" w:eastAsia="Arial" w:hint="default"/>
                <w:sz w:val="24"/>
                <w:szCs w:val="24"/>
              </w:rPr>
            </w:pPr>
            <w:r>
              <w:rPr>
                <w:rFonts w:ascii="Arial"/>
                <w:w w:val="95"/>
                <w:sz w:val="24"/>
              </w:rPr>
              <w:t>9,944,594</w:t>
            </w:r>
            <w:r>
              <w:rPr>
                <w:rFonts w:ascii="Arial"/>
                <w:sz w:val="24"/>
              </w:rPr>
            </w:r>
          </w:p>
        </w:tc>
      </w:tr>
      <w:tr>
        <w:trPr>
          <w:trHeight w:val="312"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06"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8,049,444</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6,675,030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22" w:right="0"/>
              <w:jc w:val="left"/>
              <w:rPr>
                <w:rFonts w:ascii="Arial" w:hAnsi="Arial" w:cs="Arial" w:eastAsia="Arial" w:hint="default"/>
                <w:sz w:val="24"/>
                <w:szCs w:val="24"/>
              </w:rPr>
            </w:pPr>
            <w:r>
              <w:rPr>
                <w:rFonts w:ascii="Arial"/>
                <w:sz w:val="24"/>
              </w:rPr>
              <w:t>6,484,352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5,686,676</w:t>
            </w:r>
            <w:r>
              <w:rPr>
                <w:rFonts w:ascii="Arial"/>
                <w:sz w:val="24"/>
              </w:rPr>
            </w:r>
          </w:p>
        </w:tc>
      </w:tr>
      <w:tr>
        <w:trPr>
          <w:trHeight w:val="312"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06"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6,495,254</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5,559,768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22" w:right="0"/>
              <w:jc w:val="left"/>
              <w:rPr>
                <w:rFonts w:ascii="Arial" w:hAnsi="Arial" w:cs="Arial" w:eastAsia="Arial" w:hint="default"/>
                <w:sz w:val="24"/>
                <w:szCs w:val="24"/>
              </w:rPr>
            </w:pPr>
            <w:r>
              <w:rPr>
                <w:rFonts w:ascii="Arial"/>
                <w:sz w:val="24"/>
              </w:rPr>
              <w:t>5,939,429</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5,256,593</w:t>
            </w:r>
            <w:r>
              <w:rPr>
                <w:rFonts w:ascii="Arial"/>
                <w:sz w:val="24"/>
              </w:rPr>
            </w:r>
          </w:p>
        </w:tc>
      </w:tr>
      <w:tr>
        <w:trPr>
          <w:trHeight w:val="312"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06"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6,054,791</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5,603,102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22" w:right="0"/>
              <w:jc w:val="left"/>
              <w:rPr>
                <w:rFonts w:ascii="Arial" w:hAnsi="Arial" w:cs="Arial" w:eastAsia="Arial" w:hint="default"/>
                <w:sz w:val="24"/>
                <w:szCs w:val="24"/>
              </w:rPr>
            </w:pPr>
            <w:r>
              <w:rPr>
                <w:rFonts w:ascii="Arial"/>
                <w:sz w:val="24"/>
              </w:rPr>
              <w:t>5,371,142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4,980,534</w:t>
            </w:r>
            <w:r>
              <w:rPr>
                <w:rFonts w:ascii="Arial"/>
                <w:sz w:val="24"/>
              </w:rPr>
            </w:r>
          </w:p>
        </w:tc>
      </w:tr>
      <w:tr>
        <w:trPr>
          <w:trHeight w:val="318"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96" w:lineRule="exact"/>
              <w:ind w:left="706"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6,783,139</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6,403,540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21" w:right="0"/>
              <w:jc w:val="left"/>
              <w:rPr>
                <w:rFonts w:ascii="Arial" w:hAnsi="Arial" w:cs="Arial" w:eastAsia="Arial" w:hint="default"/>
                <w:sz w:val="24"/>
                <w:szCs w:val="24"/>
              </w:rPr>
            </w:pPr>
            <w:r>
              <w:rPr>
                <w:rFonts w:ascii="Arial"/>
                <w:sz w:val="24"/>
              </w:rPr>
              <w:t>4,642,173</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4,466,975</w:t>
            </w:r>
            <w:r>
              <w:rPr>
                <w:rFonts w:ascii="Arial"/>
                <w:sz w:val="24"/>
              </w:rPr>
            </w:r>
          </w:p>
        </w:tc>
      </w:tr>
      <w:tr>
        <w:trPr>
          <w:trHeight w:val="306"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3" w:lineRule="exact"/>
              <w:ind w:left="706"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665" w:type="dxa"/>
            <w:tcBorders>
              <w:top w:val="nil" w:sz="6" w:space="0" w:color="auto"/>
              <w:left w:val="nil" w:sz="6" w:space="0" w:color="auto"/>
              <w:bottom w:val="nil" w:sz="6" w:space="0" w:color="auto"/>
              <w:right w:val="nil" w:sz="6" w:space="0" w:color="auto"/>
            </w:tcBorders>
          </w:tcPr>
          <w:p>
            <w:pPr>
              <w:pStyle w:val="TableParagraph"/>
              <w:spacing w:line="272" w:lineRule="exact"/>
              <w:ind w:right="3"/>
              <w:jc w:val="right"/>
              <w:rPr>
                <w:rFonts w:ascii="Arial" w:hAnsi="Arial" w:cs="Arial" w:eastAsia="Arial" w:hint="default"/>
                <w:sz w:val="24"/>
                <w:szCs w:val="24"/>
              </w:rPr>
            </w:pPr>
            <w:r>
              <w:rPr>
                <w:rFonts w:ascii="Arial"/>
                <w:spacing w:val="-1"/>
                <w:w w:val="95"/>
                <w:sz w:val="24"/>
              </w:rPr>
              <w:t>6,666,535</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w w:val="95"/>
                <w:sz w:val="24"/>
              </w:rPr>
              <w:t>5,547,632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72" w:lineRule="exact"/>
              <w:ind w:left="522" w:right="0"/>
              <w:jc w:val="left"/>
              <w:rPr>
                <w:rFonts w:ascii="Arial" w:hAnsi="Arial" w:cs="Arial" w:eastAsia="Arial" w:hint="default"/>
                <w:sz w:val="24"/>
                <w:szCs w:val="24"/>
              </w:rPr>
            </w:pPr>
            <w:r>
              <w:rPr>
                <w:rFonts w:ascii="Arial"/>
                <w:sz w:val="24"/>
              </w:rPr>
              <w:t>4,462,497</w:t>
            </w:r>
          </w:p>
        </w:tc>
        <w:tc>
          <w:tcPr>
            <w:tcW w:w="1712" w:type="dxa"/>
            <w:tcBorders>
              <w:top w:val="nil" w:sz="6" w:space="0" w:color="auto"/>
              <w:left w:val="nil" w:sz="6" w:space="0" w:color="auto"/>
              <w:bottom w:val="nil" w:sz="6" w:space="0" w:color="auto"/>
              <w:right w:val="nil" w:sz="6" w:space="0" w:color="auto"/>
            </w:tcBorders>
          </w:tcPr>
          <w:p>
            <w:pPr>
              <w:pStyle w:val="TableParagraph"/>
              <w:spacing w:line="272" w:lineRule="exact"/>
              <w:ind w:right="160"/>
              <w:jc w:val="right"/>
              <w:rPr>
                <w:rFonts w:ascii="Arial" w:hAnsi="Arial" w:cs="Arial" w:eastAsia="Arial" w:hint="default"/>
                <w:sz w:val="24"/>
                <w:szCs w:val="24"/>
              </w:rPr>
            </w:pPr>
            <w:r>
              <w:rPr>
                <w:rFonts w:ascii="Arial"/>
                <w:spacing w:val="-1"/>
                <w:w w:val="95"/>
                <w:sz w:val="24"/>
              </w:rPr>
              <w:t>3,772,687</w:t>
            </w:r>
            <w:r>
              <w:rPr>
                <w:rFonts w:ascii="Arial"/>
                <w:sz w:val="24"/>
              </w:rPr>
            </w:r>
          </w:p>
        </w:tc>
      </w:tr>
      <w:tr>
        <w:trPr>
          <w:trHeight w:val="312"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06"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483,650</w:t>
            </w:r>
            <w:r>
              <w:rPr>
                <w:rFonts w:ascii="Arial"/>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270,638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724" w:right="0"/>
              <w:jc w:val="left"/>
              <w:rPr>
                <w:rFonts w:ascii="Arial" w:hAnsi="Arial" w:cs="Arial" w:eastAsia="Arial" w:hint="default"/>
                <w:sz w:val="24"/>
                <w:szCs w:val="24"/>
              </w:rPr>
            </w:pPr>
            <w:r>
              <w:rPr>
                <w:rFonts w:ascii="Arial"/>
                <w:sz w:val="24"/>
              </w:rPr>
              <w:t>314,723</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165,491</w:t>
            </w:r>
            <w:r>
              <w:rPr>
                <w:rFonts w:ascii="Arial"/>
                <w:sz w:val="24"/>
              </w:rPr>
            </w:r>
          </w:p>
        </w:tc>
      </w:tr>
      <w:tr>
        <w:trPr>
          <w:trHeight w:val="319" w:hRule="exact"/>
        </w:trPr>
        <w:tc>
          <w:tcPr>
            <w:tcW w:w="289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706" w:right="0"/>
              <w:jc w:val="left"/>
              <w:rPr>
                <w:rFonts w:ascii="宋体" w:hAnsi="宋体" w:cs="宋体" w:eastAsia="宋体" w:hint="default"/>
                <w:sz w:val="24"/>
                <w:szCs w:val="24"/>
              </w:rPr>
            </w:pPr>
            <w:r>
              <w:rPr>
                <w:rFonts w:ascii="宋体" w:hAnsi="宋体" w:cs="宋体" w:eastAsia="宋体" w:hint="default"/>
                <w:sz w:val="24"/>
                <w:szCs w:val="24"/>
              </w:rPr>
              <w:t>其他产品</w:t>
            </w:r>
          </w:p>
        </w:tc>
        <w:tc>
          <w:tcPr>
            <w:tcW w:w="1665"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3"/>
              <w:jc w:val="right"/>
              <w:rPr>
                <w:rFonts w:ascii="Arial" w:hAnsi="Arial" w:cs="Arial" w:eastAsia="Arial" w:hint="default"/>
                <w:sz w:val="24"/>
                <w:szCs w:val="24"/>
              </w:rPr>
            </w:pPr>
            <w:r>
              <w:rPr>
                <w:rFonts w:ascii="Arial"/>
                <w:spacing w:val="-1"/>
                <w:w w:val="95"/>
                <w:sz w:val="24"/>
              </w:rPr>
              <w:t>38,780</w:t>
            </w:r>
            <w:r>
              <w:rPr>
                <w:rFonts w:ascii="Arial"/>
                <w:sz w:val="24"/>
              </w:rPr>
            </w: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8,432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2"/>
              <w:ind w:left="857" w:right="0"/>
              <w:jc w:val="left"/>
              <w:rPr>
                <w:rFonts w:ascii="Arial" w:hAnsi="Arial" w:cs="Arial" w:eastAsia="Arial" w:hint="default"/>
                <w:sz w:val="24"/>
                <w:szCs w:val="24"/>
              </w:rPr>
            </w:pPr>
            <w:r>
              <w:rPr>
                <w:rFonts w:ascii="Arial"/>
                <w:sz w:val="24"/>
              </w:rPr>
              <w:t>83,101</w:t>
            </w:r>
          </w:p>
        </w:tc>
        <w:tc>
          <w:tcPr>
            <w:tcW w:w="1712"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60"/>
              <w:jc w:val="right"/>
              <w:rPr>
                <w:rFonts w:ascii="Arial" w:hAnsi="Arial" w:cs="Arial" w:eastAsia="Arial" w:hint="default"/>
                <w:sz w:val="24"/>
                <w:szCs w:val="24"/>
              </w:rPr>
            </w:pPr>
            <w:r>
              <w:rPr>
                <w:rFonts w:ascii="Arial"/>
                <w:spacing w:val="-1"/>
                <w:w w:val="95"/>
                <w:sz w:val="24"/>
              </w:rPr>
              <w:t>51,191</w:t>
            </w:r>
            <w:r>
              <w:rPr>
                <w:rFonts w:ascii="Arial"/>
                <w:sz w:val="24"/>
              </w:rPr>
            </w:r>
          </w:p>
        </w:tc>
      </w:tr>
      <w:tr>
        <w:trPr>
          <w:trHeight w:val="293" w:hRule="exact"/>
        </w:trPr>
        <w:tc>
          <w:tcPr>
            <w:tcW w:w="2897" w:type="dxa"/>
            <w:gridSpan w:val="2"/>
            <w:tcBorders>
              <w:top w:val="nil" w:sz="6" w:space="0" w:color="auto"/>
              <w:left w:val="nil" w:sz="6" w:space="0" w:color="auto"/>
              <w:bottom w:val="nil" w:sz="6" w:space="0" w:color="auto"/>
              <w:right w:val="nil" w:sz="6" w:space="0" w:color="auto"/>
            </w:tcBorders>
          </w:tcPr>
          <w:p>
            <w:pPr/>
          </w:p>
        </w:tc>
        <w:tc>
          <w:tcPr>
            <w:tcW w:w="1665"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4"/>
              <w:jc w:val="right"/>
              <w:rPr>
                <w:rFonts w:ascii="Arial" w:hAnsi="Arial" w:cs="Arial" w:eastAsia="Arial" w:hint="default"/>
                <w:sz w:val="24"/>
                <w:szCs w:val="24"/>
              </w:rPr>
            </w:pPr>
            <w:r>
              <w:rPr>
                <w:rFonts w:ascii="Arial"/>
                <w:spacing w:val="-3"/>
                <w:sz w:val="24"/>
              </w:rPr>
              <w:t>48,311,039</w:t>
            </w:r>
            <w:r>
              <w:rPr>
                <w:rFonts w:ascii="Arial"/>
                <w:sz w:val="24"/>
              </w:rPr>
            </w:r>
          </w:p>
        </w:tc>
        <w:tc>
          <w:tcPr>
            <w:tcW w:w="180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sz w:val="24"/>
              </w:rPr>
              <w:t>41,292,637</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21" w:type="dxa"/>
            <w:gridSpan w:val="2"/>
            <w:tcBorders>
              <w:top w:val="single" w:sz="2" w:space="0" w:color="000000"/>
              <w:left w:val="nil" w:sz="6" w:space="0" w:color="auto"/>
              <w:bottom w:val="single" w:sz="12" w:space="0" w:color="000000"/>
              <w:right w:val="nil" w:sz="6" w:space="0" w:color="auto"/>
            </w:tcBorders>
          </w:tcPr>
          <w:p>
            <w:pPr>
              <w:pStyle w:val="TableParagraph"/>
              <w:spacing w:line="274" w:lineRule="exact"/>
              <w:ind w:left="390" w:right="0"/>
              <w:jc w:val="left"/>
              <w:rPr>
                <w:rFonts w:ascii="Arial" w:hAnsi="Arial" w:cs="Arial" w:eastAsia="Arial" w:hint="default"/>
                <w:sz w:val="24"/>
                <w:szCs w:val="24"/>
              </w:rPr>
            </w:pPr>
            <w:r>
              <w:rPr>
                <w:rFonts w:ascii="Arial"/>
                <w:sz w:val="24"/>
              </w:rPr>
              <w:t>38,676,524</w:t>
            </w:r>
          </w:p>
        </w:tc>
        <w:tc>
          <w:tcPr>
            <w:tcW w:w="1712"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60"/>
              <w:jc w:val="right"/>
              <w:rPr>
                <w:rFonts w:ascii="Arial" w:hAnsi="Arial" w:cs="Arial" w:eastAsia="Arial" w:hint="default"/>
                <w:sz w:val="24"/>
                <w:szCs w:val="24"/>
              </w:rPr>
            </w:pPr>
            <w:r>
              <w:rPr>
                <w:rFonts w:ascii="Arial"/>
                <w:spacing w:val="-1"/>
                <w:w w:val="95"/>
                <w:sz w:val="24"/>
              </w:rPr>
              <w:t>34,324,741</w:t>
            </w:r>
            <w:r>
              <w:rPr>
                <w:rFonts w:ascii="Arial"/>
                <w:sz w:val="24"/>
              </w:rPr>
            </w:r>
          </w:p>
        </w:tc>
      </w:tr>
    </w:tbl>
    <w:p>
      <w:pPr>
        <w:spacing w:line="240" w:lineRule="auto" w:before="0"/>
        <w:rPr>
          <w:rFonts w:ascii="Arial" w:hAnsi="Arial" w:cs="Arial" w:eastAsia="Arial" w:hint="default"/>
          <w:sz w:val="17"/>
          <w:szCs w:val="17"/>
        </w:rPr>
      </w:pPr>
    </w:p>
    <w:p>
      <w:pPr>
        <w:pStyle w:val="BodyText"/>
        <w:spacing w:line="322" w:lineRule="exact" w:before="26"/>
        <w:ind w:left="854" w:right="0"/>
        <w:jc w:val="left"/>
      </w:pPr>
      <w:r>
        <w:rPr/>
        <w:t>于</w:t>
      </w:r>
      <w:r>
        <w:rPr>
          <w:spacing w:val="-68"/>
        </w:rPr>
        <w:t> </w:t>
      </w:r>
      <w:r>
        <w:rPr>
          <w:rFonts w:ascii="Arial" w:hAnsi="Arial" w:cs="Arial" w:eastAsia="Arial" w:hint="default"/>
        </w:rPr>
        <w:t>2008</w:t>
      </w:r>
      <w:r>
        <w:rPr>
          <w:rFonts w:ascii="Arial" w:hAnsi="Arial" w:cs="Arial" w:eastAsia="Arial" w:hint="default"/>
          <w:spacing w:val="-15"/>
        </w:rPr>
        <w:t> </w:t>
      </w:r>
      <w:r>
        <w:rPr/>
        <w:t>年度，本集团前五名客户销售的收入总额约为人民币</w:t>
      </w:r>
      <w:r>
        <w:rPr>
          <w:spacing w:val="-68"/>
        </w:rPr>
        <w:t> </w:t>
      </w:r>
      <w:r>
        <w:rPr>
          <w:rFonts w:ascii="Arial" w:hAnsi="Arial" w:cs="Arial" w:eastAsia="Arial" w:hint="default"/>
        </w:rPr>
        <w:t>6,670</w:t>
      </w:r>
      <w:r>
        <w:rPr>
          <w:rFonts w:ascii="Arial" w:hAnsi="Arial" w:cs="Arial" w:eastAsia="Arial" w:hint="default"/>
          <w:spacing w:val="-15"/>
        </w:rPr>
        <w:t> </w:t>
      </w:r>
      <w:r>
        <w:rPr/>
        <w:t>万元</w:t>
      </w:r>
      <w:r>
        <w:rPr>
          <w:rFonts w:ascii="Arial" w:hAnsi="Arial" w:cs="Arial" w:eastAsia="Arial" w:hint="default"/>
        </w:rPr>
        <w:t>(2007</w:t>
      </w:r>
      <w:r>
        <w:rPr>
          <w:rFonts w:ascii="Arial" w:hAnsi="Arial" w:cs="Arial" w:eastAsia="Arial" w:hint="default"/>
          <w:spacing w:val="-15"/>
        </w:rPr>
        <w:t> </w:t>
      </w:r>
      <w:r>
        <w:rPr>
          <w:spacing w:val="-8"/>
        </w:rPr>
        <w:t>年度：约</w:t>
      </w:r>
    </w:p>
    <w:p>
      <w:pPr>
        <w:pStyle w:val="BodyText"/>
        <w:spacing w:line="312" w:lineRule="exact"/>
        <w:ind w:left="854" w:right="0"/>
        <w:jc w:val="left"/>
        <w:rPr>
          <w:rFonts w:ascii="Arial" w:hAnsi="Arial" w:cs="Arial" w:eastAsia="Arial" w:hint="default"/>
        </w:rPr>
      </w:pPr>
      <w:r>
        <w:rPr/>
        <w:t>人民币</w:t>
      </w:r>
      <w:r>
        <w:rPr>
          <w:spacing w:val="-79"/>
        </w:rPr>
        <w:t> </w:t>
      </w:r>
      <w:r>
        <w:rPr>
          <w:rFonts w:ascii="Arial" w:hAnsi="Arial" w:cs="Arial" w:eastAsia="Arial" w:hint="default"/>
        </w:rPr>
        <w:t>34.1</w:t>
      </w:r>
      <w:r>
        <w:rPr>
          <w:rFonts w:ascii="Arial" w:hAnsi="Arial" w:cs="Arial" w:eastAsia="Arial" w:hint="default"/>
          <w:spacing w:val="-26"/>
        </w:rPr>
        <w:t> </w:t>
      </w:r>
      <w:r>
        <w:rPr/>
        <w:t>亿元，均为向特许加盟公司的销售</w:t>
      </w:r>
      <w:r>
        <w:rPr>
          <w:rFonts w:ascii="Arial" w:hAnsi="Arial" w:cs="Arial" w:eastAsia="Arial" w:hint="default"/>
        </w:rPr>
        <w:t>)</w:t>
      </w:r>
      <w:r>
        <w:rPr/>
        <w:t>，占本集团全部销售收入的</w:t>
      </w:r>
      <w:r>
        <w:rPr>
          <w:spacing w:val="-80"/>
        </w:rPr>
        <w:t> </w:t>
      </w:r>
      <w:r>
        <w:rPr>
          <w:rFonts w:ascii="Arial" w:hAnsi="Arial" w:cs="Arial" w:eastAsia="Arial" w:hint="default"/>
        </w:rPr>
        <w:t>0.14%(2007</w:t>
      </w:r>
    </w:p>
    <w:p>
      <w:pPr>
        <w:pStyle w:val="BodyText"/>
        <w:spacing w:line="322" w:lineRule="exact"/>
        <w:ind w:left="854" w:right="3753"/>
        <w:jc w:val="left"/>
      </w:pPr>
      <w:r>
        <w:rPr/>
        <w:t>年度：</w:t>
      </w:r>
      <w:r>
        <w:rPr>
          <w:rFonts w:ascii="Arial" w:hAnsi="Arial" w:cs="Arial" w:eastAsia="Arial" w:hint="default"/>
        </w:rPr>
        <w:t>8.8%)</w:t>
      </w:r>
      <w:r>
        <w:rPr/>
        <w:t>。</w:t>
      </w:r>
    </w:p>
    <w:p>
      <w:pPr>
        <w:spacing w:after="0" w:line="322" w:lineRule="exact"/>
        <w:jc w:val="left"/>
        <w:sectPr>
          <w:pgSz w:w="11910" w:h="16840"/>
          <w:pgMar w:header="752" w:footer="707" w:top="1020" w:bottom="900" w:left="860" w:right="740"/>
        </w:sectPr>
      </w:pPr>
    </w:p>
    <w:p>
      <w:pPr>
        <w:spacing w:line="240" w:lineRule="auto" w:before="0"/>
        <w:rPr>
          <w:rFonts w:ascii="宋体" w:hAnsi="宋体" w:cs="宋体" w:eastAsia="宋体" w:hint="default"/>
          <w:sz w:val="20"/>
          <w:szCs w:val="20"/>
        </w:rPr>
      </w:pPr>
    </w:p>
    <w:p>
      <w:pPr>
        <w:pStyle w:val="Heading2"/>
        <w:tabs>
          <w:tab w:pos="789" w:val="left" w:leader="none"/>
        </w:tabs>
        <w:spacing w:line="240" w:lineRule="auto" w:before="158"/>
        <w:ind w:left="117"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spacing w:before="0"/>
        <w:ind w:left="197" w:right="0" w:firstLine="0"/>
        <w:jc w:val="left"/>
        <w:rPr>
          <w:rFonts w:ascii="Arial" w:hAnsi="Arial" w:cs="Arial" w:eastAsia="Arial" w:hint="default"/>
          <w:sz w:val="24"/>
          <w:szCs w:val="24"/>
        </w:rPr>
      </w:pPr>
      <w:r>
        <w:rPr>
          <w:rFonts w:ascii="Arial" w:hAnsi="Arial" w:cs="Arial" w:eastAsia="Arial" w:hint="default"/>
          <w:position w:val="2"/>
          <w:sz w:val="24"/>
          <w:szCs w:val="24"/>
        </w:rPr>
        <w:t>(29) </w:t>
      </w:r>
      <w:r>
        <w:rPr>
          <w:rFonts w:ascii="Arial" w:hAnsi="Arial" w:cs="Arial" w:eastAsia="Arial" w:hint="default"/>
          <w:spacing w:val="22"/>
          <w:position w:val="2"/>
          <w:sz w:val="24"/>
          <w:szCs w:val="24"/>
        </w:rPr>
        <w:t> </w:t>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89" w:val="left" w:leader="none"/>
        </w:tabs>
        <w:spacing w:line="240" w:lineRule="auto"/>
        <w:ind w:left="209" w:right="0"/>
        <w:jc w:val="left"/>
      </w:pPr>
      <w:r>
        <w:rPr>
          <w:rFonts w:ascii="Arial" w:hAnsi="Arial" w:cs="Arial" w:eastAsia="Arial" w:hint="default"/>
          <w:w w:val="95"/>
          <w:position w:val="2"/>
        </w:rPr>
        <w:t>(b)</w:t>
        <w:tab/>
      </w:r>
      <w:r>
        <w:rPr/>
        <w:t>其他业务收入和其他业务成本</w:t>
      </w:r>
    </w:p>
    <w:p>
      <w:pPr>
        <w:spacing w:line="240" w:lineRule="auto" w:before="12"/>
        <w:rPr>
          <w:rFonts w:ascii="宋体" w:hAnsi="宋体" w:cs="宋体" w:eastAsia="宋体" w:hint="default"/>
          <w:sz w:val="18"/>
          <w:szCs w:val="18"/>
        </w:rPr>
      </w:pPr>
    </w:p>
    <w:p>
      <w:pPr>
        <w:pStyle w:val="BodyText"/>
        <w:tabs>
          <w:tab w:pos="7841" w:val="left" w:leader="none"/>
        </w:tabs>
        <w:spacing w:line="240" w:lineRule="auto" w:before="26"/>
        <w:ind w:left="4250" w:right="0"/>
        <w:jc w:val="left"/>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tbl>
      <w:tblPr>
        <w:tblW w:w="0" w:type="auto"/>
        <w:jc w:val="left"/>
        <w:tblInd w:w="147" w:type="dxa"/>
        <w:tblLayout w:type="fixed"/>
        <w:tblCellMar>
          <w:top w:w="0" w:type="dxa"/>
          <w:left w:w="0" w:type="dxa"/>
          <w:bottom w:w="0" w:type="dxa"/>
          <w:right w:w="0" w:type="dxa"/>
        </w:tblCellMar>
        <w:tblLook w:val="01E0"/>
      </w:tblPr>
      <w:tblGrid>
        <w:gridCol w:w="583"/>
        <w:gridCol w:w="3282"/>
        <w:gridCol w:w="832"/>
        <w:gridCol w:w="1893"/>
        <w:gridCol w:w="589"/>
        <w:gridCol w:w="1029"/>
        <w:gridCol w:w="1669"/>
      </w:tblGrid>
      <w:tr>
        <w:trPr>
          <w:trHeight w:val="274" w:hRule="exact"/>
        </w:trPr>
        <w:tc>
          <w:tcPr>
            <w:tcW w:w="4698" w:type="dxa"/>
            <w:gridSpan w:val="3"/>
            <w:tcBorders>
              <w:top w:val="nil" w:sz="6" w:space="0" w:color="auto"/>
              <w:left w:val="nil" w:sz="6" w:space="0" w:color="auto"/>
              <w:bottom w:val="nil" w:sz="6" w:space="0" w:color="auto"/>
              <w:right w:val="nil" w:sz="6" w:space="0" w:color="auto"/>
            </w:tcBorders>
          </w:tcPr>
          <w:p>
            <w:pPr>
              <w:pStyle w:val="TableParagraph"/>
              <w:spacing w:line="274" w:lineRule="exact"/>
              <w:ind w:left="312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893" w:type="dxa"/>
            <w:tcBorders>
              <w:top w:val="nil" w:sz="6" w:space="0" w:color="auto"/>
              <w:left w:val="nil" w:sz="6" w:space="0" w:color="auto"/>
              <w:bottom w:val="nil" w:sz="6" w:space="0" w:color="auto"/>
              <w:right w:val="nil" w:sz="6" w:space="0" w:color="auto"/>
            </w:tcBorders>
          </w:tcPr>
          <w:p>
            <w:pPr>
              <w:pStyle w:val="TableParagraph"/>
              <w:spacing w:line="274" w:lineRule="exact"/>
              <w:ind w:left="130"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618"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669" w:type="dxa"/>
            <w:tcBorders>
              <w:top w:val="nil" w:sz="6" w:space="0" w:color="auto"/>
              <w:left w:val="nil" w:sz="6" w:space="0" w:color="auto"/>
              <w:bottom w:val="nil" w:sz="6" w:space="0" w:color="auto"/>
              <w:right w:val="nil" w:sz="6" w:space="0" w:color="auto"/>
            </w:tcBorders>
          </w:tcPr>
          <w:p>
            <w:pPr>
              <w:pStyle w:val="TableParagraph"/>
              <w:spacing w:line="274"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其他业务成本</w:t>
            </w:r>
          </w:p>
        </w:tc>
      </w:tr>
      <w:tr>
        <w:trPr>
          <w:trHeight w:val="492" w:hRule="exact"/>
        </w:trPr>
        <w:tc>
          <w:tcPr>
            <w:tcW w:w="9878" w:type="dxa"/>
            <w:gridSpan w:val="7"/>
            <w:tcBorders>
              <w:top w:val="nil" w:sz="6" w:space="0" w:color="auto"/>
              <w:left w:val="nil" w:sz="6" w:space="0" w:color="auto"/>
              <w:bottom w:val="nil" w:sz="6" w:space="0" w:color="auto"/>
              <w:right w:val="nil" w:sz="6" w:space="0" w:color="auto"/>
            </w:tcBorders>
          </w:tcPr>
          <w:p>
            <w:pPr>
              <w:pStyle w:val="TableParagraph"/>
              <w:spacing w:line="329" w:lineRule="exact"/>
              <w:ind w:left="5696"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3499" w:val="left" w:leader="none"/>
                <w:tab w:pos="6186" w:val="left" w:leader="none"/>
                <w:tab w:pos="7046" w:val="left" w:leader="none"/>
              </w:tabs>
              <w:spacing w:line="240" w:lineRule="auto" w:before="92"/>
              <w:ind w:left="706" w:right="0"/>
              <w:jc w:val="left"/>
              <w:rPr>
                <w:rFonts w:ascii="Arial" w:hAnsi="Arial" w:cs="Arial" w:eastAsia="Arial" w:hint="default"/>
                <w:sz w:val="24"/>
                <w:szCs w:val="24"/>
              </w:rPr>
            </w:pPr>
            <w:r>
              <w:rPr>
                <w:rFonts w:ascii="宋体" w:hAnsi="宋体" w:cs="宋体" w:eastAsia="宋体" w:hint="default"/>
                <w:position w:val="2"/>
                <w:sz w:val="24"/>
                <w:szCs w:val="24"/>
              </w:rPr>
              <w:t>连锁店服务收入</w:t>
            </w:r>
            <w:r>
              <w:rPr>
                <w:rFonts w:ascii="Arial" w:hAnsi="Arial" w:cs="Arial" w:eastAsia="Arial" w:hint="default"/>
                <w:position w:val="2"/>
                <w:sz w:val="24"/>
                <w:szCs w:val="24"/>
              </w:rPr>
              <w:t>(</w:t>
            </w:r>
            <w:r>
              <w:rPr>
                <w:rFonts w:ascii="宋体" w:hAnsi="宋体" w:cs="宋体" w:eastAsia="宋体" w:hint="default"/>
                <w:position w:val="2"/>
                <w:sz w:val="24"/>
                <w:szCs w:val="24"/>
              </w:rPr>
              <w:t>注</w:t>
            </w:r>
            <w:r>
              <w:rPr>
                <w:rFonts w:ascii="Arial" w:hAnsi="Arial" w:cs="Arial" w:eastAsia="Arial" w:hint="default"/>
                <w:position w:val="2"/>
                <w:sz w:val="24"/>
                <w:szCs w:val="24"/>
              </w:rPr>
              <w:t>)</w:t>
              <w:tab/>
            </w:r>
            <w:r>
              <w:rPr>
                <w:rFonts w:ascii="Arial" w:hAnsi="Arial" w:cs="Arial" w:eastAsia="Arial" w:hint="default"/>
                <w:spacing w:val="-1"/>
                <w:sz w:val="24"/>
                <w:szCs w:val="24"/>
              </w:rPr>
              <w:t>1,160,094</w:t>
              <w:tab/>
            </w:r>
            <w:r>
              <w:rPr>
                <w:rFonts w:ascii="Arial" w:hAnsi="Arial" w:cs="Arial" w:eastAsia="Arial" w:hint="default"/>
                <w:sz w:val="24"/>
                <w:szCs w:val="24"/>
              </w:rPr>
              <w:t>-</w:t>
              <w:tab/>
            </w:r>
            <w:r>
              <w:rPr>
                <w:rFonts w:ascii="Arial" w:hAnsi="Arial" w:cs="Arial" w:eastAsia="Arial" w:hint="default"/>
                <w:spacing w:val="-1"/>
                <w:sz w:val="24"/>
                <w:szCs w:val="24"/>
              </w:rPr>
              <w:t>1,151,673</w:t>
            </w:r>
            <w:r>
              <w:rPr>
                <w:rFonts w:ascii="Arial" w:hAnsi="Arial" w:cs="Arial" w:eastAsia="Arial" w:hint="default"/>
                <w:sz w:val="24"/>
                <w:szCs w:val="24"/>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3"/>
              <w:jc w:val="right"/>
              <w:rPr>
                <w:rFonts w:ascii="Arial" w:hAnsi="Arial" w:cs="Arial" w:eastAsia="Arial" w:hint="default"/>
                <w:sz w:val="24"/>
                <w:szCs w:val="24"/>
              </w:rPr>
            </w:pPr>
            <w:r>
              <w:rPr>
                <w:rFonts w:ascii="Arial"/>
                <w:w w:val="99"/>
                <w:sz w:val="24"/>
              </w:rPr>
              <w:t>-</w:t>
            </w:r>
            <w:r>
              <w:rPr>
                <w:rFonts w:ascii="Arial"/>
                <w:sz w:val="24"/>
              </w:rPr>
            </w:r>
          </w:p>
        </w:tc>
      </w:tr>
      <w:tr>
        <w:trPr>
          <w:trHeight w:val="309"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3700" w:val="left" w:leader="none"/>
                <w:tab w:pos="6186" w:val="left" w:leader="none"/>
                <w:tab w:pos="7247" w:val="left" w:leader="none"/>
              </w:tabs>
              <w:spacing w:line="296" w:lineRule="exact"/>
              <w:ind w:left="706" w:right="0"/>
              <w:jc w:val="left"/>
              <w:rPr>
                <w:rFonts w:ascii="Arial" w:hAnsi="Arial" w:cs="Arial" w:eastAsia="Arial" w:hint="default"/>
                <w:sz w:val="24"/>
                <w:szCs w:val="24"/>
              </w:rPr>
            </w:pPr>
            <w:r>
              <w:rPr>
                <w:rFonts w:ascii="宋体" w:hAnsi="宋体" w:cs="宋体" w:eastAsia="宋体" w:hint="default"/>
                <w:position w:val="2"/>
                <w:sz w:val="24"/>
                <w:szCs w:val="24"/>
              </w:rPr>
              <w:t>广告位使用费收入</w:t>
              <w:tab/>
            </w:r>
            <w:r>
              <w:rPr>
                <w:rFonts w:ascii="Arial" w:hAnsi="Arial" w:cs="Arial" w:eastAsia="Arial" w:hint="default"/>
                <w:spacing w:val="-1"/>
                <w:sz w:val="24"/>
                <w:szCs w:val="24"/>
              </w:rPr>
              <w:t>253,684</w:t>
              <w:tab/>
            </w:r>
            <w:r>
              <w:rPr>
                <w:rFonts w:ascii="Arial" w:hAnsi="Arial" w:cs="Arial" w:eastAsia="Arial" w:hint="default"/>
                <w:sz w:val="24"/>
                <w:szCs w:val="24"/>
              </w:rPr>
              <w:t>-</w:t>
              <w:tab/>
            </w:r>
            <w:r>
              <w:rPr>
                <w:rFonts w:ascii="Arial" w:hAnsi="Arial" w:cs="Arial" w:eastAsia="Arial" w:hint="default"/>
                <w:spacing w:val="-1"/>
                <w:sz w:val="24"/>
                <w:szCs w:val="24"/>
              </w:rPr>
              <w:t>201,948</w:t>
            </w:r>
            <w:r>
              <w:rPr>
                <w:rFonts w:ascii="Arial" w:hAnsi="Arial" w:cs="Arial" w:eastAsia="Arial" w:hint="default"/>
                <w:sz w:val="24"/>
                <w:szCs w:val="24"/>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w w:val="99"/>
                <w:sz w:val="24"/>
              </w:rPr>
              <w:t>-</w:t>
            </w:r>
            <w:r>
              <w:rPr>
                <w:rFonts w:ascii="Arial"/>
                <w:sz w:val="24"/>
              </w:rPr>
            </w:r>
          </w:p>
        </w:tc>
      </w:tr>
      <w:tr>
        <w:trPr>
          <w:trHeight w:val="315"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3834" w:val="left" w:leader="none"/>
                <w:tab w:pos="6187" w:val="left" w:leader="none"/>
                <w:tab w:pos="7381" w:val="left" w:leader="none"/>
              </w:tabs>
              <w:spacing w:line="299" w:lineRule="exact"/>
              <w:ind w:left="706" w:right="0"/>
              <w:jc w:val="left"/>
              <w:rPr>
                <w:rFonts w:ascii="Arial" w:hAnsi="Arial" w:cs="Arial" w:eastAsia="Arial" w:hint="default"/>
                <w:sz w:val="24"/>
                <w:szCs w:val="24"/>
              </w:rPr>
            </w:pPr>
            <w:r>
              <w:rPr>
                <w:rFonts w:ascii="宋体" w:hAnsi="宋体" w:cs="宋体" w:eastAsia="宋体" w:hint="default"/>
                <w:position w:val="2"/>
                <w:sz w:val="24"/>
                <w:szCs w:val="24"/>
              </w:rPr>
              <w:t>代理费收入</w:t>
              <w:tab/>
            </w:r>
            <w:r>
              <w:rPr>
                <w:rFonts w:ascii="Arial" w:hAnsi="Arial" w:cs="Arial" w:eastAsia="Arial" w:hint="default"/>
                <w:spacing w:val="-1"/>
                <w:sz w:val="24"/>
                <w:szCs w:val="24"/>
              </w:rPr>
              <w:t>81,785</w:t>
              <w:tab/>
            </w:r>
            <w:r>
              <w:rPr>
                <w:rFonts w:ascii="Arial" w:hAnsi="Arial" w:cs="Arial" w:eastAsia="Arial" w:hint="default"/>
                <w:sz w:val="24"/>
                <w:szCs w:val="24"/>
              </w:rPr>
              <w:t>-</w:t>
              <w:tab/>
            </w:r>
            <w:r>
              <w:rPr>
                <w:rFonts w:ascii="Arial" w:hAnsi="Arial" w:cs="Arial" w:eastAsia="Arial" w:hint="default"/>
                <w:spacing w:val="-1"/>
                <w:position w:val="4"/>
                <w:sz w:val="24"/>
                <w:szCs w:val="24"/>
              </w:rPr>
              <w:t>80,151</w:t>
            </w:r>
            <w:r>
              <w:rPr>
                <w:rFonts w:ascii="Arial" w:hAnsi="Arial" w:cs="Arial" w:eastAsia="Arial" w:hint="default"/>
                <w:sz w:val="24"/>
                <w:szCs w:val="24"/>
              </w:rPr>
            </w:r>
          </w:p>
        </w:tc>
        <w:tc>
          <w:tcPr>
            <w:tcW w:w="1669" w:type="dxa"/>
            <w:tcBorders>
              <w:top w:val="nil" w:sz="6" w:space="0" w:color="auto"/>
              <w:left w:val="nil" w:sz="6" w:space="0" w:color="auto"/>
              <w:bottom w:val="nil" w:sz="6" w:space="0" w:color="auto"/>
              <w:right w:val="nil" w:sz="6" w:space="0" w:color="auto"/>
            </w:tcBorders>
          </w:tcPr>
          <w:p>
            <w:pPr>
              <w:pStyle w:val="TableParagraph"/>
              <w:spacing w:line="263" w:lineRule="exact"/>
              <w:ind w:right="133"/>
              <w:jc w:val="right"/>
              <w:rPr>
                <w:rFonts w:ascii="Arial" w:hAnsi="Arial" w:cs="Arial" w:eastAsia="Arial" w:hint="default"/>
                <w:sz w:val="24"/>
                <w:szCs w:val="24"/>
              </w:rPr>
            </w:pPr>
            <w:r>
              <w:rPr>
                <w:rFonts w:ascii="Arial"/>
                <w:w w:val="99"/>
                <w:sz w:val="24"/>
              </w:rPr>
              <w:t>-</w:t>
            </w:r>
            <w:r>
              <w:rPr>
                <w:rFonts w:ascii="Arial"/>
                <w:sz w:val="24"/>
              </w:rPr>
            </w:r>
          </w:p>
        </w:tc>
      </w:tr>
      <w:tr>
        <w:trPr>
          <w:trHeight w:val="309"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3834" w:val="left" w:leader="none"/>
                <w:tab w:pos="5552" w:val="left" w:leader="none"/>
                <w:tab w:pos="7380" w:val="left" w:leader="none"/>
              </w:tabs>
              <w:spacing w:line="296" w:lineRule="exact"/>
              <w:ind w:left="706" w:right="0"/>
              <w:jc w:val="left"/>
              <w:rPr>
                <w:rFonts w:ascii="Arial" w:hAnsi="Arial" w:cs="Arial" w:eastAsia="Arial" w:hint="default"/>
                <w:sz w:val="24"/>
                <w:szCs w:val="24"/>
              </w:rPr>
            </w:pPr>
            <w:r>
              <w:rPr>
                <w:rFonts w:ascii="宋体" w:hAnsi="宋体" w:cs="宋体" w:eastAsia="宋体" w:hint="default"/>
                <w:position w:val="2"/>
                <w:sz w:val="24"/>
                <w:szCs w:val="24"/>
              </w:rPr>
              <w:t>租赁收入</w:t>
              <w:tab/>
            </w:r>
            <w:r>
              <w:rPr>
                <w:rFonts w:ascii="Arial" w:hAnsi="Arial" w:cs="Arial" w:eastAsia="Arial" w:hint="default"/>
                <w:spacing w:val="-1"/>
                <w:sz w:val="24"/>
                <w:szCs w:val="24"/>
              </w:rPr>
              <w:t>84,124</w:t>
              <w:tab/>
            </w:r>
            <w:r>
              <w:rPr>
                <w:rFonts w:ascii="Arial" w:hAnsi="Arial" w:cs="Arial" w:eastAsia="Arial" w:hint="default"/>
                <w:spacing w:val="-4"/>
                <w:sz w:val="24"/>
                <w:szCs w:val="24"/>
              </w:rPr>
              <w:t>42,119</w:t>
              <w:tab/>
            </w:r>
            <w:r>
              <w:rPr>
                <w:rFonts w:ascii="Arial" w:hAnsi="Arial" w:cs="Arial" w:eastAsia="Arial" w:hint="default"/>
                <w:spacing w:val="-1"/>
                <w:sz w:val="24"/>
                <w:szCs w:val="24"/>
              </w:rPr>
              <w:t>35,088</w:t>
            </w:r>
            <w:r>
              <w:rPr>
                <w:rFonts w:ascii="Arial" w:hAnsi="Arial" w:cs="Arial" w:eastAsia="Arial" w:hint="default"/>
                <w:sz w:val="24"/>
                <w:szCs w:val="24"/>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0" w:right="0"/>
              <w:jc w:val="left"/>
              <w:rPr>
                <w:rFonts w:ascii="Arial" w:hAnsi="Arial" w:cs="Arial" w:eastAsia="Arial" w:hint="default"/>
                <w:sz w:val="24"/>
                <w:szCs w:val="24"/>
              </w:rPr>
            </w:pPr>
            <w:r>
              <w:rPr>
                <w:rFonts w:ascii="Arial"/>
                <w:sz w:val="24"/>
              </w:rPr>
              <w:t>21,999</w:t>
            </w:r>
          </w:p>
        </w:tc>
      </w:tr>
      <w:tr>
        <w:trPr>
          <w:trHeight w:val="312"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4486" w:val="left" w:leader="none"/>
                <w:tab w:pos="6187" w:val="left" w:leader="none"/>
                <w:tab w:pos="7514" w:val="left" w:leader="none"/>
              </w:tabs>
              <w:spacing w:line="299" w:lineRule="exact"/>
              <w:ind w:left="706" w:right="0"/>
              <w:jc w:val="left"/>
              <w:rPr>
                <w:rFonts w:ascii="Arial" w:hAnsi="Arial" w:cs="Arial" w:eastAsia="Arial" w:hint="default"/>
                <w:sz w:val="24"/>
                <w:szCs w:val="24"/>
              </w:rPr>
            </w:pPr>
            <w:r>
              <w:rPr>
                <w:rFonts w:ascii="宋体" w:hAnsi="宋体" w:cs="宋体" w:eastAsia="宋体" w:hint="default"/>
                <w:position w:val="2"/>
                <w:sz w:val="24"/>
                <w:szCs w:val="24"/>
              </w:rPr>
              <w:t>加盟费收入</w:t>
              <w:tab/>
            </w:r>
            <w:r>
              <w:rPr>
                <w:rFonts w:ascii="Arial" w:hAnsi="Arial" w:cs="Arial" w:eastAsia="Arial" w:hint="default"/>
                <w:sz w:val="24"/>
                <w:szCs w:val="24"/>
              </w:rPr>
              <w:t>-</w:t>
              <w:tab/>
              <w:t>-</w:t>
              <w:tab/>
            </w:r>
            <w:r>
              <w:rPr>
                <w:rFonts w:ascii="Arial" w:hAnsi="Arial" w:cs="Arial" w:eastAsia="Arial" w:hint="default"/>
                <w:position w:val="4"/>
                <w:sz w:val="24"/>
                <w:szCs w:val="24"/>
              </w:rPr>
              <w:t>3,881</w:t>
            </w:r>
            <w:r>
              <w:rPr>
                <w:rFonts w:ascii="Arial" w:hAnsi="Arial" w:cs="Arial" w:eastAsia="Arial" w:hint="default"/>
                <w:sz w:val="24"/>
                <w:szCs w:val="24"/>
              </w:rPr>
            </w:r>
          </w:p>
        </w:tc>
        <w:tc>
          <w:tcPr>
            <w:tcW w:w="1669" w:type="dxa"/>
            <w:tcBorders>
              <w:top w:val="nil" w:sz="6" w:space="0" w:color="auto"/>
              <w:left w:val="nil" w:sz="6" w:space="0" w:color="auto"/>
              <w:bottom w:val="nil" w:sz="6" w:space="0" w:color="auto"/>
              <w:right w:val="nil" w:sz="6" w:space="0" w:color="auto"/>
            </w:tcBorders>
          </w:tcPr>
          <w:p>
            <w:pPr>
              <w:pStyle w:val="TableParagraph"/>
              <w:spacing w:line="263" w:lineRule="exact"/>
              <w:ind w:right="133"/>
              <w:jc w:val="right"/>
              <w:rPr>
                <w:rFonts w:ascii="Arial" w:hAnsi="Arial" w:cs="Arial" w:eastAsia="Arial" w:hint="default"/>
                <w:sz w:val="24"/>
                <w:szCs w:val="24"/>
              </w:rPr>
            </w:pPr>
            <w:r>
              <w:rPr>
                <w:rFonts w:ascii="Arial"/>
                <w:w w:val="99"/>
                <w:sz w:val="24"/>
              </w:rPr>
              <w:t>-</w:t>
            </w:r>
            <w:r>
              <w:rPr>
                <w:rFonts w:ascii="Arial"/>
                <w:sz w:val="24"/>
              </w:rPr>
            </w:r>
          </w:p>
        </w:tc>
      </w:tr>
      <w:tr>
        <w:trPr>
          <w:trHeight w:val="304"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2896" w:val="left" w:leader="none"/>
                <w:tab w:pos="3967" w:val="left" w:leader="none"/>
                <w:tab w:pos="6187" w:val="left" w:leader="none"/>
                <w:tab w:pos="7514" w:val="left" w:leader="none"/>
              </w:tabs>
              <w:spacing w:line="299" w:lineRule="exact"/>
              <w:ind w:left="706" w:right="0"/>
              <w:jc w:val="left"/>
              <w:rPr>
                <w:rFonts w:ascii="Arial" w:hAnsi="Arial" w:cs="Arial" w:eastAsia="Arial" w:hint="default"/>
                <w:sz w:val="24"/>
                <w:szCs w:val="24"/>
              </w:rPr>
            </w:pPr>
            <w:r>
              <w:rPr>
                <w:rFonts w:ascii="宋体" w:hAnsi="宋体" w:cs="宋体" w:eastAsia="宋体" w:hint="default"/>
                <w:position w:val="2"/>
                <w:sz w:val="24"/>
                <w:szCs w:val="24"/>
              </w:rPr>
              <w:t>培训费收入</w:t>
              <w:tab/>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5,983</w:t>
              <w:tab/>
            </w:r>
            <w:r>
              <w:rPr>
                <w:rFonts w:ascii="Arial" w:hAnsi="Arial" w:cs="Arial" w:eastAsia="Arial" w:hint="default"/>
                <w:sz w:val="24"/>
                <w:szCs w:val="24"/>
                <w:u w:val="single" w:color="000000"/>
              </w:rPr>
              <w:t>-</w:t>
            </w:r>
            <w:r>
              <w:rPr>
                <w:rFonts w:ascii="Arial" w:hAnsi="Arial" w:cs="Arial" w:eastAsia="Arial" w:hint="default"/>
                <w:sz w:val="24"/>
                <w:szCs w:val="24"/>
              </w:rPr>
              <w:tab/>
            </w:r>
            <w:r>
              <w:rPr>
                <w:rFonts w:ascii="Arial" w:hAnsi="Arial" w:cs="Arial" w:eastAsia="Arial" w:hint="default"/>
                <w:spacing w:val="-1"/>
                <w:position w:val="4"/>
                <w:sz w:val="24"/>
                <w:szCs w:val="24"/>
              </w:rPr>
              <w:t>3,106</w:t>
            </w:r>
            <w:r>
              <w:rPr>
                <w:rFonts w:ascii="Arial" w:hAnsi="Arial" w:cs="Arial" w:eastAsia="Arial" w:hint="default"/>
                <w:sz w:val="24"/>
                <w:szCs w:val="24"/>
              </w:rPr>
            </w:r>
          </w:p>
        </w:tc>
        <w:tc>
          <w:tcPr>
            <w:tcW w:w="1669" w:type="dxa"/>
            <w:tcBorders>
              <w:top w:val="nil" w:sz="6" w:space="0" w:color="auto"/>
              <w:left w:val="nil" w:sz="6" w:space="0" w:color="auto"/>
              <w:bottom w:val="single" w:sz="2" w:space="0" w:color="000000"/>
              <w:right w:val="nil" w:sz="6" w:space="0" w:color="auto"/>
            </w:tcBorders>
          </w:tcPr>
          <w:p>
            <w:pPr>
              <w:pStyle w:val="TableParagraph"/>
              <w:spacing w:line="263" w:lineRule="exact"/>
              <w:ind w:right="133"/>
              <w:jc w:val="right"/>
              <w:rPr>
                <w:rFonts w:ascii="Arial" w:hAnsi="Arial" w:cs="Arial" w:eastAsia="Arial" w:hint="default"/>
                <w:sz w:val="24"/>
                <w:szCs w:val="24"/>
              </w:rPr>
            </w:pPr>
            <w:r>
              <w:rPr>
                <w:rFonts w:ascii="Arial"/>
                <w:w w:val="99"/>
                <w:sz w:val="24"/>
              </w:rPr>
              <w:t>-</w:t>
            </w:r>
            <w:r>
              <w:rPr>
                <w:rFonts w:ascii="Arial"/>
                <w:sz w:val="24"/>
              </w:rPr>
            </w:r>
          </w:p>
        </w:tc>
      </w:tr>
      <w:tr>
        <w:trPr>
          <w:trHeight w:val="295"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5552" w:val="left" w:leader="none"/>
                <w:tab w:pos="7045" w:val="left" w:leader="none"/>
              </w:tabs>
              <w:spacing w:line="240" w:lineRule="auto"/>
              <w:ind w:left="3499" w:right="0"/>
              <w:jc w:val="left"/>
              <w:rPr>
                <w:rFonts w:ascii="Arial" w:hAnsi="Arial" w:cs="Arial" w:eastAsia="Arial" w:hint="default"/>
                <w:sz w:val="24"/>
                <w:szCs w:val="24"/>
              </w:rPr>
            </w:pPr>
            <w:r>
              <w:rPr>
                <w:rFonts w:ascii="Arial"/>
                <w:spacing w:val="-1"/>
                <w:sz w:val="24"/>
              </w:rPr>
              <w:t>1,585,670</w:t>
              <w:tab/>
            </w:r>
            <w:r>
              <w:rPr>
                <w:rFonts w:ascii="Arial"/>
                <w:spacing w:val="-4"/>
                <w:sz w:val="24"/>
              </w:rPr>
              <w:t>42,119</w:t>
              <w:tab/>
            </w:r>
            <w:r>
              <w:rPr>
                <w:rFonts w:ascii="Arial"/>
                <w:spacing w:val="-1"/>
                <w:sz w:val="24"/>
              </w:rPr>
              <w:t>1,475,847</w:t>
            </w:r>
            <w:r>
              <w:rPr>
                <w:rFonts w:ascii="Arial"/>
                <w:sz w:val="24"/>
              </w:rPr>
            </w:r>
          </w:p>
        </w:tc>
        <w:tc>
          <w:tcPr>
            <w:tcW w:w="1669" w:type="dxa"/>
            <w:tcBorders>
              <w:top w:val="single" w:sz="2" w:space="0" w:color="000000"/>
              <w:left w:val="nil" w:sz="6" w:space="0" w:color="auto"/>
              <w:bottom w:val="single" w:sz="12" w:space="0" w:color="000000"/>
              <w:right w:val="nil" w:sz="6" w:space="0" w:color="auto"/>
            </w:tcBorders>
          </w:tcPr>
          <w:p>
            <w:pPr>
              <w:pStyle w:val="TableParagraph"/>
              <w:spacing w:line="274" w:lineRule="exact"/>
              <w:ind w:left="799" w:right="0"/>
              <w:jc w:val="left"/>
              <w:rPr>
                <w:rFonts w:ascii="Arial" w:hAnsi="Arial" w:cs="Arial" w:eastAsia="Arial" w:hint="default"/>
                <w:sz w:val="24"/>
                <w:szCs w:val="24"/>
              </w:rPr>
            </w:pPr>
            <w:r>
              <w:rPr>
                <w:rFonts w:ascii="Arial"/>
                <w:sz w:val="24"/>
              </w:rPr>
              <w:t>21,999</w:t>
            </w:r>
          </w:p>
        </w:tc>
      </w:tr>
      <w:tr>
        <w:trPr>
          <w:trHeight w:val="737"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spacing w:line="30" w:lineRule="exact"/>
              <w:ind w:left="2882" w:right="0"/>
              <w:jc w:val="left"/>
              <w:rPr>
                <w:rFonts w:ascii="宋体" w:hAnsi="宋体" w:cs="宋体" w:eastAsia="宋体" w:hint="default"/>
                <w:sz w:val="3"/>
                <w:szCs w:val="3"/>
              </w:rPr>
            </w:pPr>
            <w:r>
              <w:rPr>
                <w:rFonts w:ascii="宋体" w:hAnsi="宋体" w:cs="宋体" w:eastAsia="宋体" w:hint="default"/>
                <w:position w:val="0"/>
                <w:sz w:val="3"/>
                <w:szCs w:val="3"/>
              </w:rPr>
              <w:pict>
                <v:group style="width:175.1pt;height:1.5pt;mso-position-horizontal-relative:char;mso-position-vertical-relative:line" coordorigin="0,0" coordsize="3502,30">
                  <v:group style="position:absolute;left:15;top:15;width:3472;height:2" coordorigin="15,15" coordsize="3472,2">
                    <v:shape style="position:absolute;left:15;top:15;width:3472;height:2" coordorigin="15,15" coordsize="3472,0" path="m15,15l3487,15e" filled="false" stroked="true" strokeweight="1.5pt" strokecolor="#000000">
                      <v:path arrowok="t"/>
                    </v:shape>
                  </v:group>
                </v:group>
              </w:pict>
            </w:r>
            <w:r>
              <w:rPr>
                <w:rFonts w:ascii="宋体" w:hAnsi="宋体" w:cs="宋体" w:eastAsia="宋体" w:hint="default"/>
                <w:position w:val="0"/>
                <w:sz w:val="3"/>
                <w:szCs w:val="3"/>
              </w:rPr>
            </w: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9" w:right="0"/>
              <w:jc w:val="left"/>
              <w:rPr>
                <w:rFonts w:ascii="宋体" w:hAnsi="宋体" w:cs="宋体" w:eastAsia="宋体" w:hint="default"/>
                <w:sz w:val="24"/>
                <w:szCs w:val="24"/>
              </w:rPr>
            </w:pPr>
            <w:r>
              <w:rPr>
                <w:rFonts w:ascii="宋体" w:hAnsi="宋体" w:cs="宋体" w:eastAsia="宋体" w:hint="default"/>
                <w:sz w:val="24"/>
                <w:szCs w:val="24"/>
              </w:rPr>
              <w:t>注：连锁店服务收入指供应商支付的广告促销收入及广告费收入等。</w:t>
            </w:r>
          </w:p>
        </w:tc>
        <w:tc>
          <w:tcPr>
            <w:tcW w:w="1669" w:type="dxa"/>
            <w:tcBorders>
              <w:top w:val="single" w:sz="12" w:space="0" w:color="000000"/>
              <w:left w:val="nil" w:sz="6" w:space="0" w:color="auto"/>
              <w:bottom w:val="nil" w:sz="6" w:space="0" w:color="auto"/>
              <w:right w:val="nil" w:sz="6" w:space="0" w:color="auto"/>
            </w:tcBorders>
          </w:tcPr>
          <w:p>
            <w:pPr/>
          </w:p>
        </w:tc>
      </w:tr>
      <w:tr>
        <w:trPr>
          <w:trHeight w:val="591"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103"/>
              <w:ind w:left="35" w:right="0"/>
              <w:jc w:val="left"/>
              <w:rPr>
                <w:rFonts w:ascii="宋体" w:hAnsi="宋体" w:cs="宋体" w:eastAsia="宋体" w:hint="default"/>
                <w:sz w:val="24"/>
                <w:szCs w:val="24"/>
              </w:rPr>
            </w:pPr>
            <w:r>
              <w:rPr>
                <w:rFonts w:ascii="Arial" w:hAnsi="Arial" w:cs="Arial" w:eastAsia="Arial" w:hint="default"/>
                <w:w w:val="95"/>
                <w:position w:val="2"/>
                <w:sz w:val="24"/>
                <w:szCs w:val="24"/>
              </w:rPr>
              <w:t>(30)</w:t>
              <w:tab/>
            </w:r>
            <w:r>
              <w:rPr>
                <w:rFonts w:ascii="宋体" w:hAnsi="宋体" w:cs="宋体" w:eastAsia="宋体" w:hint="default"/>
                <w:b/>
                <w:bCs/>
                <w:sz w:val="24"/>
                <w:szCs w:val="24"/>
              </w:rPr>
              <w:t>营业税金及附加</w:t>
            </w:r>
            <w:r>
              <w:rPr>
                <w:rFonts w:ascii="宋体" w:hAnsi="宋体" w:cs="宋体" w:eastAsia="宋体" w:hint="default"/>
                <w:sz w:val="24"/>
                <w:szCs w:val="24"/>
              </w:rPr>
            </w:r>
          </w:p>
        </w:tc>
        <w:tc>
          <w:tcPr>
            <w:tcW w:w="1669" w:type="dxa"/>
            <w:tcBorders>
              <w:top w:val="nil" w:sz="6" w:space="0" w:color="auto"/>
              <w:left w:val="nil" w:sz="6" w:space="0" w:color="auto"/>
              <w:bottom w:val="nil" w:sz="6" w:space="0" w:color="auto"/>
              <w:right w:val="nil" w:sz="6" w:space="0" w:color="auto"/>
            </w:tcBorders>
          </w:tcPr>
          <w:p>
            <w:pPr/>
          </w:p>
        </w:tc>
      </w:tr>
      <w:tr>
        <w:trPr>
          <w:trHeight w:val="456"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0"/>
              <w:ind w:left="5408"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58"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0"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spacing w:line="287" w:lineRule="exact"/>
              <w:ind w:left="519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87" w:lineRule="exact"/>
              <w:ind w:left="26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5749" w:val="left" w:leader="none"/>
              </w:tabs>
              <w:spacing w:line="240" w:lineRule="auto" w:before="92"/>
              <w:ind w:left="689" w:right="0"/>
              <w:jc w:val="left"/>
              <w:rPr>
                <w:rFonts w:ascii="Arial" w:hAnsi="Arial" w:cs="Arial" w:eastAsia="Arial" w:hint="default"/>
                <w:sz w:val="24"/>
                <w:szCs w:val="24"/>
              </w:rPr>
            </w:pPr>
            <w:r>
              <w:rPr>
                <w:rFonts w:ascii="宋体" w:hAnsi="宋体" w:cs="宋体" w:eastAsia="宋体" w:hint="default"/>
                <w:position w:val="2"/>
                <w:sz w:val="24"/>
                <w:szCs w:val="24"/>
              </w:rPr>
              <w:t>营业税</w:t>
              <w:tab/>
            </w:r>
            <w:r>
              <w:rPr>
                <w:rFonts w:ascii="Arial" w:hAnsi="Arial" w:cs="Arial" w:eastAsia="Arial" w:hint="default"/>
                <w:sz w:val="24"/>
                <w:szCs w:val="24"/>
              </w:rPr>
              <w:t>89,767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799" w:right="0"/>
              <w:jc w:val="left"/>
              <w:rPr>
                <w:rFonts w:ascii="Arial" w:hAnsi="Arial" w:cs="Arial" w:eastAsia="Arial" w:hint="default"/>
                <w:sz w:val="24"/>
                <w:szCs w:val="24"/>
              </w:rPr>
            </w:pPr>
            <w:r>
              <w:rPr>
                <w:rFonts w:ascii="Arial"/>
                <w:sz w:val="24"/>
              </w:rPr>
              <w:t>83,550</w:t>
            </w:r>
          </w:p>
        </w:tc>
      </w:tr>
      <w:tr>
        <w:trPr>
          <w:trHeight w:val="312" w:hRule="exact"/>
        </w:trPr>
        <w:tc>
          <w:tcPr>
            <w:tcW w:w="8209" w:type="dxa"/>
            <w:gridSpan w:val="6"/>
            <w:tcBorders>
              <w:top w:val="nil" w:sz="6" w:space="0" w:color="auto"/>
              <w:left w:val="nil" w:sz="6" w:space="0" w:color="auto"/>
              <w:bottom w:val="nil" w:sz="6" w:space="0" w:color="auto"/>
              <w:right w:val="nil" w:sz="6" w:space="0" w:color="auto"/>
            </w:tcBorders>
          </w:tcPr>
          <w:p>
            <w:pPr>
              <w:pStyle w:val="TableParagraph"/>
              <w:tabs>
                <w:tab w:pos="5749" w:val="left" w:leader="none"/>
              </w:tabs>
              <w:spacing w:line="296" w:lineRule="exact"/>
              <w:ind w:left="689" w:right="0"/>
              <w:jc w:val="left"/>
              <w:rPr>
                <w:rFonts w:ascii="Arial" w:hAnsi="Arial" w:cs="Arial" w:eastAsia="Arial" w:hint="default"/>
                <w:sz w:val="24"/>
                <w:szCs w:val="24"/>
              </w:rPr>
            </w:pPr>
            <w:r>
              <w:rPr>
                <w:rFonts w:ascii="宋体" w:hAnsi="宋体" w:cs="宋体" w:eastAsia="宋体" w:hint="default"/>
                <w:position w:val="2"/>
                <w:sz w:val="24"/>
                <w:szCs w:val="24"/>
              </w:rPr>
              <w:t>城市维护建设税</w:t>
              <w:tab/>
            </w:r>
            <w:r>
              <w:rPr>
                <w:rFonts w:ascii="Arial" w:hAnsi="Arial" w:cs="Arial" w:eastAsia="Arial" w:hint="default"/>
                <w:sz w:val="24"/>
                <w:szCs w:val="24"/>
              </w:rPr>
              <w:t>72,639</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99" w:right="0"/>
              <w:jc w:val="left"/>
              <w:rPr>
                <w:rFonts w:ascii="Arial" w:hAnsi="Arial" w:cs="Arial" w:eastAsia="Arial" w:hint="default"/>
                <w:sz w:val="24"/>
                <w:szCs w:val="24"/>
              </w:rPr>
            </w:pPr>
            <w:r>
              <w:rPr>
                <w:rFonts w:ascii="Arial"/>
                <w:sz w:val="24"/>
              </w:rPr>
              <w:t>45,773</w:t>
            </w:r>
          </w:p>
        </w:tc>
      </w:tr>
      <w:tr>
        <w:trPr>
          <w:trHeight w:val="314"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689"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725" w:type="dxa"/>
            <w:gridSpan w:val="2"/>
            <w:tcBorders>
              <w:top w:val="nil" w:sz="6" w:space="0" w:color="auto"/>
              <w:left w:val="nil" w:sz="6" w:space="0" w:color="auto"/>
              <w:bottom w:val="nil" w:sz="6" w:space="0" w:color="auto"/>
              <w:right w:val="nil" w:sz="6" w:space="0" w:color="auto"/>
            </w:tcBorders>
          </w:tcPr>
          <w:p>
            <w:pPr>
              <w:pStyle w:val="TableParagraph"/>
              <w:tabs>
                <w:tab w:pos="1883" w:val="left" w:leader="none"/>
                <w:tab w:pos="2717" w:val="left" w:leader="none"/>
              </w:tabs>
              <w:spacing w:line="240" w:lineRule="auto" w:before="20"/>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41,085</w:t>
              <w:tab/>
            </w:r>
            <w:r>
              <w:rPr>
                <w:rFonts w:ascii="Arial"/>
                <w:sz w:val="24"/>
              </w:rPr>
            </w:r>
          </w:p>
        </w:tc>
        <w:tc>
          <w:tcPr>
            <w:tcW w:w="3287" w:type="dxa"/>
            <w:gridSpan w:val="3"/>
            <w:tcBorders>
              <w:top w:val="nil" w:sz="6" w:space="0" w:color="auto"/>
              <w:left w:val="nil" w:sz="6" w:space="0" w:color="auto"/>
              <w:bottom w:val="nil" w:sz="6" w:space="0" w:color="auto"/>
              <w:right w:val="nil" w:sz="6" w:space="0" w:color="auto"/>
            </w:tcBorders>
          </w:tcPr>
          <w:p>
            <w:pPr>
              <w:pStyle w:val="TableParagraph"/>
              <w:tabs>
                <w:tab w:pos="2417" w:val="left" w:leader="none"/>
                <w:tab w:pos="3251" w:val="left" w:leader="none"/>
              </w:tabs>
              <w:spacing w:line="240" w:lineRule="auto" w:before="20"/>
              <w:ind w:left="58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25,132</w:t>
              <w:tab/>
            </w:r>
            <w:r>
              <w:rPr>
                <w:rFonts w:ascii="Arial"/>
                <w:sz w:val="24"/>
              </w:rPr>
            </w:r>
          </w:p>
        </w:tc>
      </w:tr>
      <w:tr>
        <w:trPr>
          <w:trHeight w:val="434" w:hRule="exact"/>
        </w:trPr>
        <w:tc>
          <w:tcPr>
            <w:tcW w:w="3865" w:type="dxa"/>
            <w:gridSpan w:val="2"/>
            <w:tcBorders>
              <w:top w:val="nil" w:sz="6" w:space="0" w:color="auto"/>
              <w:left w:val="nil" w:sz="6" w:space="0" w:color="auto"/>
              <w:bottom w:val="nil" w:sz="6" w:space="0" w:color="auto"/>
              <w:right w:val="nil" w:sz="6" w:space="0" w:color="auto"/>
            </w:tcBorders>
          </w:tcPr>
          <w:p>
            <w:pPr/>
          </w:p>
        </w:tc>
        <w:tc>
          <w:tcPr>
            <w:tcW w:w="2725" w:type="dxa"/>
            <w:gridSpan w:val="2"/>
            <w:tcBorders>
              <w:top w:val="nil" w:sz="6" w:space="0" w:color="auto"/>
              <w:left w:val="nil" w:sz="6" w:space="0" w:color="auto"/>
              <w:bottom w:val="nil" w:sz="6" w:space="0" w:color="auto"/>
              <w:right w:val="nil" w:sz="6" w:space="0" w:color="auto"/>
            </w:tcBorders>
          </w:tcPr>
          <w:p>
            <w:pPr>
              <w:pStyle w:val="TableParagraph"/>
              <w:tabs>
                <w:tab w:pos="1750" w:val="left" w:leader="none"/>
                <w:tab w:pos="2717" w:val="left" w:leader="none"/>
              </w:tabs>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203,491</w:t>
              <w:tab/>
            </w:r>
            <w:r>
              <w:rPr>
                <w:rFonts w:ascii="Arial"/>
                <w:sz w:val="24"/>
              </w:rPr>
            </w:r>
          </w:p>
        </w:tc>
        <w:tc>
          <w:tcPr>
            <w:tcW w:w="3287" w:type="dxa"/>
            <w:gridSpan w:val="3"/>
            <w:tcBorders>
              <w:top w:val="nil" w:sz="6" w:space="0" w:color="auto"/>
              <w:left w:val="nil" w:sz="6" w:space="0" w:color="auto"/>
              <w:bottom w:val="nil" w:sz="6" w:space="0" w:color="auto"/>
              <w:right w:val="nil" w:sz="6" w:space="0" w:color="auto"/>
            </w:tcBorders>
          </w:tcPr>
          <w:p>
            <w:pPr>
              <w:pStyle w:val="TableParagraph"/>
              <w:tabs>
                <w:tab w:pos="2284" w:val="left" w:leader="none"/>
                <w:tab w:pos="3251" w:val="left" w:leader="none"/>
              </w:tabs>
              <w:spacing w:line="268" w:lineRule="exact"/>
              <w:ind w:left="58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154,455</w:t>
              <w:tab/>
            </w:r>
            <w:r>
              <w:rPr>
                <w:rFonts w:ascii="Arial"/>
                <w:sz w:val="24"/>
              </w:rPr>
            </w:r>
          </w:p>
        </w:tc>
      </w:tr>
      <w:tr>
        <w:trPr>
          <w:trHeight w:val="459" w:hRule="exact"/>
        </w:trPr>
        <w:tc>
          <w:tcPr>
            <w:tcW w:w="58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(31)</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3" w:right="0"/>
              <w:jc w:val="left"/>
              <w:rPr>
                <w:rFonts w:ascii="宋体" w:hAnsi="宋体" w:cs="宋体" w:eastAsia="宋体" w:hint="default"/>
                <w:sz w:val="24"/>
                <w:szCs w:val="24"/>
              </w:rPr>
            </w:pPr>
            <w:r>
              <w:rPr>
                <w:rFonts w:ascii="宋体" w:hAnsi="宋体" w:cs="宋体" w:eastAsia="宋体" w:hint="default"/>
                <w:b/>
                <w:bCs/>
                <w:sz w:val="24"/>
                <w:szCs w:val="24"/>
              </w:rPr>
              <w:t>财务收入 </w:t>
            </w:r>
            <w:r>
              <w:rPr>
                <w:rFonts w:ascii="Arial" w:hAnsi="Arial" w:cs="Arial" w:eastAsia="Arial" w:hint="default"/>
                <w:b/>
                <w:bCs/>
                <w:sz w:val="24"/>
                <w:szCs w:val="24"/>
              </w:rPr>
              <w:t>-</w:t>
            </w:r>
            <w:r>
              <w:rPr>
                <w:rFonts w:ascii="Arial" w:hAnsi="Arial" w:cs="Arial" w:eastAsia="Arial" w:hint="default"/>
                <w:b/>
                <w:bCs/>
                <w:spacing w:val="45"/>
                <w:sz w:val="24"/>
                <w:szCs w:val="24"/>
              </w:rPr>
              <w:t> </w:t>
            </w:r>
            <w:r>
              <w:rPr>
                <w:rFonts w:ascii="宋体" w:hAnsi="宋体" w:cs="宋体" w:eastAsia="宋体" w:hint="default"/>
                <w:b/>
                <w:bCs/>
                <w:sz w:val="24"/>
                <w:szCs w:val="24"/>
              </w:rPr>
              <w:t>净额</w:t>
            </w:r>
            <w:r>
              <w:rPr>
                <w:rFonts w:ascii="宋体" w:hAnsi="宋体" w:cs="宋体" w:eastAsia="宋体" w:hint="default"/>
                <w:sz w:val="24"/>
                <w:szCs w:val="24"/>
              </w:rPr>
            </w:r>
          </w:p>
        </w:tc>
        <w:tc>
          <w:tcPr>
            <w:tcW w:w="2725" w:type="dxa"/>
            <w:gridSpan w:val="2"/>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
        </w:tc>
        <w:tc>
          <w:tcPr>
            <w:tcW w:w="2725"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543"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487"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312"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
        </w:tc>
        <w:tc>
          <w:tcPr>
            <w:tcW w:w="2725"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31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277"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312"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87" w:lineRule="exact"/>
              <w:ind w:left="121" w:right="0"/>
              <w:jc w:val="left"/>
              <w:rPr>
                <w:rFonts w:ascii="Arial" w:hAnsi="Arial" w:cs="Arial" w:eastAsia="Arial" w:hint="default"/>
                <w:sz w:val="24"/>
                <w:szCs w:val="24"/>
              </w:rPr>
            </w:pPr>
            <w:r>
              <w:rPr>
                <w:rFonts w:ascii="宋体" w:hAnsi="宋体" w:cs="宋体" w:eastAsia="宋体" w:hint="default"/>
                <w:sz w:val="24"/>
                <w:szCs w:val="24"/>
              </w:rPr>
              <w:t>利息收入 </w:t>
            </w:r>
            <w:r>
              <w:rPr>
                <w:rFonts w:ascii="Arial" w:hAnsi="Arial" w:cs="Arial" w:eastAsia="Arial" w:hint="default"/>
                <w:sz w:val="24"/>
                <w:szCs w:val="24"/>
              </w:rPr>
              <w:t>-</w:t>
            </w:r>
          </w:p>
        </w:tc>
        <w:tc>
          <w:tcPr>
            <w:tcW w:w="272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9"/>
              <w:ind w:left="1750" w:right="0"/>
              <w:jc w:val="left"/>
              <w:rPr>
                <w:rFonts w:ascii="Arial" w:hAnsi="Arial" w:cs="Arial" w:eastAsia="Arial" w:hint="default"/>
                <w:sz w:val="24"/>
                <w:szCs w:val="24"/>
              </w:rPr>
            </w:pPr>
            <w:r>
              <w:rPr>
                <w:rFonts w:ascii="Arial"/>
                <w:sz w:val="24"/>
              </w:rPr>
              <w:t>404,691</w:t>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9"/>
              <w:ind w:left="1695" w:right="0"/>
              <w:jc w:val="left"/>
              <w:rPr>
                <w:rFonts w:ascii="Arial" w:hAnsi="Arial" w:cs="Arial" w:eastAsia="Arial" w:hint="default"/>
                <w:sz w:val="24"/>
                <w:szCs w:val="24"/>
              </w:rPr>
            </w:pPr>
            <w:r>
              <w:rPr>
                <w:rFonts w:ascii="Arial"/>
                <w:sz w:val="24"/>
              </w:rPr>
              <w:t>218,344</w:t>
            </w:r>
          </w:p>
        </w:tc>
      </w:tr>
      <w:tr>
        <w:trPr>
          <w:trHeight w:val="331"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single" w:sz="4" w:space="0" w:color="000000"/>
            </w:tcBorders>
          </w:tcPr>
          <w:p>
            <w:pPr>
              <w:pStyle w:val="TableParagraph"/>
              <w:spacing w:line="280" w:lineRule="exact"/>
              <w:ind w:left="363" w:right="0"/>
              <w:jc w:val="left"/>
              <w:rPr>
                <w:rFonts w:ascii="宋体" w:hAnsi="宋体" w:cs="宋体" w:eastAsia="宋体" w:hint="default"/>
                <w:sz w:val="24"/>
                <w:szCs w:val="24"/>
              </w:rPr>
            </w:pPr>
            <w:r>
              <w:rPr>
                <w:rFonts w:ascii="宋体" w:hAnsi="宋体" w:cs="宋体" w:eastAsia="宋体" w:hint="default"/>
                <w:sz w:val="24"/>
                <w:szCs w:val="24"/>
              </w:rPr>
              <w:t>银行存款利息</w:t>
            </w:r>
          </w:p>
        </w:tc>
        <w:tc>
          <w:tcPr>
            <w:tcW w:w="2725"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745" w:right="0"/>
              <w:jc w:val="left"/>
              <w:rPr>
                <w:rFonts w:ascii="Arial" w:hAnsi="Arial" w:cs="Arial" w:eastAsia="Arial" w:hint="default"/>
                <w:sz w:val="24"/>
                <w:szCs w:val="24"/>
              </w:rPr>
            </w:pPr>
            <w:r>
              <w:rPr>
                <w:rFonts w:ascii="Arial"/>
                <w:sz w:val="24"/>
              </w:rPr>
              <w:t>285,414</w:t>
            </w:r>
          </w:p>
        </w:tc>
        <w:tc>
          <w:tcPr>
            <w:tcW w:w="589" w:type="dxa"/>
            <w:tcBorders>
              <w:top w:val="nil" w:sz="6" w:space="0" w:color="auto"/>
              <w:left w:val="single" w:sz="4" w:space="0" w:color="000000"/>
              <w:bottom w:val="nil" w:sz="6" w:space="0" w:color="auto"/>
              <w:right w:val="single" w:sz="4" w:space="0" w:color="000000"/>
            </w:tcBorders>
          </w:tcPr>
          <w:p>
            <w:pPr/>
          </w:p>
        </w:tc>
        <w:tc>
          <w:tcPr>
            <w:tcW w:w="269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690" w:right="0"/>
              <w:jc w:val="left"/>
              <w:rPr>
                <w:rFonts w:ascii="Arial" w:hAnsi="Arial" w:cs="Arial" w:eastAsia="Arial" w:hint="default"/>
                <w:sz w:val="24"/>
                <w:szCs w:val="24"/>
              </w:rPr>
            </w:pPr>
            <w:r>
              <w:rPr>
                <w:rFonts w:ascii="Arial"/>
                <w:sz w:val="24"/>
              </w:rPr>
              <w:t>127,731</w:t>
            </w:r>
          </w:p>
        </w:tc>
      </w:tr>
      <w:tr>
        <w:trPr>
          <w:trHeight w:val="303"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single" w:sz="4" w:space="0" w:color="000000"/>
            </w:tcBorders>
          </w:tcPr>
          <w:p>
            <w:pPr>
              <w:pStyle w:val="TableParagraph"/>
              <w:spacing w:line="261" w:lineRule="exact"/>
              <w:ind w:left="363"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2725"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1764" w:right="0"/>
              <w:jc w:val="left"/>
              <w:rPr>
                <w:rFonts w:ascii="Arial" w:hAnsi="Arial" w:cs="Arial" w:eastAsia="Arial" w:hint="default"/>
                <w:sz w:val="24"/>
                <w:szCs w:val="24"/>
              </w:rPr>
            </w:pPr>
            <w:r>
              <w:rPr>
                <w:rFonts w:ascii="Arial"/>
                <w:spacing w:val="-4"/>
                <w:sz w:val="24"/>
              </w:rPr>
              <w:t>119,277</w:t>
            </w:r>
            <w:r>
              <w:rPr>
                <w:rFonts w:ascii="Arial"/>
                <w:sz w:val="24"/>
              </w:rPr>
            </w:r>
          </w:p>
        </w:tc>
        <w:tc>
          <w:tcPr>
            <w:tcW w:w="589" w:type="dxa"/>
            <w:tcBorders>
              <w:top w:val="nil" w:sz="6" w:space="0" w:color="auto"/>
              <w:left w:val="single" w:sz="4" w:space="0" w:color="000000"/>
              <w:bottom w:val="nil" w:sz="6" w:space="0" w:color="auto"/>
              <w:right w:val="single" w:sz="4" w:space="0" w:color="000000"/>
            </w:tcBorders>
          </w:tcPr>
          <w:p>
            <w:pPr/>
          </w:p>
        </w:tc>
        <w:tc>
          <w:tcPr>
            <w:tcW w:w="2698"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129"/>
              <w:jc w:val="right"/>
              <w:rPr>
                <w:rFonts w:ascii="Arial" w:hAnsi="Arial" w:cs="Arial" w:eastAsia="Arial" w:hint="default"/>
                <w:sz w:val="24"/>
                <w:szCs w:val="24"/>
              </w:rPr>
            </w:pPr>
            <w:r>
              <w:rPr>
                <w:rFonts w:ascii="Arial"/>
                <w:spacing w:val="-1"/>
                <w:w w:val="95"/>
                <w:sz w:val="24"/>
              </w:rPr>
              <w:t>90,613</w:t>
            </w:r>
            <w:r>
              <w:rPr>
                <w:rFonts w:ascii="Arial"/>
                <w:sz w:val="24"/>
              </w:rPr>
            </w:r>
          </w:p>
        </w:tc>
      </w:tr>
      <w:tr>
        <w:trPr>
          <w:trHeight w:val="337"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tabs>
                <w:tab w:pos="670" w:val="left" w:leader="none"/>
              </w:tabs>
              <w:spacing w:line="297" w:lineRule="exact"/>
              <w:ind w:left="123" w:right="0"/>
              <w:jc w:val="left"/>
              <w:rPr>
                <w:rFonts w:ascii="Arial" w:hAnsi="Arial" w:cs="Arial" w:eastAsia="Arial" w:hint="default"/>
                <w:sz w:val="24"/>
                <w:szCs w:val="24"/>
              </w:rPr>
            </w:pPr>
            <w:r>
              <w:rPr>
                <w:rFonts w:ascii="宋体" w:hAnsi="宋体" w:cs="宋体" w:eastAsia="宋体" w:hint="default"/>
                <w:sz w:val="24"/>
                <w:szCs w:val="24"/>
              </w:rPr>
              <w:t>减</w:t>
            </w:r>
            <w:r>
              <w:rPr>
                <w:rFonts w:ascii="Arial" w:hAnsi="Arial" w:cs="Arial" w:eastAsia="Arial" w:hint="default"/>
                <w:sz w:val="24"/>
                <w:szCs w:val="24"/>
              </w:rPr>
              <w:t>:</w:t>
              <w:tab/>
            </w:r>
            <w:r>
              <w:rPr>
                <w:rFonts w:ascii="宋体" w:hAnsi="宋体" w:cs="宋体" w:eastAsia="宋体" w:hint="default"/>
                <w:sz w:val="24"/>
                <w:szCs w:val="24"/>
              </w:rPr>
              <w:t>利息支出 </w:t>
            </w:r>
            <w:r>
              <w:rPr>
                <w:rFonts w:ascii="Arial" w:hAnsi="Arial" w:cs="Arial" w:eastAsia="Arial" w:hint="default"/>
                <w:sz w:val="24"/>
                <w:szCs w:val="24"/>
              </w:rPr>
              <w:t>-</w:t>
            </w:r>
          </w:p>
        </w:tc>
        <w:tc>
          <w:tcPr>
            <w:tcW w:w="2725" w:type="dxa"/>
            <w:gridSpan w:val="2"/>
            <w:tcBorders>
              <w:top w:val="single" w:sz="4" w:space="0" w:color="000000"/>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single" w:sz="4" w:space="0" w:color="000000"/>
              <w:left w:val="nil" w:sz="6" w:space="0" w:color="auto"/>
              <w:bottom w:val="nil" w:sz="6" w:space="0" w:color="auto"/>
              <w:right w:val="nil" w:sz="6" w:space="0" w:color="auto"/>
            </w:tcBorders>
          </w:tcPr>
          <w:p>
            <w:pPr/>
          </w:p>
        </w:tc>
      </w:tr>
      <w:tr>
        <w:trPr>
          <w:trHeight w:val="307"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56" w:lineRule="exact"/>
              <w:ind w:left="788" w:right="0"/>
              <w:jc w:val="left"/>
              <w:rPr>
                <w:rFonts w:ascii="宋体" w:hAnsi="宋体" w:cs="宋体" w:eastAsia="宋体" w:hint="default"/>
                <w:sz w:val="24"/>
                <w:szCs w:val="24"/>
              </w:rPr>
            </w:pPr>
            <w:r>
              <w:rPr>
                <w:rFonts w:ascii="宋体" w:hAnsi="宋体" w:cs="宋体" w:eastAsia="宋体" w:hint="default"/>
                <w:sz w:val="24"/>
                <w:szCs w:val="24"/>
              </w:rPr>
              <w:t>借款利息</w:t>
            </w:r>
          </w:p>
        </w:tc>
        <w:tc>
          <w:tcPr>
            <w:tcW w:w="27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1808" w:right="0"/>
              <w:jc w:val="left"/>
              <w:rPr>
                <w:rFonts w:ascii="Arial" w:hAnsi="Arial" w:cs="Arial" w:eastAsia="Arial" w:hint="default"/>
                <w:sz w:val="24"/>
                <w:szCs w:val="24"/>
              </w:rPr>
            </w:pPr>
            <w:r>
              <w:rPr>
                <w:rFonts w:ascii="Arial"/>
                <w:sz w:val="24"/>
              </w:rPr>
              <w:t>(16,598)</w:t>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1755" w:right="0"/>
              <w:jc w:val="left"/>
              <w:rPr>
                <w:rFonts w:ascii="Arial" w:hAnsi="Arial" w:cs="Arial" w:eastAsia="Arial" w:hint="default"/>
                <w:sz w:val="24"/>
                <w:szCs w:val="24"/>
              </w:rPr>
            </w:pPr>
            <w:r>
              <w:rPr>
                <w:rFonts w:ascii="Arial"/>
                <w:sz w:val="24"/>
              </w:rPr>
              <w:t>(15,324)</w:t>
            </w:r>
          </w:p>
        </w:tc>
      </w:tr>
      <w:tr>
        <w:trPr>
          <w:trHeight w:val="314"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61" w:lineRule="exact"/>
              <w:ind w:left="123"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725"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40" w:lineRule="auto" w:before="20"/>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(164,803)</w:t>
            </w:r>
            <w:r>
              <w:rPr>
                <w:rFonts w:ascii="Arial"/>
                <w:spacing w:val="-1"/>
                <w:sz w:val="24"/>
              </w:rPr>
            </w:r>
            <w:r>
              <w:rPr>
                <w:rFonts w:ascii="Arial"/>
                <w:sz w:val="24"/>
              </w:rPr>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20"/>
              <w:ind w:left="-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(114,858)</w:t>
            </w:r>
            <w:r>
              <w:rPr>
                <w:rFonts w:ascii="Arial"/>
                <w:spacing w:val="-3"/>
                <w:sz w:val="24"/>
              </w:rPr>
            </w:r>
            <w:r>
              <w:rPr>
                <w:rFonts w:ascii="Arial"/>
                <w:sz w:val="24"/>
              </w:rPr>
            </w:r>
          </w:p>
        </w:tc>
      </w:tr>
      <w:tr>
        <w:trPr>
          <w:trHeight w:val="363" w:hRule="exact"/>
        </w:trPr>
        <w:tc>
          <w:tcPr>
            <w:tcW w:w="58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
        </w:tc>
        <w:tc>
          <w:tcPr>
            <w:tcW w:w="2725" w:type="dxa"/>
            <w:gridSpan w:val="2"/>
            <w:tcBorders>
              <w:top w:val="nil" w:sz="6" w:space="0" w:color="auto"/>
              <w:left w:val="nil" w:sz="6" w:space="0" w:color="auto"/>
              <w:bottom w:val="nil" w:sz="6" w:space="0" w:color="auto"/>
              <w:right w:val="nil" w:sz="6" w:space="0" w:color="auto"/>
            </w:tcBorders>
          </w:tcPr>
          <w:p>
            <w:pPr>
              <w:pStyle w:val="TableParagraph"/>
              <w:tabs>
                <w:tab w:pos="1770" w:val="left" w:leader="none"/>
                <w:tab w:pos="2717" w:val="left" w:leader="none"/>
              </w:tabs>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223,290</w:t>
              <w:tab/>
            </w:r>
            <w:r>
              <w:rPr>
                <w:rFonts w:ascii="Arial"/>
                <w:sz w:val="24"/>
              </w:rPr>
            </w:r>
          </w:p>
        </w:tc>
        <w:tc>
          <w:tcPr>
            <w:tcW w:w="589" w:type="dxa"/>
            <w:tcBorders>
              <w:top w:val="nil" w:sz="6" w:space="0" w:color="auto"/>
              <w:left w:val="nil" w:sz="6" w:space="0" w:color="auto"/>
              <w:bottom w:val="nil" w:sz="6" w:space="0" w:color="auto"/>
              <w:right w:val="nil" w:sz="6" w:space="0" w:color="auto"/>
            </w:tcBorders>
          </w:tcPr>
          <w:p>
            <w:pPr/>
          </w:p>
        </w:tc>
        <w:tc>
          <w:tcPr>
            <w:tcW w:w="2698" w:type="dxa"/>
            <w:gridSpan w:val="2"/>
            <w:tcBorders>
              <w:top w:val="nil" w:sz="6" w:space="0" w:color="auto"/>
              <w:left w:val="nil" w:sz="6" w:space="0" w:color="auto"/>
              <w:bottom w:val="nil" w:sz="6" w:space="0" w:color="auto"/>
              <w:right w:val="nil" w:sz="6" w:space="0" w:color="auto"/>
            </w:tcBorders>
          </w:tcPr>
          <w:p>
            <w:pPr>
              <w:pStyle w:val="TableParagraph"/>
              <w:tabs>
                <w:tab w:pos="1835" w:val="left" w:leader="none"/>
                <w:tab w:pos="2662" w:val="left" w:leader="none"/>
              </w:tabs>
              <w:spacing w:line="268" w:lineRule="exact"/>
              <w:ind w:left="-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88,162</w:t>
              <w:tab/>
            </w:r>
            <w:r>
              <w:rPr>
                <w:rFonts w:ascii="Arial"/>
                <w:sz w:val="24"/>
              </w:rPr>
            </w:r>
          </w:p>
        </w:tc>
      </w:tr>
    </w:tbl>
    <w:p>
      <w:pPr>
        <w:spacing w:after="0" w:line="268" w:lineRule="exact"/>
        <w:jc w:val="left"/>
        <w:rPr>
          <w:rFonts w:ascii="Arial" w:hAnsi="Arial" w:cs="Arial" w:eastAsia="Arial" w:hint="default"/>
          <w:sz w:val="24"/>
          <w:szCs w:val="24"/>
        </w:rPr>
        <w:sectPr>
          <w:pgSz w:w="11910" w:h="16840"/>
          <w:pgMar w:header="752" w:footer="707" w:top="1020" w:bottom="900" w:left="860" w:right="9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17"/>
        <w:gridCol w:w="3926"/>
        <w:gridCol w:w="2246"/>
        <w:gridCol w:w="532"/>
        <w:gridCol w:w="2339"/>
      </w:tblGrid>
      <w:tr>
        <w:trPr>
          <w:trHeight w:val="929"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(32)</w:t>
            </w: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0" w:right="0"/>
              <w:jc w:val="left"/>
              <w:rPr>
                <w:rFonts w:ascii="宋体" w:hAnsi="宋体" w:cs="宋体" w:eastAsia="宋体" w:hint="default"/>
                <w:sz w:val="24"/>
                <w:szCs w:val="24"/>
              </w:rPr>
            </w:pPr>
            <w:r>
              <w:rPr>
                <w:rFonts w:ascii="宋体" w:hAnsi="宋体" w:cs="宋体" w:eastAsia="宋体" w:hint="default"/>
                <w:b/>
                <w:bCs/>
                <w:sz w:val="24"/>
                <w:szCs w:val="24"/>
              </w:rPr>
              <w:t>资产减值损失</w:t>
            </w:r>
            <w:r>
              <w:rPr>
                <w:rFonts w:ascii="宋体" w:hAnsi="宋体" w:cs="宋体" w:eastAsia="宋体" w:hint="default"/>
                <w:sz w:val="24"/>
                <w:szCs w:val="24"/>
              </w:rPr>
            </w:r>
          </w:p>
        </w:tc>
        <w:tc>
          <w:tcPr>
            <w:tcW w:w="5117" w:type="dxa"/>
            <w:gridSpan w:val="3"/>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93" w:lineRule="exact"/>
              <w:ind w:left="107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7"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87" w:lineRule="exact"/>
              <w:ind w:right="45"/>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87" w:lineRule="exact"/>
              <w:ind w:right="82"/>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8"/>
              <w:jc w:val="right"/>
              <w:rPr>
                <w:rFonts w:ascii="Arial" w:hAnsi="Arial" w:cs="Arial" w:eastAsia="Arial" w:hint="default"/>
                <w:sz w:val="24"/>
                <w:szCs w:val="24"/>
              </w:rPr>
            </w:pPr>
            <w:r>
              <w:rPr>
                <w:rFonts w:ascii="Arial"/>
                <w:spacing w:val="-1"/>
                <w:w w:val="95"/>
                <w:sz w:val="24"/>
              </w:rPr>
              <w:t>42,849</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56" w:right="0"/>
              <w:jc w:val="left"/>
              <w:rPr>
                <w:rFonts w:ascii="Arial" w:hAnsi="Arial" w:cs="Arial" w:eastAsia="Arial" w:hint="default"/>
                <w:sz w:val="24"/>
                <w:szCs w:val="24"/>
              </w:rPr>
            </w:pPr>
            <w:r>
              <w:rPr>
                <w:rFonts w:ascii="Arial"/>
                <w:sz w:val="24"/>
              </w:rPr>
              <w:t>9,999</w:t>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38"/>
              <w:jc w:val="right"/>
              <w:rPr>
                <w:rFonts w:ascii="Arial" w:hAnsi="Arial" w:cs="Arial" w:eastAsia="Arial" w:hint="default"/>
                <w:sz w:val="24"/>
                <w:szCs w:val="24"/>
              </w:rPr>
            </w:pPr>
            <w:r>
              <w:rPr>
                <w:rFonts w:ascii="Arial"/>
                <w:spacing w:val="-1"/>
                <w:w w:val="95"/>
                <w:sz w:val="24"/>
              </w:rPr>
              <w:t>9,540</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81"/>
              <w:jc w:val="right"/>
              <w:rPr>
                <w:rFonts w:ascii="Arial" w:hAnsi="Arial" w:cs="Arial" w:eastAsia="Arial" w:hint="default"/>
                <w:sz w:val="24"/>
                <w:szCs w:val="24"/>
              </w:rPr>
            </w:pPr>
            <w:r>
              <w:rPr>
                <w:rFonts w:ascii="Arial"/>
                <w:spacing w:val="-1"/>
                <w:w w:val="95"/>
                <w:sz w:val="24"/>
              </w:rPr>
              <w:t>160</w:t>
            </w:r>
            <w:r>
              <w:rPr>
                <w:rFonts w:ascii="Arial"/>
                <w:sz w:val="24"/>
              </w:rPr>
            </w:r>
          </w:p>
        </w:tc>
      </w:tr>
      <w:tr>
        <w:trPr>
          <w:trHeight w:val="297"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38"/>
              <w:jc w:val="right"/>
              <w:rPr>
                <w:rFonts w:ascii="Arial" w:hAnsi="Arial" w:cs="Arial" w:eastAsia="Arial" w:hint="default"/>
                <w:sz w:val="24"/>
                <w:szCs w:val="24"/>
              </w:rPr>
            </w:pPr>
            <w:r>
              <w:rPr>
                <w:rFonts w:ascii="Arial"/>
                <w:spacing w:val="-1"/>
                <w:w w:val="95"/>
                <w:sz w:val="24"/>
              </w:rPr>
              <w:t>52,389</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423" w:right="0"/>
              <w:jc w:val="left"/>
              <w:rPr>
                <w:rFonts w:ascii="Arial" w:hAnsi="Arial" w:cs="Arial" w:eastAsia="Arial" w:hint="default"/>
                <w:sz w:val="24"/>
                <w:szCs w:val="24"/>
              </w:rPr>
            </w:pPr>
            <w:r>
              <w:rPr>
                <w:rFonts w:ascii="Arial"/>
                <w:sz w:val="24"/>
              </w:rPr>
              <w:t>10,159</w:t>
            </w:r>
          </w:p>
        </w:tc>
      </w:tr>
      <w:tr>
        <w:trPr>
          <w:trHeight w:val="1013"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Arial" w:hAnsi="Arial" w:cs="Arial" w:eastAsia="Arial" w:hint="default"/>
                <w:sz w:val="24"/>
                <w:szCs w:val="24"/>
              </w:rPr>
            </w:pPr>
            <w:r>
              <w:rPr>
                <w:rFonts w:ascii="Arial"/>
                <w:sz w:val="24"/>
              </w:rPr>
              <w:t>(33)</w:t>
            </w: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b/>
                <w:bCs/>
                <w:sz w:val="24"/>
                <w:szCs w:val="24"/>
              </w:rPr>
              <w:t>营业外收入及营业外支出</w:t>
            </w:r>
            <w:r>
              <w:rPr>
                <w:rFonts w:ascii="宋体" w:hAnsi="宋体" w:cs="宋体" w:eastAsia="宋体" w:hint="default"/>
                <w:sz w:val="24"/>
                <w:szCs w:val="24"/>
              </w:rPr>
            </w:r>
          </w:p>
        </w:tc>
        <w:tc>
          <w:tcPr>
            <w:tcW w:w="2246" w:type="dxa"/>
            <w:tcBorders>
              <w:top w:val="single" w:sz="12" w:space="0" w:color="000000"/>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single" w:sz="12" w:space="0" w:color="000000"/>
              <w:left w:val="nil" w:sz="6" w:space="0" w:color="auto"/>
              <w:bottom w:val="nil" w:sz="6" w:space="0" w:color="auto"/>
              <w:right w:val="nil" w:sz="6" w:space="0" w:color="auto"/>
            </w:tcBorders>
          </w:tcPr>
          <w:p>
            <w:pPr/>
          </w:p>
        </w:tc>
      </w:tr>
      <w:tr>
        <w:trPr>
          <w:trHeight w:val="453"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99" w:right="0"/>
              <w:jc w:val="left"/>
              <w:rPr>
                <w:rFonts w:ascii="Arial" w:hAnsi="Arial" w:cs="Arial" w:eastAsia="Arial" w:hint="default"/>
                <w:sz w:val="24"/>
                <w:szCs w:val="24"/>
              </w:rPr>
            </w:pPr>
            <w:r>
              <w:rPr>
                <w:rFonts w:ascii="Arial"/>
                <w:sz w:val="24"/>
              </w:rPr>
              <w:t>(a)</w:t>
            </w: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2246"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93" w:lineRule="exact"/>
              <w:ind w:left="1127"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0"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87" w:lineRule="exact"/>
              <w:ind w:right="9"/>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87" w:lineRule="exact"/>
              <w:ind w:right="51"/>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9"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7"/>
              <w:jc w:val="right"/>
              <w:rPr>
                <w:rFonts w:ascii="Arial" w:hAnsi="Arial" w:cs="Arial" w:eastAsia="Arial" w:hint="default"/>
                <w:sz w:val="24"/>
                <w:szCs w:val="24"/>
              </w:rPr>
            </w:pPr>
            <w:r>
              <w:rPr>
                <w:rFonts w:ascii="Arial"/>
                <w:spacing w:val="-1"/>
                <w:w w:val="95"/>
                <w:sz w:val="24"/>
              </w:rPr>
              <w:t>22,833</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556" w:right="0"/>
              <w:jc w:val="left"/>
              <w:rPr>
                <w:rFonts w:ascii="Arial" w:hAnsi="Arial" w:cs="Arial" w:eastAsia="Arial" w:hint="default"/>
                <w:sz w:val="24"/>
                <w:szCs w:val="24"/>
              </w:rPr>
            </w:pPr>
            <w:r>
              <w:rPr>
                <w:rFonts w:ascii="Arial"/>
                <w:sz w:val="24"/>
              </w:rPr>
              <w:t>8,442</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61" w:lineRule="exact"/>
              <w:ind w:left="189" w:right="0"/>
              <w:jc w:val="left"/>
              <w:rPr>
                <w:rFonts w:ascii="宋体" w:hAnsi="宋体" w:cs="宋体" w:eastAsia="宋体" w:hint="default"/>
                <w:sz w:val="24"/>
                <w:szCs w:val="24"/>
              </w:rPr>
            </w:pPr>
            <w:r>
              <w:rPr>
                <w:rFonts w:ascii="宋体" w:hAnsi="宋体" w:cs="宋体" w:eastAsia="宋体" w:hint="default"/>
                <w:sz w:val="24"/>
                <w:szCs w:val="24"/>
              </w:rPr>
              <w:t>处置固定资产利得</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7"/>
              <w:jc w:val="right"/>
              <w:rPr>
                <w:rFonts w:ascii="Arial" w:hAnsi="Arial" w:cs="Arial" w:eastAsia="Arial" w:hint="default"/>
                <w:sz w:val="24"/>
                <w:szCs w:val="24"/>
              </w:rPr>
            </w:pPr>
            <w:r>
              <w:rPr>
                <w:rFonts w:ascii="Arial"/>
                <w:spacing w:val="-1"/>
                <w:w w:val="95"/>
                <w:sz w:val="24"/>
              </w:rPr>
              <w:t>248</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0"/>
              <w:jc w:val="right"/>
              <w:rPr>
                <w:rFonts w:ascii="Arial" w:hAnsi="Arial" w:cs="Arial" w:eastAsia="Arial" w:hint="default"/>
                <w:sz w:val="24"/>
                <w:szCs w:val="24"/>
              </w:rPr>
            </w:pPr>
            <w:r>
              <w:rPr>
                <w:rFonts w:ascii="Arial"/>
                <w:spacing w:val="-1"/>
                <w:w w:val="95"/>
                <w:sz w:val="24"/>
              </w:rPr>
              <w:t>384</w:t>
            </w:r>
            <w:r>
              <w:rPr>
                <w:rFonts w:ascii="Arial"/>
                <w:sz w:val="24"/>
              </w:rPr>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61" w:lineRule="exact"/>
              <w:ind w:left="189" w:right="0"/>
              <w:jc w:val="left"/>
              <w:rPr>
                <w:rFonts w:ascii="宋体" w:hAnsi="宋体" w:cs="宋体" w:eastAsia="宋体" w:hint="default"/>
                <w:sz w:val="24"/>
                <w:szCs w:val="24"/>
              </w:rPr>
            </w:pPr>
            <w:r>
              <w:rPr>
                <w:rFonts w:ascii="宋体" w:hAnsi="宋体" w:cs="宋体" w:eastAsia="宋体" w:hint="default"/>
                <w:sz w:val="24"/>
                <w:szCs w:val="24"/>
              </w:rPr>
              <w:t>业务合并收益</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7"/>
              <w:jc w:val="right"/>
              <w:rPr>
                <w:rFonts w:ascii="Arial" w:hAnsi="Arial" w:cs="Arial" w:eastAsia="Arial" w:hint="default"/>
                <w:sz w:val="24"/>
                <w:szCs w:val="24"/>
              </w:rPr>
            </w:pPr>
            <w:r>
              <w:rPr>
                <w:rFonts w:ascii="Arial"/>
                <w:w w:val="99"/>
                <w:sz w:val="24"/>
              </w:rPr>
              <w:t>-</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23" w:right="0"/>
              <w:jc w:val="left"/>
              <w:rPr>
                <w:rFonts w:ascii="Arial" w:hAnsi="Arial" w:cs="Arial" w:eastAsia="Arial" w:hint="default"/>
                <w:sz w:val="24"/>
                <w:szCs w:val="24"/>
              </w:rPr>
            </w:pPr>
            <w:r>
              <w:rPr>
                <w:rFonts w:ascii="Arial"/>
                <w:sz w:val="24"/>
              </w:rPr>
              <w:t>15,850</w:t>
            </w:r>
          </w:p>
        </w:tc>
      </w:tr>
      <w:tr>
        <w:trPr>
          <w:trHeight w:val="314"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61" w:lineRule="exact"/>
              <w:ind w:left="18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46" w:type="dxa"/>
            <w:tcBorders>
              <w:top w:val="nil" w:sz="6" w:space="0" w:color="auto"/>
              <w:left w:val="nil" w:sz="6" w:space="0" w:color="auto"/>
              <w:bottom w:val="nil" w:sz="6" w:space="0" w:color="auto"/>
              <w:right w:val="nil" w:sz="6" w:space="0" w:color="auto"/>
            </w:tcBorders>
          </w:tcPr>
          <w:p>
            <w:pPr>
              <w:pStyle w:val="TableParagraph"/>
              <w:tabs>
                <w:tab w:pos="1361" w:val="left" w:leader="none"/>
                <w:tab w:pos="2234" w:val="left" w:leader="none"/>
              </w:tabs>
              <w:spacing w:line="240" w:lineRule="auto" w:before="20"/>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22,665</w:t>
              <w:tab/>
            </w:r>
            <w:r>
              <w:rPr>
                <w:rFonts w:ascii="Arial"/>
                <w:spacing w:val="-1"/>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tabs>
                <w:tab w:pos="1422" w:val="left" w:leader="none"/>
                <w:tab w:pos="2303"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10,819</w:t>
              <w:tab/>
            </w:r>
            <w:r>
              <w:rPr>
                <w:rFonts w:ascii="Arial"/>
                <w:spacing w:val="-1"/>
                <w:sz w:val="24"/>
              </w:rPr>
            </w:r>
          </w:p>
        </w:tc>
      </w:tr>
      <w:tr>
        <w:trPr>
          <w:trHeight w:val="434"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tabs>
                <w:tab w:pos="1362" w:val="left" w:leader="none"/>
                <w:tab w:pos="2234" w:val="left" w:leader="none"/>
              </w:tabs>
              <w:spacing w:line="268"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45,746</w:t>
              <w:tab/>
            </w:r>
            <w:r>
              <w:rPr>
                <w:rFonts w:ascii="Arial"/>
                <w:spacing w:val="-1"/>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tabs>
                <w:tab w:pos="1422" w:val="left" w:leader="none"/>
                <w:tab w:pos="2303"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35,495</w:t>
              <w:tab/>
            </w:r>
            <w:r>
              <w:rPr>
                <w:rFonts w:ascii="Arial"/>
                <w:spacing w:val="-1"/>
                <w:sz w:val="24"/>
              </w:rPr>
            </w:r>
          </w:p>
        </w:tc>
      </w:tr>
      <w:tr>
        <w:trPr>
          <w:trHeight w:val="453"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99" w:right="0"/>
              <w:jc w:val="left"/>
              <w:rPr>
                <w:rFonts w:ascii="Arial" w:hAnsi="Arial" w:cs="Arial" w:eastAsia="Arial" w:hint="default"/>
                <w:sz w:val="24"/>
                <w:szCs w:val="24"/>
              </w:rPr>
            </w:pPr>
            <w:r>
              <w:rPr>
                <w:rFonts w:ascii="Arial"/>
                <w:sz w:val="24"/>
              </w:rPr>
              <w:t>(b)</w:t>
            </w: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2246"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
        </w:tc>
      </w:tr>
      <w:tr>
        <w:trPr>
          <w:trHeight w:val="318"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93" w:lineRule="exact"/>
              <w:ind w:left="1127"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7"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87" w:lineRule="exact"/>
              <w:ind w:right="38"/>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87" w:lineRule="exact"/>
              <w:ind w:right="65"/>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9" w:right="0"/>
              <w:jc w:val="left"/>
              <w:rPr>
                <w:rFonts w:ascii="宋体" w:hAnsi="宋体" w:cs="宋体" w:eastAsia="宋体" w:hint="default"/>
                <w:sz w:val="24"/>
                <w:szCs w:val="24"/>
              </w:rPr>
            </w:pPr>
            <w:r>
              <w:rPr>
                <w:rFonts w:ascii="宋体" w:hAnsi="宋体" w:cs="宋体" w:eastAsia="宋体" w:hint="default"/>
                <w:sz w:val="24"/>
                <w:szCs w:val="24"/>
              </w:rPr>
              <w:t>捐赠支出</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1"/>
              <w:jc w:val="right"/>
              <w:rPr>
                <w:rFonts w:ascii="Arial" w:hAnsi="Arial" w:cs="Arial" w:eastAsia="Arial" w:hint="default"/>
                <w:sz w:val="24"/>
                <w:szCs w:val="24"/>
              </w:rPr>
            </w:pPr>
            <w:r>
              <w:rPr>
                <w:rFonts w:ascii="Arial"/>
                <w:spacing w:val="-1"/>
                <w:w w:val="95"/>
                <w:sz w:val="24"/>
              </w:rPr>
              <w:t>26,716</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556" w:right="0"/>
              <w:jc w:val="left"/>
              <w:rPr>
                <w:rFonts w:ascii="Arial" w:hAnsi="Arial" w:cs="Arial" w:eastAsia="Arial" w:hint="default"/>
                <w:sz w:val="24"/>
                <w:szCs w:val="24"/>
              </w:rPr>
            </w:pPr>
            <w:r>
              <w:rPr>
                <w:rFonts w:ascii="Arial"/>
                <w:sz w:val="24"/>
              </w:rPr>
              <w:t>6,128</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1"/>
              <w:jc w:val="right"/>
              <w:rPr>
                <w:rFonts w:ascii="Arial" w:hAnsi="Arial" w:cs="Arial" w:eastAsia="Arial" w:hint="default"/>
                <w:sz w:val="24"/>
                <w:szCs w:val="24"/>
              </w:rPr>
            </w:pPr>
            <w:r>
              <w:rPr>
                <w:rFonts w:ascii="Arial"/>
                <w:spacing w:val="-1"/>
                <w:w w:val="95"/>
                <w:sz w:val="24"/>
              </w:rPr>
              <w:t>4,620</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56" w:right="0"/>
              <w:jc w:val="left"/>
              <w:rPr>
                <w:rFonts w:ascii="Arial" w:hAnsi="Arial" w:cs="Arial" w:eastAsia="Arial" w:hint="default"/>
                <w:sz w:val="24"/>
                <w:szCs w:val="24"/>
              </w:rPr>
            </w:pPr>
            <w:r>
              <w:rPr>
                <w:rFonts w:ascii="Arial"/>
                <w:sz w:val="24"/>
              </w:rPr>
              <w:t>5,733</w:t>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处理固定资产损失</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Arial" w:hAnsi="Arial" w:cs="Arial" w:eastAsia="Arial" w:hint="default"/>
                <w:sz w:val="24"/>
                <w:szCs w:val="24"/>
              </w:rPr>
            </w:pPr>
            <w:r>
              <w:rPr>
                <w:rFonts w:ascii="Arial"/>
                <w:spacing w:val="-1"/>
                <w:w w:val="95"/>
                <w:sz w:val="24"/>
              </w:rPr>
              <w:t>1,160</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1"/>
              <w:jc w:val="right"/>
              <w:rPr>
                <w:rFonts w:ascii="Arial" w:hAnsi="Arial" w:cs="Arial" w:eastAsia="Arial" w:hint="default"/>
                <w:sz w:val="24"/>
                <w:szCs w:val="24"/>
              </w:rPr>
            </w:pPr>
            <w:r>
              <w:rPr>
                <w:rFonts w:ascii="Arial"/>
                <w:spacing w:val="-1"/>
                <w:w w:val="95"/>
                <w:sz w:val="24"/>
              </w:rPr>
              <w:t>275</w:t>
            </w:r>
            <w:r>
              <w:rPr>
                <w:rFonts w:ascii="Arial"/>
                <w:sz w:val="24"/>
              </w:rPr>
            </w:r>
          </w:p>
        </w:tc>
      </w:tr>
      <w:tr>
        <w:trPr>
          <w:trHeight w:val="312"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特许加盟终止违约金</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Arial" w:hAnsi="Arial" w:cs="Arial" w:eastAsia="Arial" w:hint="default"/>
                <w:sz w:val="24"/>
                <w:szCs w:val="24"/>
              </w:rPr>
            </w:pPr>
            <w:r>
              <w:rPr>
                <w:rFonts w:ascii="Arial"/>
                <w:w w:val="99"/>
                <w:sz w:val="24"/>
              </w:rPr>
              <w:t>-</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23" w:right="0"/>
              <w:jc w:val="left"/>
              <w:rPr>
                <w:rFonts w:ascii="Arial" w:hAnsi="Arial" w:cs="Arial" w:eastAsia="Arial" w:hint="default"/>
                <w:sz w:val="24"/>
                <w:szCs w:val="24"/>
              </w:rPr>
            </w:pPr>
            <w:r>
              <w:rPr>
                <w:rFonts w:ascii="Arial"/>
                <w:sz w:val="24"/>
              </w:rPr>
              <w:t>13,750</w:t>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51"/>
              <w:jc w:val="right"/>
              <w:rPr>
                <w:rFonts w:ascii="Arial" w:hAnsi="Arial" w:cs="Arial" w:eastAsia="Arial" w:hint="default"/>
                <w:sz w:val="24"/>
                <w:szCs w:val="24"/>
              </w:rPr>
            </w:pPr>
            <w:r>
              <w:rPr>
                <w:rFonts w:ascii="Arial"/>
                <w:spacing w:val="-1"/>
                <w:w w:val="95"/>
                <w:sz w:val="24"/>
              </w:rPr>
              <w:t>26,751</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41" w:right="0"/>
              <w:jc w:val="left"/>
              <w:rPr>
                <w:rFonts w:ascii="Arial" w:hAnsi="Arial" w:cs="Arial" w:eastAsia="Arial" w:hint="default"/>
                <w:sz w:val="24"/>
                <w:szCs w:val="24"/>
              </w:rPr>
            </w:pPr>
            <w:r>
              <w:rPr>
                <w:rFonts w:ascii="Arial"/>
                <w:spacing w:val="-4"/>
                <w:sz w:val="24"/>
              </w:rPr>
              <w:t>18,311</w:t>
            </w:r>
          </w:p>
        </w:tc>
      </w:tr>
      <w:tr>
        <w:trPr>
          <w:trHeight w:val="296" w:hRule="exact"/>
        </w:trPr>
        <w:tc>
          <w:tcPr>
            <w:tcW w:w="617"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24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51"/>
              <w:jc w:val="right"/>
              <w:rPr>
                <w:rFonts w:ascii="Arial" w:hAnsi="Arial" w:cs="Arial" w:eastAsia="Arial" w:hint="default"/>
                <w:sz w:val="24"/>
                <w:szCs w:val="24"/>
              </w:rPr>
            </w:pPr>
            <w:r>
              <w:rPr>
                <w:rFonts w:ascii="Arial"/>
                <w:spacing w:val="-1"/>
                <w:w w:val="95"/>
                <w:sz w:val="24"/>
              </w:rPr>
              <w:t>59,247</w:t>
            </w:r>
            <w:r>
              <w:rPr>
                <w:rFonts w:ascii="Arial"/>
                <w:sz w:val="24"/>
              </w:rPr>
            </w:r>
          </w:p>
        </w:tc>
        <w:tc>
          <w:tcPr>
            <w:tcW w:w="532" w:type="dxa"/>
            <w:tcBorders>
              <w:top w:val="nil" w:sz="6" w:space="0" w:color="auto"/>
              <w:left w:val="nil" w:sz="6" w:space="0" w:color="auto"/>
              <w:bottom w:val="nil" w:sz="6" w:space="0" w:color="auto"/>
              <w:right w:val="nil" w:sz="6" w:space="0" w:color="auto"/>
            </w:tcBorders>
          </w:tcPr>
          <w:p>
            <w:pPr/>
          </w:p>
        </w:tc>
        <w:tc>
          <w:tcPr>
            <w:tcW w:w="2339"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423" w:right="0"/>
              <w:jc w:val="left"/>
              <w:rPr>
                <w:rFonts w:ascii="Arial" w:hAnsi="Arial" w:cs="Arial" w:eastAsia="Arial" w:hint="default"/>
                <w:sz w:val="24"/>
                <w:szCs w:val="24"/>
              </w:rPr>
            </w:pPr>
            <w:r>
              <w:rPr>
                <w:rFonts w:ascii="Arial"/>
                <w:sz w:val="24"/>
              </w:rPr>
              <w:t>44,197</w:t>
            </w:r>
          </w:p>
        </w:tc>
      </w:tr>
    </w:tbl>
    <w:p>
      <w:pPr>
        <w:spacing w:after="0" w:line="274" w:lineRule="exact"/>
        <w:jc w:val="left"/>
        <w:rPr>
          <w:rFonts w:ascii="Arial" w:hAnsi="Arial" w:cs="Arial" w:eastAsia="Arial" w:hint="default"/>
          <w:sz w:val="24"/>
          <w:szCs w:val="24"/>
        </w:rPr>
        <w:sectPr>
          <w:pgSz w:w="11910" w:h="16840"/>
          <w:pgMar w:header="752" w:footer="707" w:top="1020" w:bottom="900" w:left="840" w:right="12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617"/>
        <w:gridCol w:w="4682"/>
        <w:gridCol w:w="2302"/>
        <w:gridCol w:w="428"/>
        <w:gridCol w:w="2338"/>
      </w:tblGrid>
      <w:tr>
        <w:trPr>
          <w:trHeight w:val="964"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Arial" w:hAnsi="Arial" w:cs="Arial" w:eastAsia="Arial" w:hint="default"/>
                <w:sz w:val="24"/>
                <w:szCs w:val="24"/>
              </w:rPr>
            </w:pPr>
            <w:r>
              <w:rPr>
                <w:rFonts w:ascii="Arial"/>
                <w:sz w:val="24"/>
              </w:rPr>
              <w:t>(34)</w:t>
            </w: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b/>
                <w:bCs/>
                <w:sz w:val="24"/>
                <w:szCs w:val="24"/>
              </w:rPr>
              <w:t>所得税费用</w:t>
            </w:r>
            <w:r>
              <w:rPr>
                <w:rFonts w:ascii="宋体" w:hAnsi="宋体" w:cs="宋体" w:eastAsia="宋体" w:hint="default"/>
                <w:sz w:val="24"/>
                <w:szCs w:val="24"/>
              </w:rPr>
            </w:r>
          </w:p>
        </w:tc>
        <w:tc>
          <w:tcPr>
            <w:tcW w:w="5068" w:type="dxa"/>
            <w:gridSpan w:val="3"/>
            <w:tcBorders>
              <w:top w:val="nil" w:sz="6" w:space="0" w:color="auto"/>
              <w:left w:val="nil" w:sz="6" w:space="0" w:color="auto"/>
              <w:bottom w:val="nil" w:sz="6" w:space="0" w:color="auto"/>
              <w:right w:val="nil" w:sz="6" w:space="0" w:color="auto"/>
            </w:tcBorders>
          </w:tcPr>
          <w:p>
            <w:pPr/>
          </w:p>
        </w:tc>
      </w:tr>
      <w:tr>
        <w:trPr>
          <w:trHeight w:val="765" w:hRule="exact"/>
        </w:trPr>
        <w:tc>
          <w:tcPr>
            <w:tcW w:w="617"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84" w:lineRule="exact"/>
              <w:ind w:left="862" w:right="0"/>
              <w:jc w:val="center"/>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322" w:lineRule="exact"/>
              <w:ind w:left="862"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428"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84" w:lineRule="exact"/>
              <w:ind w:left="913" w:right="0"/>
              <w:jc w:val="center"/>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322" w:lineRule="exact"/>
              <w:ind w:left="913"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44" w:hRule="exact"/>
        </w:trPr>
        <w:tc>
          <w:tcPr>
            <w:tcW w:w="617"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9" w:right="0"/>
              <w:jc w:val="left"/>
              <w:rPr>
                <w:rFonts w:ascii="宋体" w:hAnsi="宋体" w:cs="宋体" w:eastAsia="宋体" w:hint="default"/>
                <w:sz w:val="24"/>
                <w:szCs w:val="24"/>
              </w:rPr>
            </w:pPr>
            <w:r>
              <w:rPr>
                <w:rFonts w:ascii="宋体" w:hAnsi="宋体" w:cs="宋体" w:eastAsia="宋体" w:hint="default"/>
                <w:sz w:val="24"/>
                <w:szCs w:val="24"/>
              </w:rPr>
              <w:t>当期所得税</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3"/>
              <w:jc w:val="right"/>
              <w:rPr>
                <w:rFonts w:ascii="Arial" w:hAnsi="Arial" w:cs="Arial" w:eastAsia="Arial" w:hint="default"/>
                <w:sz w:val="24"/>
                <w:szCs w:val="24"/>
              </w:rPr>
            </w:pPr>
            <w:r>
              <w:rPr>
                <w:rFonts w:ascii="Arial"/>
                <w:spacing w:val="-1"/>
                <w:w w:val="95"/>
                <w:sz w:val="24"/>
              </w:rPr>
              <w:t>782,280</w:t>
            </w:r>
            <w:r>
              <w:rPr>
                <w:rFonts w:ascii="Arial"/>
                <w:sz w:val="24"/>
              </w:rPr>
            </w:r>
          </w:p>
        </w:tc>
        <w:tc>
          <w:tcPr>
            <w:tcW w:w="428"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5"/>
              <w:jc w:val="right"/>
              <w:rPr>
                <w:rFonts w:ascii="Arial" w:hAnsi="Arial" w:cs="Arial" w:eastAsia="Arial" w:hint="default"/>
                <w:sz w:val="24"/>
                <w:szCs w:val="24"/>
              </w:rPr>
            </w:pPr>
            <w:r>
              <w:rPr>
                <w:rFonts w:ascii="Arial"/>
                <w:spacing w:val="-1"/>
                <w:w w:val="95"/>
                <w:sz w:val="24"/>
              </w:rPr>
              <w:t>720,926</w:t>
            </w:r>
            <w:r>
              <w:rPr>
                <w:rFonts w:ascii="Arial"/>
                <w:sz w:val="24"/>
              </w:rPr>
            </w:r>
          </w:p>
        </w:tc>
      </w:tr>
      <w:tr>
        <w:trPr>
          <w:trHeight w:val="321" w:hRule="exact"/>
        </w:trPr>
        <w:tc>
          <w:tcPr>
            <w:tcW w:w="617"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79" w:lineRule="exact"/>
              <w:ind w:left="189"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right"/>
              <w:rPr>
                <w:rFonts w:ascii="Arial" w:hAnsi="Arial" w:cs="Arial" w:eastAsia="Arial" w:hint="default"/>
                <w:sz w:val="24"/>
                <w:szCs w:val="24"/>
              </w:rPr>
            </w:pPr>
            <w:r>
              <w:rPr>
                <w:rFonts w:ascii="Arial"/>
                <w:spacing w:val="-1"/>
                <w:w w:val="95"/>
                <w:sz w:val="24"/>
              </w:rPr>
              <w:t>(91,335)</w:t>
            </w:r>
            <w:r>
              <w:rPr>
                <w:rFonts w:ascii="Arial"/>
                <w:sz w:val="24"/>
              </w:rPr>
            </w:r>
          </w:p>
        </w:tc>
        <w:tc>
          <w:tcPr>
            <w:tcW w:w="428" w:type="dxa"/>
            <w:tcBorders>
              <w:top w:val="nil" w:sz="6" w:space="0" w:color="auto"/>
              <w:left w:val="nil" w:sz="6" w:space="0" w:color="auto"/>
              <w:bottom w:val="nil" w:sz="6" w:space="0" w:color="auto"/>
              <w:right w:val="nil" w:sz="6" w:space="0" w:color="auto"/>
            </w:tcBorders>
          </w:tcPr>
          <w:p>
            <w:pP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Arial" w:hAnsi="Arial" w:cs="Arial" w:eastAsia="Arial" w:hint="default"/>
                <w:sz w:val="24"/>
                <w:szCs w:val="24"/>
              </w:rPr>
            </w:pPr>
            <w:r>
              <w:rPr>
                <w:rFonts w:ascii="Arial"/>
                <w:spacing w:val="-1"/>
                <w:w w:val="95"/>
                <w:sz w:val="24"/>
              </w:rPr>
              <w:t>(2,736)</w:t>
            </w:r>
            <w:r>
              <w:rPr>
                <w:rFonts w:ascii="Arial"/>
                <w:sz w:val="24"/>
              </w:rPr>
            </w:r>
          </w:p>
        </w:tc>
      </w:tr>
      <w:tr>
        <w:trPr>
          <w:trHeight w:val="297" w:hRule="exact"/>
        </w:trPr>
        <w:tc>
          <w:tcPr>
            <w:tcW w:w="617"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68"/>
              <w:jc w:val="right"/>
              <w:rPr>
                <w:rFonts w:ascii="Arial" w:hAnsi="Arial" w:cs="Arial" w:eastAsia="Arial" w:hint="default"/>
                <w:sz w:val="24"/>
                <w:szCs w:val="24"/>
              </w:rPr>
            </w:pPr>
            <w:r>
              <w:rPr>
                <w:rFonts w:ascii="Arial"/>
                <w:spacing w:val="-1"/>
                <w:w w:val="95"/>
                <w:sz w:val="24"/>
              </w:rPr>
              <w:t>690,945</w:t>
            </w:r>
            <w:r>
              <w:rPr>
                <w:rFonts w:ascii="Arial"/>
                <w:sz w:val="24"/>
              </w:rPr>
            </w:r>
          </w:p>
        </w:tc>
        <w:tc>
          <w:tcPr>
            <w:tcW w:w="428" w:type="dxa"/>
            <w:tcBorders>
              <w:top w:val="nil" w:sz="6" w:space="0" w:color="auto"/>
              <w:left w:val="nil" w:sz="6" w:space="0" w:color="auto"/>
              <w:bottom w:val="nil" w:sz="6" w:space="0" w:color="auto"/>
              <w:right w:val="nil" w:sz="6" w:space="0" w:color="auto"/>
            </w:tcBorders>
          </w:tcPr>
          <w:p>
            <w:pPr/>
          </w:p>
        </w:tc>
        <w:tc>
          <w:tcPr>
            <w:tcW w:w="233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65"/>
              <w:jc w:val="right"/>
              <w:rPr>
                <w:rFonts w:ascii="Arial" w:hAnsi="Arial" w:cs="Arial" w:eastAsia="Arial" w:hint="default"/>
                <w:sz w:val="24"/>
                <w:szCs w:val="24"/>
              </w:rPr>
            </w:pPr>
            <w:r>
              <w:rPr>
                <w:rFonts w:ascii="Arial"/>
                <w:spacing w:val="-1"/>
                <w:w w:val="95"/>
                <w:sz w:val="24"/>
              </w:rPr>
              <w:t>718,190</w:t>
            </w:r>
            <w:r>
              <w:rPr>
                <w:rFonts w:ascii="Arial"/>
                <w:sz w:val="24"/>
              </w:rPr>
            </w:r>
          </w:p>
        </w:tc>
      </w:tr>
    </w:tbl>
    <w:p>
      <w:pPr>
        <w:spacing w:line="240" w:lineRule="auto" w:before="0"/>
        <w:rPr>
          <w:rFonts w:ascii="Times New Roman" w:hAnsi="Times New Roman" w:cs="Times New Roman" w:eastAsia="Times New Roman" w:hint="default"/>
          <w:sz w:val="14"/>
          <w:szCs w:val="14"/>
        </w:rPr>
      </w:pPr>
    </w:p>
    <w:p>
      <w:pPr>
        <w:pStyle w:val="BodyText"/>
        <w:spacing w:line="240" w:lineRule="auto" w:before="26"/>
        <w:ind w:left="874" w:right="0"/>
        <w:jc w:val="left"/>
      </w:pPr>
      <w:r>
        <w:rPr/>
        <w:t>将基于合并利润表的利润总额采用适用税率计算的所得税调节为所得税费用：</w:t>
      </w:r>
    </w:p>
    <w:p>
      <w:pPr>
        <w:spacing w:line="240" w:lineRule="auto" w:before="12"/>
        <w:rPr>
          <w:rFonts w:ascii="宋体" w:hAnsi="宋体" w:cs="宋体" w:eastAsia="宋体" w:hint="default"/>
          <w:sz w:val="18"/>
          <w:szCs w:val="18"/>
        </w:rPr>
      </w:pPr>
    </w:p>
    <w:tbl>
      <w:tblPr>
        <w:tblW w:w="0" w:type="auto"/>
        <w:jc w:val="left"/>
        <w:tblInd w:w="167" w:type="dxa"/>
        <w:tblLayout w:type="fixed"/>
        <w:tblCellMar>
          <w:top w:w="0" w:type="dxa"/>
          <w:left w:w="0" w:type="dxa"/>
          <w:bottom w:w="0" w:type="dxa"/>
          <w:right w:w="0" w:type="dxa"/>
        </w:tblCellMar>
        <w:tblLook w:val="01E0"/>
      </w:tblPr>
      <w:tblGrid>
        <w:gridCol w:w="585"/>
        <w:gridCol w:w="4598"/>
        <w:gridCol w:w="2578"/>
        <w:gridCol w:w="2576"/>
      </w:tblGrid>
      <w:tr>
        <w:trPr>
          <w:trHeight w:val="832" w:hRule="exact"/>
        </w:trPr>
        <w:tc>
          <w:tcPr>
            <w:tcW w:w="585" w:type="dxa"/>
            <w:vMerge w:val="restart"/>
            <w:tcBorders>
              <w:top w:val="nil" w:sz="6" w:space="0" w:color="auto"/>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853" w:right="0"/>
              <w:jc w:val="center"/>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322" w:lineRule="exact"/>
              <w:ind w:left="691"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2576"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1214" w:right="0"/>
              <w:jc w:val="center"/>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322" w:lineRule="exact"/>
              <w:ind w:left="1084"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602"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7"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578" w:type="dxa"/>
            <w:tcBorders>
              <w:top w:val="nil" w:sz="6" w:space="0" w:color="auto"/>
              <w:left w:val="nil" w:sz="6" w:space="0" w:color="auto"/>
              <w:bottom w:val="nil" w:sz="6" w:space="0" w:color="auto"/>
              <w:right w:val="nil" w:sz="6" w:space="0" w:color="auto"/>
            </w:tcBorders>
          </w:tcPr>
          <w:p>
            <w:pPr>
              <w:pStyle w:val="TableParagraph"/>
              <w:tabs>
                <w:tab w:pos="1065" w:val="left" w:leader="none"/>
                <w:tab w:pos="2301" w:val="left" w:leader="none"/>
              </w:tabs>
              <w:spacing w:line="240" w:lineRule="auto" w:before="167"/>
              <w:ind w:right="22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2,950,873</w:t>
              <w:tab/>
            </w:r>
            <w:r>
              <w:rPr>
                <w:rFonts w:ascii="Arial"/>
                <w:spacing w:val="-1"/>
                <w:sz w:val="24"/>
              </w:rPr>
            </w:r>
          </w:p>
        </w:tc>
        <w:tc>
          <w:tcPr>
            <w:tcW w:w="2576" w:type="dxa"/>
            <w:tcBorders>
              <w:top w:val="nil" w:sz="6" w:space="0" w:color="auto"/>
              <w:left w:val="nil" w:sz="6" w:space="0" w:color="auto"/>
              <w:bottom w:val="nil" w:sz="6" w:space="0" w:color="auto"/>
              <w:right w:val="nil" w:sz="6" w:space="0" w:color="auto"/>
            </w:tcBorders>
          </w:tcPr>
          <w:p>
            <w:pPr>
              <w:pStyle w:val="TableParagraph"/>
              <w:tabs>
                <w:tab w:pos="1107" w:val="left" w:leader="none"/>
                <w:tab w:pos="2309" w:val="left" w:leader="none"/>
              </w:tabs>
              <w:spacing w:line="240" w:lineRule="auto" w:before="167"/>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2,241,358</w:t>
              <w:tab/>
            </w:r>
            <w:r>
              <w:rPr>
                <w:rFonts w:ascii="Arial"/>
                <w:spacing w:val="-1"/>
                <w:sz w:val="24"/>
              </w:rPr>
            </w:r>
          </w:p>
        </w:tc>
      </w:tr>
      <w:tr>
        <w:trPr>
          <w:trHeight w:val="440"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7"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2578"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
        </w:tc>
      </w:tr>
      <w:tr>
        <w:trPr>
          <w:trHeight w:val="624"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84" w:lineRule="exact"/>
              <w:ind w:left="123" w:right="0"/>
              <w:jc w:val="center"/>
              <w:rPr>
                <w:rFonts w:ascii="Arial" w:hAnsi="Arial" w:cs="Arial" w:eastAsia="Arial" w:hint="default"/>
                <w:sz w:val="24"/>
                <w:szCs w:val="24"/>
              </w:rPr>
            </w:pPr>
            <w:r>
              <w:rPr>
                <w:rFonts w:ascii="Arial" w:hAnsi="Arial" w:cs="Arial" w:eastAsia="Arial" w:hint="default"/>
                <w:sz w:val="24"/>
                <w:szCs w:val="24"/>
              </w:rPr>
              <w:t>(2008 </w:t>
            </w:r>
            <w:r>
              <w:rPr>
                <w:rFonts w:ascii="宋体" w:hAnsi="宋体" w:cs="宋体" w:eastAsia="宋体" w:hint="default"/>
                <w:sz w:val="24"/>
                <w:szCs w:val="24"/>
              </w:rPr>
              <w:t>年度：</w:t>
            </w:r>
            <w:r>
              <w:rPr>
                <w:rFonts w:ascii="Arial" w:hAnsi="Arial" w:cs="Arial" w:eastAsia="Arial" w:hint="default"/>
                <w:sz w:val="24"/>
                <w:szCs w:val="24"/>
              </w:rPr>
              <w:t>25%</w:t>
            </w:r>
            <w:r>
              <w:rPr>
                <w:rFonts w:ascii="宋体" w:hAnsi="宋体" w:cs="宋体" w:eastAsia="宋体" w:hint="default"/>
                <w:sz w:val="24"/>
                <w:szCs w:val="24"/>
              </w:rPr>
              <w:t>；</w:t>
            </w:r>
            <w:r>
              <w:rPr>
                <w:rFonts w:ascii="Arial" w:hAnsi="Arial" w:cs="Arial" w:eastAsia="Arial" w:hint="default"/>
                <w:sz w:val="24"/>
                <w:szCs w:val="24"/>
              </w:rPr>
              <w:t>2007</w:t>
            </w:r>
            <w:r>
              <w:rPr>
                <w:rFonts w:ascii="Arial" w:hAnsi="Arial" w:cs="Arial" w:eastAsia="Arial" w:hint="default"/>
                <w:spacing w:val="-21"/>
                <w:sz w:val="24"/>
                <w:szCs w:val="24"/>
              </w:rPr>
              <w:t> </w:t>
            </w:r>
            <w:r>
              <w:rPr>
                <w:rFonts w:ascii="宋体" w:hAnsi="宋体" w:cs="宋体" w:eastAsia="宋体" w:hint="default"/>
                <w:sz w:val="24"/>
                <w:szCs w:val="24"/>
              </w:rPr>
              <w:t>年度：</w:t>
            </w:r>
            <w:r>
              <w:rPr>
                <w:rFonts w:ascii="Arial" w:hAnsi="Arial" w:cs="Arial" w:eastAsia="Arial" w:hint="default"/>
                <w:sz w:val="24"/>
                <w:szCs w:val="24"/>
              </w:rPr>
              <w:t>33%)</w:t>
            </w:r>
          </w:p>
          <w:p>
            <w:pPr>
              <w:pStyle w:val="TableParagraph"/>
              <w:spacing w:line="304" w:lineRule="exact"/>
              <w:ind w:left="123" w:right="0"/>
              <w:jc w:val="center"/>
              <w:rPr>
                <w:rFonts w:ascii="宋体" w:hAnsi="宋体" w:cs="宋体" w:eastAsia="宋体" w:hint="default"/>
                <w:sz w:val="24"/>
                <w:szCs w:val="24"/>
              </w:rPr>
            </w:pPr>
            <w:r>
              <w:rPr>
                <w:rFonts w:ascii="宋体" w:hAnsi="宋体" w:cs="宋体" w:eastAsia="宋体" w:hint="default"/>
                <w:spacing w:val="3"/>
                <w:sz w:val="24"/>
                <w:szCs w:val="24"/>
              </w:rPr>
              <w:t>新所得税法的颁布对原已确认的递延所得</w:t>
            </w:r>
            <w:r>
              <w:rPr>
                <w:rFonts w:ascii="宋体" w:hAnsi="宋体" w:cs="宋体" w:eastAsia="宋体" w:hint="default"/>
                <w:sz w:val="24"/>
                <w:szCs w:val="24"/>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19" w:right="0"/>
              <w:jc w:val="left"/>
              <w:rPr>
                <w:rFonts w:ascii="Arial" w:hAnsi="Arial" w:cs="Arial" w:eastAsia="Arial" w:hint="default"/>
                <w:sz w:val="24"/>
                <w:szCs w:val="24"/>
              </w:rPr>
            </w:pPr>
            <w:r>
              <w:rPr>
                <w:rFonts w:ascii="Arial"/>
                <w:sz w:val="24"/>
              </w:rPr>
              <w:t>737,718</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Arial" w:hAnsi="Arial" w:cs="Arial" w:eastAsia="Arial" w:hint="default"/>
                <w:sz w:val="24"/>
                <w:szCs w:val="24"/>
              </w:rPr>
            </w:pPr>
            <w:r>
              <w:rPr>
                <w:rFonts w:ascii="Arial"/>
                <w:spacing w:val="-1"/>
                <w:w w:val="95"/>
                <w:sz w:val="24"/>
              </w:rPr>
              <w:t>739,648</w:t>
            </w:r>
            <w:r>
              <w:rPr>
                <w:rFonts w:ascii="Arial"/>
                <w:sz w:val="24"/>
              </w:rPr>
            </w:r>
          </w:p>
        </w:tc>
      </w:tr>
      <w:tr>
        <w:trPr>
          <w:trHeight w:val="327"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93" w:lineRule="exact"/>
              <w:ind w:left="409" w:right="0"/>
              <w:jc w:val="left"/>
              <w:rPr>
                <w:rFonts w:ascii="Arial" w:hAnsi="Arial" w:cs="Arial" w:eastAsia="Arial" w:hint="default"/>
                <w:sz w:val="24"/>
                <w:szCs w:val="24"/>
              </w:rPr>
            </w:pPr>
            <w:r>
              <w:rPr>
                <w:rFonts w:ascii="宋体" w:hAnsi="宋体" w:cs="宋体" w:eastAsia="宋体" w:hint="default"/>
                <w:sz w:val="24"/>
                <w:szCs w:val="24"/>
              </w:rPr>
              <w:t>税余额的影响</w:t>
            </w:r>
            <w:r>
              <w:rPr>
                <w:rFonts w:ascii="Arial" w:hAnsi="Arial" w:cs="Arial" w:eastAsia="Arial" w:hint="default"/>
                <w:sz w:val="24"/>
                <w:szCs w:val="24"/>
              </w:rPr>
              <w:t>(</w:t>
            </w:r>
            <w:r>
              <w:rPr>
                <w:rFonts w:ascii="宋体" w:hAnsi="宋体" w:cs="宋体" w:eastAsia="宋体" w:hint="default"/>
                <w:sz w:val="24"/>
                <w:szCs w:val="24"/>
              </w:rPr>
              <w:t>附注七</w:t>
            </w:r>
            <w:r>
              <w:rPr>
                <w:rFonts w:ascii="Arial" w:hAnsi="Arial" w:cs="Arial" w:eastAsia="Arial" w:hint="default"/>
                <w:sz w:val="24"/>
                <w:szCs w:val="24"/>
              </w:rPr>
              <w:t>(22))</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0"/>
              <w:jc w:val="right"/>
              <w:rPr>
                <w:rFonts w:ascii="Arial" w:hAnsi="Arial" w:cs="Arial" w:eastAsia="Arial" w:hint="default"/>
                <w:sz w:val="24"/>
                <w:szCs w:val="24"/>
              </w:rPr>
            </w:pPr>
            <w:r>
              <w:rPr>
                <w:rFonts w:ascii="Arial"/>
                <w:w w:val="99"/>
                <w:sz w:val="24"/>
              </w:rPr>
              <w:t>-</w:t>
            </w:r>
            <w:r>
              <w:rPr>
                <w:rFonts w:ascii="Arial"/>
                <w:sz w:val="24"/>
              </w:rPr>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4"/>
              <w:jc w:val="right"/>
              <w:rPr>
                <w:rFonts w:ascii="Arial" w:hAnsi="Arial" w:cs="Arial" w:eastAsia="Arial" w:hint="default"/>
                <w:sz w:val="24"/>
                <w:szCs w:val="24"/>
              </w:rPr>
            </w:pPr>
            <w:r>
              <w:rPr>
                <w:rFonts w:ascii="Arial"/>
                <w:spacing w:val="-1"/>
                <w:w w:val="95"/>
                <w:sz w:val="24"/>
              </w:rPr>
              <w:t>20,789</w:t>
            </w:r>
            <w:r>
              <w:rPr>
                <w:rFonts w:ascii="Arial"/>
                <w:sz w:val="24"/>
              </w:rPr>
            </w:r>
          </w:p>
        </w:tc>
      </w:tr>
      <w:tr>
        <w:trPr>
          <w:trHeight w:val="312"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3"/>
              <w:jc w:val="right"/>
              <w:rPr>
                <w:rFonts w:ascii="Arial" w:hAnsi="Arial" w:cs="Arial" w:eastAsia="Arial" w:hint="default"/>
                <w:sz w:val="24"/>
                <w:szCs w:val="24"/>
              </w:rPr>
            </w:pPr>
            <w:r>
              <w:rPr>
                <w:rFonts w:ascii="Arial"/>
                <w:spacing w:val="-1"/>
                <w:w w:val="95"/>
                <w:sz w:val="24"/>
              </w:rPr>
              <w:t>(41,966)</w:t>
            </w:r>
            <w:r>
              <w:rPr>
                <w:rFonts w:ascii="Arial"/>
                <w:sz w:val="24"/>
              </w:rPr>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(42,812)</w:t>
            </w:r>
            <w:r>
              <w:rPr>
                <w:rFonts w:ascii="Arial"/>
                <w:sz w:val="24"/>
              </w:rPr>
            </w:r>
          </w:p>
        </w:tc>
      </w:tr>
      <w:tr>
        <w:trPr>
          <w:trHeight w:val="312"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所得税汇算清缴差异</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2"/>
              <w:jc w:val="right"/>
              <w:rPr>
                <w:rFonts w:ascii="Arial" w:hAnsi="Arial" w:cs="Arial" w:eastAsia="Arial" w:hint="default"/>
                <w:sz w:val="24"/>
                <w:szCs w:val="24"/>
              </w:rPr>
            </w:pPr>
            <w:r>
              <w:rPr>
                <w:rFonts w:ascii="Arial"/>
                <w:w w:val="95"/>
                <w:sz w:val="24"/>
              </w:rPr>
              <w:t>(3,961)</w:t>
            </w:r>
            <w:r>
              <w:rPr>
                <w:rFonts w:ascii="Arial"/>
                <w:sz w:val="24"/>
              </w:rPr>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1"/>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非应纳税收入</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3"/>
              <w:jc w:val="right"/>
              <w:rPr>
                <w:rFonts w:ascii="Arial" w:hAnsi="Arial" w:cs="Arial" w:eastAsia="Arial" w:hint="default"/>
                <w:sz w:val="24"/>
                <w:szCs w:val="24"/>
              </w:rPr>
            </w:pPr>
            <w:r>
              <w:rPr>
                <w:rFonts w:ascii="Arial"/>
                <w:w w:val="95"/>
                <w:sz w:val="24"/>
              </w:rPr>
              <w:t>(1,649)</w:t>
            </w:r>
            <w:r>
              <w:rPr>
                <w:rFonts w:ascii="Arial"/>
                <w:sz w:val="24"/>
              </w:rPr>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w w:val="95"/>
                <w:sz w:val="24"/>
              </w:rPr>
              <w:t>(5,231)</w:t>
            </w:r>
            <w:r>
              <w:rPr>
                <w:rFonts w:ascii="Arial"/>
                <w:sz w:val="24"/>
              </w:rPr>
            </w:r>
          </w:p>
        </w:tc>
      </w:tr>
      <w:tr>
        <w:trPr>
          <w:trHeight w:val="317" w:hRule="exact"/>
        </w:trPr>
        <w:tc>
          <w:tcPr>
            <w:tcW w:w="585" w:type="dxa"/>
            <w:vMerge/>
            <w:tcBorders>
              <w:left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2578" w:type="dxa"/>
            <w:tcBorders>
              <w:top w:val="nil" w:sz="6" w:space="0" w:color="auto"/>
              <w:left w:val="nil" w:sz="6" w:space="0" w:color="auto"/>
              <w:bottom w:val="nil" w:sz="6" w:space="0" w:color="auto"/>
              <w:right w:val="nil" w:sz="6" w:space="0" w:color="auto"/>
            </w:tcBorders>
          </w:tcPr>
          <w:p>
            <w:pPr>
              <w:pStyle w:val="TableParagraph"/>
              <w:tabs>
                <w:tab w:pos="1733" w:val="left" w:leader="none"/>
                <w:tab w:pos="2301" w:val="left" w:leader="none"/>
              </w:tabs>
              <w:spacing w:line="240" w:lineRule="auto" w:before="20"/>
              <w:ind w:right="22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803</w:t>
              <w:tab/>
            </w:r>
            <w:r>
              <w:rPr>
                <w:rFonts w:ascii="Arial"/>
                <w:spacing w:val="-1"/>
                <w:sz w:val="24"/>
              </w:rPr>
            </w:r>
          </w:p>
        </w:tc>
        <w:tc>
          <w:tcPr>
            <w:tcW w:w="2576" w:type="dxa"/>
            <w:tcBorders>
              <w:top w:val="nil" w:sz="6" w:space="0" w:color="auto"/>
              <w:left w:val="nil" w:sz="6" w:space="0" w:color="auto"/>
              <w:bottom w:val="nil" w:sz="6" w:space="0" w:color="auto"/>
              <w:right w:val="nil" w:sz="6" w:space="0" w:color="auto"/>
            </w:tcBorders>
          </w:tcPr>
          <w:p>
            <w:pPr>
              <w:pStyle w:val="TableParagraph"/>
              <w:tabs>
                <w:tab w:pos="1575" w:val="left" w:leader="none"/>
                <w:tab w:pos="2309"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5,796</w:t>
              <w:tab/>
            </w:r>
            <w:r>
              <w:rPr>
                <w:rFonts w:ascii="Arial"/>
                <w:spacing w:val="-1"/>
                <w:sz w:val="24"/>
              </w:rPr>
            </w:r>
          </w:p>
        </w:tc>
      </w:tr>
      <w:tr>
        <w:trPr>
          <w:trHeight w:val="450" w:hRule="exact"/>
        </w:trPr>
        <w:tc>
          <w:tcPr>
            <w:tcW w:w="585" w:type="dxa"/>
            <w:vMerge/>
            <w:tcBorders>
              <w:left w:val="nil" w:sz="6" w:space="0" w:color="auto"/>
              <w:bottom w:val="nil" w:sz="6" w:space="0" w:color="auto"/>
              <w:right w:val="nil" w:sz="6" w:space="0" w:color="auto"/>
            </w:tcBorders>
          </w:tcPr>
          <w:p>
            <w:pPr/>
          </w:p>
        </w:tc>
        <w:tc>
          <w:tcPr>
            <w:tcW w:w="4598" w:type="dxa"/>
            <w:tcBorders>
              <w:top w:val="nil" w:sz="6" w:space="0" w:color="auto"/>
              <w:left w:val="nil" w:sz="6" w:space="0" w:color="auto"/>
              <w:bottom w:val="nil" w:sz="6" w:space="0" w:color="auto"/>
              <w:right w:val="nil" w:sz="6" w:space="0" w:color="auto"/>
            </w:tcBorders>
          </w:tcPr>
          <w:p>
            <w:pPr>
              <w:pStyle w:val="TableParagraph"/>
              <w:spacing w:line="266" w:lineRule="exact"/>
              <w:ind w:left="16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578" w:type="dxa"/>
            <w:tcBorders>
              <w:top w:val="nil" w:sz="6" w:space="0" w:color="auto"/>
              <w:left w:val="nil" w:sz="6" w:space="0" w:color="auto"/>
              <w:bottom w:val="nil" w:sz="6" w:space="0" w:color="auto"/>
              <w:right w:val="nil" w:sz="6" w:space="0" w:color="auto"/>
            </w:tcBorders>
          </w:tcPr>
          <w:p>
            <w:pPr>
              <w:pStyle w:val="TableParagraph"/>
              <w:tabs>
                <w:tab w:pos="1274" w:val="left" w:leader="none"/>
                <w:tab w:pos="2315" w:val="left" w:leader="none"/>
              </w:tabs>
              <w:spacing w:line="240" w:lineRule="auto" w:before="25"/>
              <w:ind w:right="21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690,945</w:t>
              <w:tab/>
            </w:r>
            <w:r>
              <w:rPr>
                <w:rFonts w:ascii="Arial"/>
                <w:spacing w:val="-1"/>
                <w:sz w:val="24"/>
              </w:rPr>
            </w:r>
          </w:p>
        </w:tc>
        <w:tc>
          <w:tcPr>
            <w:tcW w:w="2576" w:type="dxa"/>
            <w:tcBorders>
              <w:top w:val="nil" w:sz="6" w:space="0" w:color="auto"/>
              <w:left w:val="nil" w:sz="6" w:space="0" w:color="auto"/>
              <w:bottom w:val="nil" w:sz="6" w:space="0" w:color="auto"/>
              <w:right w:val="nil" w:sz="6" w:space="0" w:color="auto"/>
            </w:tcBorders>
          </w:tcPr>
          <w:p>
            <w:pPr>
              <w:pStyle w:val="TableParagraph"/>
              <w:tabs>
                <w:tab w:pos="1316" w:val="left" w:leader="none"/>
                <w:tab w:pos="2324" w:val="left" w:leader="none"/>
              </w:tabs>
              <w:spacing w:line="240" w:lineRule="auto" w:before="25"/>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718,190</w:t>
              <w:tab/>
            </w:r>
            <w:r>
              <w:rPr>
                <w:rFonts w:ascii="Arial"/>
                <w:spacing w:val="-1"/>
                <w:sz w:val="24"/>
              </w:rPr>
            </w:r>
          </w:p>
        </w:tc>
      </w:tr>
      <w:tr>
        <w:trPr>
          <w:trHeight w:val="571" w:hRule="exact"/>
        </w:trPr>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(35)</w:t>
            </w:r>
          </w:p>
        </w:tc>
        <w:tc>
          <w:tcPr>
            <w:tcW w:w="4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2" w:right="0"/>
              <w:jc w:val="left"/>
              <w:rPr>
                <w:rFonts w:ascii="宋体" w:hAnsi="宋体" w:cs="宋体" w:eastAsia="宋体" w:hint="default"/>
                <w:sz w:val="24"/>
                <w:szCs w:val="24"/>
              </w:rPr>
            </w:pPr>
            <w:r>
              <w:rPr>
                <w:rFonts w:ascii="宋体" w:hAnsi="宋体" w:cs="宋体" w:eastAsia="宋体" w:hint="default"/>
                <w:b/>
                <w:bCs/>
                <w:sz w:val="24"/>
                <w:szCs w:val="24"/>
              </w:rPr>
              <w:t>每股收益</w:t>
            </w:r>
            <w:r>
              <w:rPr>
                <w:rFonts w:ascii="宋体" w:hAnsi="宋体" w:cs="宋体" w:eastAsia="宋体" w:hint="default"/>
                <w:sz w:val="24"/>
                <w:szCs w:val="24"/>
              </w:rPr>
            </w:r>
          </w:p>
        </w:tc>
        <w:tc>
          <w:tcPr>
            <w:tcW w:w="2578"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
        </w:tc>
      </w:tr>
      <w:tr>
        <w:trPr>
          <w:trHeight w:val="517" w:hRule="exact"/>
        </w:trPr>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459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578"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pStyle w:val="BodyText"/>
        <w:spacing w:line="312" w:lineRule="exact" w:before="56"/>
        <w:ind w:left="874" w:right="0"/>
        <w:jc w:val="left"/>
      </w:pPr>
      <w:r>
        <w:rPr>
          <w:spacing w:val="3"/>
        </w:rPr>
        <w:t>基本每股收益以归属于母公司普通股股东的合并净利润除以母公司发行在外普通股的加权 </w:t>
      </w:r>
      <w:r>
        <w:rPr/>
        <w:t>平均数计算：</w:t>
      </w:r>
    </w:p>
    <w:tbl>
      <w:tblPr>
        <w:tblW w:w="0" w:type="auto"/>
        <w:jc w:val="left"/>
        <w:tblInd w:w="874" w:type="dxa"/>
        <w:tblLayout w:type="fixed"/>
        <w:tblCellMar>
          <w:top w:w="0" w:type="dxa"/>
          <w:left w:w="0" w:type="dxa"/>
          <w:bottom w:w="0" w:type="dxa"/>
          <w:right w:w="0" w:type="dxa"/>
        </w:tblCellMar>
        <w:tblLook w:val="01E0"/>
      </w:tblPr>
      <w:tblGrid>
        <w:gridCol w:w="5675"/>
        <w:gridCol w:w="1778"/>
        <w:gridCol w:w="364"/>
        <w:gridCol w:w="1799"/>
      </w:tblGrid>
      <w:tr>
        <w:trPr>
          <w:trHeight w:val="924" w:hRule="exact"/>
        </w:trPr>
        <w:tc>
          <w:tcPr>
            <w:tcW w:w="5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Arial" w:hAnsi="Arial" w:cs="Arial" w:eastAsia="Arial" w:hint="default"/>
                <w:sz w:val="24"/>
                <w:szCs w:val="24"/>
              </w:rPr>
            </w:pPr>
            <w:r>
              <w:rPr>
                <w:rFonts w:ascii="宋体" w:hAnsi="宋体" w:cs="宋体" w:eastAsia="宋体" w:hint="default"/>
                <w:sz w:val="24"/>
                <w:szCs w:val="24"/>
              </w:rPr>
              <w:t>归属于母公司普通股股东的合并净利润</w:t>
            </w: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302" w:lineRule="exact"/>
              <w:ind w:left="572"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62" w:right="0"/>
              <w:jc w:val="left"/>
              <w:rPr>
                <w:rFonts w:ascii="Arial" w:hAnsi="Arial" w:cs="Arial" w:eastAsia="Arial" w:hint="default"/>
                <w:sz w:val="24"/>
                <w:szCs w:val="24"/>
              </w:rPr>
            </w:pPr>
            <w:r>
              <w:rPr>
                <w:rFonts w:ascii="Arial"/>
                <w:sz w:val="24"/>
              </w:rPr>
              <w:t>2,170,189</w:t>
            </w:r>
          </w:p>
        </w:tc>
        <w:tc>
          <w:tcPr>
            <w:tcW w:w="36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302" w:lineRule="exact"/>
              <w:ind w:left="58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94" w:right="0"/>
              <w:jc w:val="left"/>
              <w:rPr>
                <w:rFonts w:ascii="Arial" w:hAnsi="Arial" w:cs="Arial" w:eastAsia="Arial" w:hint="default"/>
                <w:sz w:val="24"/>
                <w:szCs w:val="24"/>
              </w:rPr>
            </w:pPr>
            <w:r>
              <w:rPr>
                <w:rFonts w:ascii="Arial"/>
                <w:sz w:val="24"/>
              </w:rPr>
              <w:t>1,465,426</w:t>
            </w:r>
          </w:p>
        </w:tc>
      </w:tr>
      <w:tr>
        <w:trPr>
          <w:trHeight w:val="317" w:hRule="exact"/>
        </w:trPr>
        <w:tc>
          <w:tcPr>
            <w:tcW w:w="5675" w:type="dxa"/>
            <w:tcBorders>
              <w:top w:val="nil" w:sz="6" w:space="0" w:color="auto"/>
              <w:left w:val="nil" w:sz="6" w:space="0" w:color="auto"/>
              <w:bottom w:val="nil" w:sz="6" w:space="0" w:color="auto"/>
              <w:right w:val="nil" w:sz="6" w:space="0" w:color="auto"/>
            </w:tcBorders>
          </w:tcPr>
          <w:p>
            <w:pPr>
              <w:pStyle w:val="TableParagraph"/>
              <w:spacing w:line="278" w:lineRule="exact"/>
              <w:ind w:left="35" w:right="0"/>
              <w:jc w:val="left"/>
              <w:rPr>
                <w:rFonts w:ascii="Arial" w:hAnsi="Arial" w:cs="Arial" w:eastAsia="Arial" w:hint="default"/>
                <w:sz w:val="24"/>
                <w:szCs w:val="24"/>
              </w:rPr>
            </w:pPr>
            <w:r>
              <w:rPr>
                <w:rFonts w:ascii="宋体" w:hAnsi="宋体" w:cs="宋体" w:eastAsia="宋体" w:hint="default"/>
                <w:sz w:val="24"/>
                <w:szCs w:val="24"/>
              </w:rPr>
              <w:t>本公司发行在外普通股的加权平均数</w:t>
            </w:r>
            <w:r>
              <w:rPr>
                <w:rFonts w:ascii="Arial" w:hAnsi="Arial" w:cs="Arial" w:eastAsia="Arial" w:hint="default"/>
                <w:sz w:val="24"/>
                <w:szCs w:val="24"/>
              </w:rPr>
              <w:t>(</w:t>
            </w:r>
            <w:r>
              <w:rPr>
                <w:rFonts w:ascii="宋体" w:hAnsi="宋体" w:cs="宋体" w:eastAsia="宋体" w:hint="default"/>
                <w:sz w:val="24"/>
                <w:szCs w:val="24"/>
              </w:rPr>
              <w:t>千股</w:t>
            </w:r>
            <w:r>
              <w:rPr>
                <w:rFonts w:ascii="Arial" w:hAnsi="Arial" w:cs="Arial" w:eastAsia="Arial" w:hint="default"/>
                <w:sz w:val="24"/>
                <w:szCs w:val="24"/>
              </w:rPr>
              <w:t>)</w:t>
            </w:r>
          </w:p>
        </w:tc>
        <w:tc>
          <w:tcPr>
            <w:tcW w:w="1778" w:type="dxa"/>
            <w:tcBorders>
              <w:top w:val="nil" w:sz="6" w:space="0" w:color="auto"/>
              <w:left w:val="nil" w:sz="6" w:space="0" w:color="auto"/>
              <w:bottom w:val="nil" w:sz="6" w:space="0" w:color="auto"/>
              <w:right w:val="nil" w:sz="6" w:space="0" w:color="auto"/>
            </w:tcBorders>
          </w:tcPr>
          <w:p>
            <w:pPr>
              <w:pStyle w:val="TableParagraph"/>
              <w:tabs>
                <w:tab w:pos="562" w:val="left" w:leader="none"/>
                <w:tab w:pos="1778" w:val="left" w:leader="none"/>
              </w:tabs>
              <w:spacing w:line="240" w:lineRule="auto" w:before="20"/>
              <w:ind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2,946,008</w:t>
              <w:tab/>
            </w:r>
            <w:r>
              <w:rPr>
                <w:rFonts w:ascii="Arial"/>
                <w:sz w:val="24"/>
              </w:rPr>
            </w:r>
          </w:p>
        </w:tc>
        <w:tc>
          <w:tcPr>
            <w:tcW w:w="36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tabs>
                <w:tab w:pos="594" w:val="left" w:leader="none"/>
                <w:tab w:pos="1763" w:val="left" w:leader="none"/>
              </w:tabs>
              <w:spacing w:line="240" w:lineRule="auto" w:before="20"/>
              <w:ind w:right="33"/>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2,883,008</w:t>
              <w:tab/>
            </w:r>
            <w:r>
              <w:rPr>
                <w:rFonts w:ascii="Arial"/>
                <w:sz w:val="24"/>
              </w:rPr>
            </w:r>
          </w:p>
        </w:tc>
      </w:tr>
      <w:tr>
        <w:trPr>
          <w:trHeight w:val="318" w:hRule="exact"/>
        </w:trPr>
        <w:tc>
          <w:tcPr>
            <w:tcW w:w="5675" w:type="dxa"/>
            <w:tcBorders>
              <w:top w:val="nil" w:sz="6" w:space="0" w:color="auto"/>
              <w:left w:val="nil" w:sz="6" w:space="0" w:color="auto"/>
              <w:bottom w:val="nil" w:sz="6" w:space="0" w:color="auto"/>
              <w:right w:val="nil" w:sz="6" w:space="0" w:color="auto"/>
            </w:tcBorders>
          </w:tcPr>
          <w:p>
            <w:pPr>
              <w:pStyle w:val="TableParagraph"/>
              <w:spacing w:line="283" w:lineRule="exact"/>
              <w:ind w:left="44" w:right="0"/>
              <w:jc w:val="left"/>
              <w:rPr>
                <w:rFonts w:ascii="Arial" w:hAnsi="Arial" w:cs="Arial" w:eastAsia="Arial" w:hint="default"/>
                <w:sz w:val="24"/>
                <w:szCs w:val="24"/>
              </w:rPr>
            </w:pPr>
            <w:r>
              <w:rPr>
                <w:rFonts w:ascii="宋体" w:hAnsi="宋体" w:cs="宋体" w:eastAsia="宋体" w:hint="default"/>
                <w:sz w:val="24"/>
                <w:szCs w:val="24"/>
              </w:rPr>
              <w:t>基本每股收益</w:t>
            </w:r>
            <w:r>
              <w:rPr>
                <w:rFonts w:ascii="Arial" w:hAnsi="Arial" w:cs="Arial" w:eastAsia="Arial" w:hint="default"/>
                <w:sz w:val="24"/>
                <w:szCs w:val="24"/>
              </w:rPr>
              <w:t>(</w:t>
            </w:r>
            <w:r>
              <w:rPr>
                <w:rFonts w:ascii="宋体" w:hAnsi="宋体" w:cs="宋体" w:eastAsia="宋体" w:hint="default"/>
                <w:sz w:val="24"/>
                <w:szCs w:val="24"/>
              </w:rPr>
              <w:t>人民币元</w:t>
            </w:r>
            <w:r>
              <w:rPr>
                <w:rFonts w:ascii="Arial" w:hAnsi="Arial" w:cs="Arial" w:eastAsia="Arial" w:hint="default"/>
                <w:sz w:val="24"/>
                <w:szCs w:val="24"/>
              </w:rPr>
              <w:t>)</w:t>
            </w:r>
          </w:p>
        </w:tc>
        <w:tc>
          <w:tcPr>
            <w:tcW w:w="1778" w:type="dxa"/>
            <w:tcBorders>
              <w:top w:val="nil" w:sz="6" w:space="0" w:color="auto"/>
              <w:left w:val="nil" w:sz="6" w:space="0" w:color="auto"/>
              <w:bottom w:val="single" w:sz="12" w:space="0" w:color="000000"/>
              <w:right w:val="nil" w:sz="6" w:space="0" w:color="auto"/>
            </w:tcBorders>
          </w:tcPr>
          <w:p>
            <w:pPr>
              <w:pStyle w:val="TableParagraph"/>
              <w:spacing w:line="283" w:lineRule="exact"/>
              <w:ind w:right="30"/>
              <w:jc w:val="center"/>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0.74</w:t>
            </w:r>
            <w:r>
              <w:rPr>
                <w:rFonts w:ascii="Arial" w:hAnsi="Arial" w:cs="Arial" w:eastAsia="Arial" w:hint="default"/>
                <w:spacing w:val="-9"/>
                <w:sz w:val="24"/>
                <w:szCs w:val="24"/>
              </w:rPr>
              <w:t> </w:t>
            </w:r>
            <w:r>
              <w:rPr>
                <w:rFonts w:ascii="宋体" w:hAnsi="宋体" w:cs="宋体" w:eastAsia="宋体" w:hint="default"/>
                <w:sz w:val="24"/>
                <w:szCs w:val="24"/>
              </w:rPr>
              <w:t>元</w:t>
            </w:r>
          </w:p>
        </w:tc>
        <w:tc>
          <w:tcPr>
            <w:tcW w:w="364"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12" w:space="0" w:color="000000"/>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0.51</w:t>
            </w:r>
            <w:r>
              <w:rPr>
                <w:rFonts w:ascii="Arial" w:hAnsi="Arial" w:cs="Arial" w:eastAsia="Arial" w:hint="default"/>
                <w:spacing w:val="-9"/>
                <w:sz w:val="24"/>
                <w:szCs w:val="24"/>
              </w:rPr>
              <w:t> </w:t>
            </w:r>
            <w:r>
              <w:rPr>
                <w:rFonts w:ascii="宋体" w:hAnsi="宋体" w:cs="宋体" w:eastAsia="宋体" w:hint="default"/>
                <w:sz w:val="24"/>
                <w:szCs w:val="24"/>
              </w:rPr>
              <w:t>元</w:t>
            </w:r>
          </w:p>
        </w:tc>
      </w:tr>
    </w:tbl>
    <w:p>
      <w:pPr>
        <w:spacing w:after="0" w:line="283" w:lineRule="exact"/>
        <w:jc w:val="center"/>
        <w:rPr>
          <w:rFonts w:ascii="宋体" w:hAnsi="宋体" w:cs="宋体" w:eastAsia="宋体" w:hint="default"/>
          <w:sz w:val="24"/>
          <w:szCs w:val="24"/>
        </w:rPr>
        <w:sectPr>
          <w:pgSz w:w="11910" w:h="16840"/>
          <w:pgMar w:header="752" w:footer="707" w:top="1020" w:bottom="900" w:left="840" w:right="460"/>
        </w:sectPr>
      </w:pPr>
    </w:p>
    <w:p>
      <w:pPr>
        <w:spacing w:line="240" w:lineRule="auto" w:before="0"/>
        <w:rPr>
          <w:rFonts w:ascii="宋体" w:hAnsi="宋体" w:cs="宋体" w:eastAsia="宋体" w:hint="default"/>
          <w:sz w:val="20"/>
          <w:szCs w:val="20"/>
        </w:rPr>
      </w:pPr>
    </w:p>
    <w:p>
      <w:pPr>
        <w:pStyle w:val="Heading2"/>
        <w:tabs>
          <w:tab w:pos="803" w:val="left" w:leader="none"/>
        </w:tabs>
        <w:spacing w:line="240" w:lineRule="auto" w:before="158"/>
        <w:ind w:right="0"/>
        <w:jc w:val="left"/>
        <w:rPr>
          <w:rFonts w:ascii="Arial" w:hAnsi="Arial" w:cs="Arial" w:eastAsia="Arial" w:hint="default"/>
          <w:b w:val="0"/>
          <w:bCs w:val="0"/>
        </w:rPr>
      </w:pPr>
      <w:r>
        <w:rPr>
          <w:w w:val="95"/>
        </w:rPr>
        <w:t>七</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3" w:val="left" w:leader="none"/>
        </w:tabs>
        <w:spacing w:before="0"/>
        <w:ind w:left="102" w:right="0" w:firstLine="0"/>
        <w:jc w:val="left"/>
        <w:rPr>
          <w:rFonts w:ascii="Arial" w:hAnsi="Arial" w:cs="Arial" w:eastAsia="Arial" w:hint="default"/>
          <w:sz w:val="24"/>
          <w:szCs w:val="24"/>
        </w:rPr>
      </w:pPr>
      <w:r>
        <w:rPr>
          <w:rFonts w:ascii="Arial" w:hAnsi="Arial" w:cs="Arial" w:eastAsia="Arial" w:hint="default"/>
          <w:w w:val="95"/>
          <w:position w:val="2"/>
          <w:sz w:val="24"/>
          <w:szCs w:val="24"/>
        </w:rPr>
        <w:t>(35)</w:t>
        <w:tab/>
      </w:r>
      <w:r>
        <w:rPr>
          <w:rFonts w:ascii="宋体" w:hAnsi="宋体" w:cs="宋体" w:eastAsia="宋体" w:hint="default"/>
          <w:b/>
          <w:bCs/>
          <w:sz w:val="24"/>
          <w:szCs w:val="24"/>
        </w:rPr>
        <w:t>每股收益</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03" w:val="left" w:leader="none"/>
        </w:tabs>
        <w:spacing w:line="240" w:lineRule="auto"/>
        <w:ind w:left="102" w:right="0"/>
        <w:jc w:val="left"/>
      </w:pPr>
      <w:r>
        <w:rPr>
          <w:rFonts w:ascii="Arial" w:hAnsi="Arial" w:cs="Arial" w:eastAsia="Arial" w:hint="default"/>
          <w:w w:val="95"/>
          <w:position w:val="2"/>
        </w:rPr>
        <w:t>(b)</w:t>
        <w:tab/>
      </w:r>
      <w:r>
        <w:rPr/>
        <w:t>稀释每股收益</w:t>
      </w:r>
    </w:p>
    <w:p>
      <w:pPr>
        <w:spacing w:line="240" w:lineRule="auto" w:before="4"/>
        <w:rPr>
          <w:rFonts w:ascii="宋体" w:hAnsi="宋体" w:cs="宋体" w:eastAsia="宋体" w:hint="default"/>
          <w:sz w:val="23"/>
          <w:szCs w:val="23"/>
        </w:rPr>
      </w:pPr>
    </w:p>
    <w:p>
      <w:pPr>
        <w:pStyle w:val="BodyText"/>
        <w:spacing w:line="312" w:lineRule="exact"/>
        <w:ind w:left="803" w:right="243"/>
        <w:jc w:val="both"/>
      </w:pPr>
      <w:r>
        <w:rPr>
          <w:spacing w:val="3"/>
        </w:rPr>
        <w:t>稀释每股收益以根据稀释性潜在普通股调整后的归属于母公司普通股股东的合并净利润</w:t>
      </w:r>
      <w:r>
        <w:rPr>
          <w:spacing w:val="-84"/>
        </w:rPr>
        <w:t> </w:t>
      </w:r>
      <w:r>
        <w:rPr>
          <w:spacing w:val="-84"/>
        </w:rPr>
      </w:r>
      <w:r>
        <w:rPr>
          <w:spacing w:val="-2"/>
        </w:rPr>
        <w:t>除以调整后的本公司发行在外普通股的加权平均数计算。本公司无具有稀释性的潜在普通</w:t>
      </w:r>
      <w:r>
        <w:rPr>
          <w:spacing w:val="-112"/>
        </w:rPr>
        <w:t> </w:t>
      </w:r>
      <w:r>
        <w:rPr>
          <w:spacing w:val="-112"/>
        </w:rPr>
      </w:r>
      <w:r>
        <w:rPr/>
        <w:t>股，所以稀释每股收益等同于基本每股收益。</w:t>
      </w:r>
    </w:p>
    <w:p>
      <w:pPr>
        <w:spacing w:line="240" w:lineRule="auto" w:before="10"/>
        <w:rPr>
          <w:rFonts w:ascii="宋体" w:hAnsi="宋体" w:cs="宋体" w:eastAsia="宋体" w:hint="default"/>
          <w:sz w:val="18"/>
          <w:szCs w:val="18"/>
        </w:rPr>
      </w:pPr>
    </w:p>
    <w:p>
      <w:pPr>
        <w:tabs>
          <w:tab w:pos="803"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(36)</w:t>
        <w:tab/>
      </w:r>
      <w:r>
        <w:rPr>
          <w:rFonts w:ascii="宋体" w:hAnsi="宋体" w:cs="宋体" w:eastAsia="宋体" w:hint="default"/>
          <w:b/>
          <w:bCs/>
          <w:sz w:val="24"/>
          <w:szCs w:val="24"/>
        </w:rPr>
        <w:t>现金流量表附注</w:t>
      </w:r>
      <w:r>
        <w:rPr>
          <w:rFonts w:ascii="宋体" w:hAnsi="宋体" w:cs="宋体" w:eastAsia="宋体" w:hint="default"/>
          <w:sz w:val="24"/>
          <w:szCs w:val="24"/>
        </w:rPr>
      </w:r>
    </w:p>
    <w:p>
      <w:pPr>
        <w:spacing w:line="240" w:lineRule="auto" w:before="6"/>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52" w:footer="707" w:top="1020" w:bottom="900" w:left="940" w:right="620"/>
        </w:sectPr>
      </w:pPr>
    </w:p>
    <w:p>
      <w:pPr>
        <w:pStyle w:val="BodyText"/>
        <w:tabs>
          <w:tab w:pos="803" w:val="left" w:leader="none"/>
        </w:tabs>
        <w:spacing w:line="240" w:lineRule="auto" w:before="32"/>
        <w:ind w:left="102" w:right="-20"/>
        <w:jc w:val="left"/>
      </w:pPr>
      <w:r>
        <w:rPr>
          <w:rFonts w:ascii="Arial" w:hAnsi="Arial" w:cs="Arial" w:eastAsia="Arial" w:hint="default"/>
          <w:w w:val="95"/>
          <w:position w:val="2"/>
        </w:rPr>
        <w:t>(a)</w:t>
        <w:tab/>
      </w:r>
      <w:r>
        <w:rPr/>
        <w:t>将净利润调节为经营活动现金流量</w:t>
      </w:r>
    </w:p>
    <w:p>
      <w:pPr>
        <w:spacing w:line="240" w:lineRule="auto" w:before="4"/>
        <w:rPr>
          <w:rFonts w:ascii="宋体" w:hAnsi="宋体" w:cs="宋体" w:eastAsia="宋体" w:hint="default"/>
          <w:sz w:val="26"/>
          <w:szCs w:val="26"/>
        </w:rPr>
      </w:pPr>
      <w:r>
        <w:rPr/>
        <w:br w:type="column"/>
      </w:r>
      <w:r>
        <w:rPr>
          <w:rFonts w:ascii="宋体"/>
          <w:sz w:val="26"/>
        </w:rPr>
      </w:r>
    </w:p>
    <w:p>
      <w:pPr>
        <w:pStyle w:val="BodyText"/>
        <w:tabs>
          <w:tab w:pos="2491" w:val="left" w:leader="none"/>
        </w:tabs>
        <w:spacing w:line="322" w:lineRule="exact"/>
        <w:ind w:left="7"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2479" w:val="left" w:leader="none"/>
        </w:tabs>
        <w:spacing w:line="322" w:lineRule="exact"/>
        <w:ind w:left="0" w:right="156"/>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after="0" w:line="322" w:lineRule="exact"/>
        <w:jc w:val="center"/>
        <w:rPr>
          <w:rFonts w:ascii="Arial" w:hAnsi="Arial" w:cs="Arial" w:eastAsia="Arial" w:hint="default"/>
        </w:rPr>
        <w:sectPr>
          <w:type w:val="continuous"/>
          <w:pgSz w:w="11910" w:h="16840"/>
          <w:pgMar w:top="1600" w:bottom="280" w:left="940" w:right="620"/>
          <w:cols w:num="2" w:equalWidth="0">
            <w:col w:w="4404" w:space="1736"/>
            <w:col w:w="4210"/>
          </w:cols>
        </w:sectPr>
      </w:pPr>
    </w:p>
    <w:p>
      <w:pPr>
        <w:spacing w:line="240" w:lineRule="auto" w:before="1"/>
        <w:rPr>
          <w:rFonts w:ascii="Arial" w:hAnsi="Arial" w:cs="Arial" w:eastAsia="Arial" w:hint="default"/>
          <w:sz w:val="20"/>
          <w:szCs w:val="20"/>
        </w:rPr>
      </w:pPr>
    </w:p>
    <w:tbl>
      <w:tblPr>
        <w:tblW w:w="0" w:type="auto"/>
        <w:jc w:val="left"/>
        <w:tblInd w:w="768" w:type="dxa"/>
        <w:tblLayout w:type="fixed"/>
        <w:tblCellMar>
          <w:top w:w="0" w:type="dxa"/>
          <w:left w:w="0" w:type="dxa"/>
          <w:bottom w:w="0" w:type="dxa"/>
          <w:right w:w="0" w:type="dxa"/>
        </w:tblCellMar>
        <w:tblLook w:val="01E0"/>
      </w:tblPr>
      <w:tblGrid>
        <w:gridCol w:w="4185"/>
        <w:gridCol w:w="2902"/>
        <w:gridCol w:w="2374"/>
      </w:tblGrid>
      <w:tr>
        <w:trPr>
          <w:trHeight w:val="391"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48" w:right="0"/>
              <w:jc w:val="left"/>
              <w:rPr>
                <w:rFonts w:ascii="Arial" w:hAnsi="Arial" w:cs="Arial" w:eastAsia="Arial" w:hint="default"/>
                <w:sz w:val="24"/>
                <w:szCs w:val="24"/>
              </w:rPr>
            </w:pPr>
            <w:r>
              <w:rPr>
                <w:rFonts w:ascii="Arial"/>
                <w:sz w:val="24"/>
              </w:rPr>
              <w:t>2,259,928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98" w:right="0"/>
              <w:jc w:val="left"/>
              <w:rPr>
                <w:rFonts w:ascii="Arial" w:hAnsi="Arial" w:cs="Arial" w:eastAsia="Arial" w:hint="default"/>
                <w:sz w:val="24"/>
                <w:szCs w:val="24"/>
              </w:rPr>
            </w:pPr>
            <w:r>
              <w:rPr>
                <w:rFonts w:ascii="Arial"/>
                <w:sz w:val="24"/>
              </w:rPr>
              <w:t>1,523,168</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82" w:right="0"/>
              <w:jc w:val="left"/>
              <w:rPr>
                <w:rFonts w:ascii="Arial" w:hAnsi="Arial" w:cs="Arial" w:eastAsia="Arial" w:hint="default"/>
                <w:sz w:val="24"/>
                <w:szCs w:val="24"/>
              </w:rPr>
            </w:pPr>
            <w:r>
              <w:rPr>
                <w:rFonts w:ascii="Arial"/>
                <w:sz w:val="24"/>
              </w:rPr>
              <w:t>52,389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33" w:right="0"/>
              <w:jc w:val="left"/>
              <w:rPr>
                <w:rFonts w:ascii="Arial" w:hAnsi="Arial" w:cs="Arial" w:eastAsia="Arial" w:hint="default"/>
                <w:sz w:val="24"/>
                <w:szCs w:val="24"/>
              </w:rPr>
            </w:pPr>
            <w:r>
              <w:rPr>
                <w:rFonts w:ascii="Arial"/>
                <w:sz w:val="24"/>
              </w:rPr>
              <w:t>10,159</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49" w:right="0"/>
              <w:jc w:val="left"/>
              <w:rPr>
                <w:rFonts w:ascii="Arial" w:hAnsi="Arial" w:cs="Arial" w:eastAsia="Arial" w:hint="default"/>
                <w:sz w:val="24"/>
                <w:szCs w:val="24"/>
              </w:rPr>
            </w:pPr>
            <w:r>
              <w:rPr>
                <w:rFonts w:ascii="Arial"/>
                <w:sz w:val="24"/>
              </w:rPr>
              <w:t>162,519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33" w:right="0"/>
              <w:jc w:val="left"/>
              <w:rPr>
                <w:rFonts w:ascii="Arial" w:hAnsi="Arial" w:cs="Arial" w:eastAsia="Arial" w:hint="default"/>
                <w:sz w:val="24"/>
                <w:szCs w:val="24"/>
              </w:rPr>
            </w:pPr>
            <w:r>
              <w:rPr>
                <w:rFonts w:ascii="Arial"/>
                <w:sz w:val="24"/>
              </w:rPr>
              <w:t>79,073</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82" w:right="0"/>
              <w:jc w:val="left"/>
              <w:rPr>
                <w:rFonts w:ascii="Arial" w:hAnsi="Arial" w:cs="Arial" w:eastAsia="Arial" w:hint="default"/>
                <w:sz w:val="24"/>
                <w:szCs w:val="24"/>
              </w:rPr>
            </w:pPr>
            <w:r>
              <w:rPr>
                <w:rFonts w:ascii="Arial"/>
                <w:sz w:val="24"/>
              </w:rPr>
              <w:t>70,075</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66" w:right="0"/>
              <w:jc w:val="left"/>
              <w:rPr>
                <w:rFonts w:ascii="Arial" w:hAnsi="Arial" w:cs="Arial" w:eastAsia="Arial" w:hint="default"/>
                <w:sz w:val="24"/>
                <w:szCs w:val="24"/>
              </w:rPr>
            </w:pPr>
            <w:r>
              <w:rPr>
                <w:rFonts w:ascii="Arial"/>
                <w:sz w:val="24"/>
              </w:rPr>
              <w:t>7,460</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49" w:right="0"/>
              <w:jc w:val="left"/>
              <w:rPr>
                <w:rFonts w:ascii="Arial" w:hAnsi="Arial" w:cs="Arial" w:eastAsia="Arial" w:hint="default"/>
                <w:sz w:val="24"/>
                <w:szCs w:val="24"/>
              </w:rPr>
            </w:pPr>
            <w:r>
              <w:rPr>
                <w:rFonts w:ascii="Arial"/>
                <w:sz w:val="24"/>
              </w:rPr>
              <w:t>147,225</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00" w:right="0"/>
              <w:jc w:val="left"/>
              <w:rPr>
                <w:rFonts w:ascii="Arial" w:hAnsi="Arial" w:cs="Arial" w:eastAsia="Arial" w:hint="default"/>
                <w:sz w:val="24"/>
                <w:szCs w:val="24"/>
              </w:rPr>
            </w:pPr>
            <w:r>
              <w:rPr>
                <w:rFonts w:ascii="Arial"/>
                <w:sz w:val="24"/>
              </w:rPr>
              <w:t>131,484</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78" w:lineRule="exact"/>
              <w:ind w:left="494" w:right="0"/>
              <w:jc w:val="left"/>
              <w:rPr>
                <w:rFonts w:ascii="Arial" w:hAnsi="Arial" w:cs="Arial" w:eastAsia="Arial" w:hint="default"/>
                <w:sz w:val="24"/>
                <w:szCs w:val="24"/>
              </w:rPr>
            </w:pPr>
            <w:r>
              <w:rPr>
                <w:rFonts w:ascii="宋体" w:hAnsi="宋体" w:cs="宋体" w:eastAsia="宋体" w:hint="default"/>
                <w:sz w:val="24"/>
                <w:szCs w:val="24"/>
              </w:rPr>
              <w:t>处置固定资产损失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3"/>
              <w:jc w:val="right"/>
              <w:rPr>
                <w:rFonts w:ascii="Arial" w:hAnsi="Arial" w:cs="Arial" w:eastAsia="Arial" w:hint="default"/>
                <w:sz w:val="24"/>
                <w:szCs w:val="24"/>
              </w:rPr>
            </w:pPr>
            <w:r>
              <w:rPr>
                <w:rFonts w:ascii="Arial"/>
                <w:spacing w:val="-1"/>
                <w:w w:val="95"/>
                <w:sz w:val="24"/>
              </w:rPr>
              <w:t>912</w:t>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Arial" w:hAnsi="Arial" w:cs="Arial" w:eastAsia="Arial" w:hint="default"/>
                <w:sz w:val="24"/>
                <w:szCs w:val="24"/>
              </w:rPr>
            </w:pPr>
            <w:r>
              <w:rPr>
                <w:rFonts w:ascii="Arial"/>
                <w:spacing w:val="-1"/>
                <w:w w:val="95"/>
                <w:sz w:val="24"/>
              </w:rPr>
              <w:t>(109)</w:t>
            </w:r>
            <w:r>
              <w:rPr>
                <w:rFonts w:ascii="Arial"/>
                <w:sz w:val="24"/>
              </w:rPr>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82" w:right="0"/>
              <w:jc w:val="left"/>
              <w:rPr>
                <w:rFonts w:ascii="Arial" w:hAnsi="Arial" w:cs="Arial" w:eastAsia="Arial" w:hint="default"/>
                <w:sz w:val="24"/>
                <w:szCs w:val="24"/>
              </w:rPr>
            </w:pPr>
            <w:r>
              <w:rPr>
                <w:rFonts w:ascii="Arial"/>
                <w:sz w:val="24"/>
              </w:rPr>
              <w:t>16,598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33" w:right="0"/>
              <w:jc w:val="left"/>
              <w:rPr>
                <w:rFonts w:ascii="Arial" w:hAnsi="Arial" w:cs="Arial" w:eastAsia="Arial" w:hint="default"/>
                <w:sz w:val="24"/>
                <w:szCs w:val="24"/>
              </w:rPr>
            </w:pPr>
            <w:r>
              <w:rPr>
                <w:rFonts w:ascii="Arial"/>
                <w:sz w:val="24"/>
              </w:rPr>
              <w:t>15,324</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业务合并收益</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w w:val="99"/>
                <w:sz w:val="24"/>
              </w:rPr>
              <w:t>-</w:t>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45" w:right="0"/>
              <w:jc w:val="left"/>
              <w:rPr>
                <w:rFonts w:ascii="Arial" w:hAnsi="Arial" w:cs="Arial" w:eastAsia="Arial" w:hint="default"/>
                <w:sz w:val="24"/>
                <w:szCs w:val="24"/>
              </w:rPr>
            </w:pPr>
            <w:r>
              <w:rPr>
                <w:rFonts w:ascii="Arial"/>
                <w:sz w:val="24"/>
              </w:rPr>
              <w:t>(15,850)</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1"/>
              <w:jc w:val="right"/>
              <w:rPr>
                <w:rFonts w:ascii="Arial" w:hAnsi="Arial" w:cs="Arial" w:eastAsia="Arial" w:hint="default"/>
                <w:sz w:val="24"/>
                <w:szCs w:val="24"/>
              </w:rPr>
            </w:pPr>
            <w:r>
              <w:rPr>
                <w:rFonts w:ascii="Arial"/>
                <w:w w:val="95"/>
                <w:sz w:val="24"/>
              </w:rPr>
              <w:t>(88,477)</w:t>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79" w:right="0"/>
              <w:jc w:val="left"/>
              <w:rPr>
                <w:rFonts w:ascii="Arial" w:hAnsi="Arial" w:cs="Arial" w:eastAsia="Arial" w:hint="default"/>
                <w:sz w:val="24"/>
                <w:szCs w:val="24"/>
              </w:rPr>
            </w:pPr>
            <w:r>
              <w:rPr>
                <w:rFonts w:ascii="Arial"/>
                <w:sz w:val="24"/>
              </w:rPr>
              <w:t>(5,066)</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78" w:lineRule="exact"/>
              <w:ind w:left="494"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增加</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1"/>
              <w:jc w:val="right"/>
              <w:rPr>
                <w:rFonts w:ascii="Arial" w:hAnsi="Arial" w:cs="Arial" w:eastAsia="Arial" w:hint="default"/>
                <w:sz w:val="24"/>
                <w:szCs w:val="24"/>
              </w:rPr>
            </w:pPr>
            <w:r>
              <w:rPr>
                <w:rFonts w:ascii="Arial"/>
                <w:w w:val="95"/>
                <w:sz w:val="24"/>
              </w:rPr>
              <w:t>(2,858)</w:t>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66" w:right="0"/>
              <w:jc w:val="left"/>
              <w:rPr>
                <w:rFonts w:ascii="Arial" w:hAnsi="Arial" w:cs="Arial" w:eastAsia="Arial" w:hint="default"/>
                <w:sz w:val="24"/>
                <w:szCs w:val="24"/>
              </w:rPr>
            </w:pPr>
            <w:r>
              <w:rPr>
                <w:rFonts w:ascii="Arial"/>
                <w:sz w:val="24"/>
              </w:rPr>
              <w:t>2,330</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1"/>
              <w:jc w:val="right"/>
              <w:rPr>
                <w:rFonts w:ascii="Arial" w:hAnsi="Arial" w:cs="Arial" w:eastAsia="Arial" w:hint="default"/>
                <w:sz w:val="24"/>
                <w:szCs w:val="24"/>
              </w:rPr>
            </w:pPr>
            <w:r>
              <w:rPr>
                <w:rFonts w:ascii="Arial"/>
                <w:w w:val="95"/>
                <w:sz w:val="24"/>
              </w:rPr>
              <w:t>(398,517)</w:t>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12" w:right="0"/>
              <w:jc w:val="left"/>
              <w:rPr>
                <w:rFonts w:ascii="Arial" w:hAnsi="Arial" w:cs="Arial" w:eastAsia="Arial" w:hint="default"/>
                <w:sz w:val="24"/>
                <w:szCs w:val="24"/>
              </w:rPr>
            </w:pPr>
            <w:r>
              <w:rPr>
                <w:rFonts w:ascii="Arial"/>
                <w:sz w:val="24"/>
              </w:rPr>
              <w:t>(1,167,093)</w:t>
            </w:r>
          </w:p>
        </w:tc>
      </w:tr>
      <w:tr>
        <w:trPr>
          <w:trHeight w:val="312"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78" w:lineRule="exact"/>
              <w:ind w:left="494" w:right="0"/>
              <w:jc w:val="left"/>
              <w:rPr>
                <w:rFonts w:ascii="Arial" w:hAnsi="Arial" w:cs="Arial" w:eastAsia="Arial" w:hint="default"/>
                <w:sz w:val="24"/>
                <w:szCs w:val="24"/>
              </w:rPr>
            </w:pPr>
            <w:r>
              <w:rPr>
                <w:rFonts w:ascii="宋体" w:hAnsi="宋体" w:cs="宋体" w:eastAsia="宋体" w:hint="default"/>
                <w:sz w:val="24"/>
                <w:szCs w:val="24"/>
              </w:rPr>
              <w:t>经营性应收项目的减少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82" w:right="0"/>
              <w:jc w:val="left"/>
              <w:rPr>
                <w:rFonts w:ascii="Arial" w:hAnsi="Arial" w:cs="Arial" w:eastAsia="Arial" w:hint="default"/>
                <w:sz w:val="24"/>
                <w:szCs w:val="24"/>
              </w:rPr>
            </w:pPr>
            <w:r>
              <w:rPr>
                <w:rFonts w:ascii="Arial"/>
                <w:sz w:val="24"/>
              </w:rPr>
              <w:t>10,007</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12" w:right="0"/>
              <w:jc w:val="left"/>
              <w:rPr>
                <w:rFonts w:ascii="Arial" w:hAnsi="Arial" w:cs="Arial" w:eastAsia="Arial" w:hint="default"/>
                <w:sz w:val="24"/>
                <w:szCs w:val="24"/>
              </w:rPr>
            </w:pPr>
            <w:r>
              <w:rPr>
                <w:rFonts w:ascii="Arial"/>
                <w:sz w:val="24"/>
              </w:rPr>
              <w:t>(161,940)</w:t>
            </w:r>
          </w:p>
        </w:tc>
      </w:tr>
      <w:tr>
        <w:trPr>
          <w:trHeight w:val="316" w:hRule="exact"/>
        </w:trPr>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宋体" w:hAnsi="宋体" w:cs="宋体" w:eastAsia="宋体" w:hint="default"/>
                <w:sz w:val="24"/>
                <w:szCs w:val="24"/>
              </w:rPr>
            </w:pPr>
            <w:r>
              <w:rPr>
                <w:rFonts w:ascii="宋体" w:hAnsi="宋体" w:cs="宋体" w:eastAsia="宋体" w:hint="default"/>
                <w:sz w:val="24"/>
                <w:szCs w:val="24"/>
              </w:rPr>
              <w:t>经营性应付项目的增加</w:t>
            </w:r>
          </w:p>
        </w:tc>
        <w:tc>
          <w:tcPr>
            <w:tcW w:w="2902" w:type="dxa"/>
            <w:tcBorders>
              <w:top w:val="nil" w:sz="6" w:space="0" w:color="auto"/>
              <w:left w:val="nil" w:sz="6" w:space="0" w:color="auto"/>
              <w:bottom w:val="nil" w:sz="6" w:space="0" w:color="auto"/>
              <w:right w:val="nil" w:sz="6" w:space="0" w:color="auto"/>
            </w:tcBorders>
          </w:tcPr>
          <w:p>
            <w:pPr>
              <w:pStyle w:val="TableParagraph"/>
              <w:tabs>
                <w:tab w:pos="866" w:val="left" w:leader="none"/>
                <w:tab w:pos="2105" w:val="left" w:leader="none"/>
              </w:tabs>
              <w:spacing w:line="240" w:lineRule="auto" w:before="20"/>
              <w:ind w:right="21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1,589,340</w:t>
              <w:tab/>
            </w:r>
            <w:r>
              <w:rPr>
                <w:rFonts w:ascii="Arial"/>
                <w:spacing w:val="-1"/>
                <w:sz w:val="24"/>
              </w:rPr>
            </w:r>
          </w:p>
        </w:tc>
        <w:tc>
          <w:tcPr>
            <w:tcW w:w="2374" w:type="dxa"/>
            <w:tcBorders>
              <w:top w:val="nil" w:sz="6" w:space="0" w:color="auto"/>
              <w:left w:val="nil" w:sz="6" w:space="0" w:color="auto"/>
              <w:bottom w:val="nil" w:sz="6" w:space="0" w:color="auto"/>
              <w:right w:val="nil" w:sz="6" w:space="0" w:color="auto"/>
            </w:tcBorders>
          </w:tcPr>
          <w:p>
            <w:pPr>
              <w:pStyle w:val="TableParagraph"/>
              <w:tabs>
                <w:tab w:pos="1098" w:val="left" w:leader="none"/>
                <w:tab w:pos="2339" w:val="left" w:leader="none"/>
              </w:tabs>
              <w:spacing w:line="240" w:lineRule="auto" w:before="20"/>
              <w:ind w:left="21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3,077,536</w:t>
              <w:tab/>
            </w:r>
            <w:r>
              <w:rPr>
                <w:rFonts w:ascii="Arial"/>
                <w:sz w:val="24"/>
              </w:rPr>
            </w:r>
          </w:p>
        </w:tc>
      </w:tr>
    </w:tbl>
    <w:p>
      <w:pPr>
        <w:pStyle w:val="BodyText"/>
        <w:tabs>
          <w:tab w:pos="5536" w:val="left" w:leader="none"/>
          <w:tab w:pos="6401" w:val="left" w:leader="none"/>
          <w:tab w:pos="8068" w:val="left" w:leader="none"/>
          <w:tab w:pos="8953" w:val="left" w:leader="none"/>
          <w:tab w:pos="10194" w:val="left" w:leader="none"/>
        </w:tabs>
        <w:spacing w:line="302" w:lineRule="exact"/>
        <w:ind w:left="803" w:right="0"/>
        <w:jc w:val="left"/>
        <w:rPr>
          <w:rFonts w:ascii="Arial" w:hAnsi="Arial" w:cs="Arial" w:eastAsia="Arial" w:hint="default"/>
        </w:rPr>
      </w:pPr>
      <w:r>
        <w:rPr>
          <w:position w:val="2"/>
        </w:rPr>
        <w:t>经营活动产生的现金流量净额</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w w:val="95"/>
          <w:u w:val="thick" w:color="000000"/>
        </w:rPr>
        <w:t>3,819,141</w:t>
      </w:r>
      <w:r>
        <w:rPr>
          <w:rFonts w:ascii="Arial" w:hAnsi="Arial" w:cs="Arial" w:eastAsia="Arial" w:hint="default"/>
          <w:w w:val="95"/>
        </w:rPr>
        <w:tab/>
      </w:r>
      <w:r>
        <w:rPr>
          <w:rFonts w:ascii="Arial" w:hAnsi="Arial" w:cs="Arial" w:eastAsia="Arial" w:hint="default"/>
          <w:w w:val="95"/>
          <w:u w:val="thick" w:color="000000"/>
        </w:rPr>
        <w:t> </w:t>
        <w:tab/>
      </w:r>
      <w:r>
        <w:rPr>
          <w:rFonts w:ascii="Arial" w:hAnsi="Arial" w:cs="Arial" w:eastAsia="Arial" w:hint="default"/>
          <w:u w:val="thick" w:color="000000"/>
        </w:rPr>
        <w:t>3,496,476</w:t>
        <w:tab/>
      </w:r>
      <w:r>
        <w:rPr>
          <w:rFonts w:ascii="Arial" w:hAnsi="Arial" w:cs="Arial" w:eastAsia="Arial" w:hint="default"/>
        </w:rPr>
      </w:r>
    </w:p>
    <w:p>
      <w:pPr>
        <w:spacing w:line="240" w:lineRule="auto" w:before="8"/>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600" w:bottom="280" w:left="940" w:right="620"/>
        </w:sectPr>
      </w:pPr>
    </w:p>
    <w:p>
      <w:pPr>
        <w:pStyle w:val="BodyText"/>
        <w:tabs>
          <w:tab w:pos="803" w:val="left" w:leader="none"/>
        </w:tabs>
        <w:spacing w:line="240" w:lineRule="auto" w:before="32"/>
        <w:ind w:left="102" w:right="-20"/>
        <w:jc w:val="left"/>
      </w:pPr>
      <w:r>
        <w:rPr>
          <w:rFonts w:ascii="Arial" w:hAnsi="Arial" w:cs="Arial" w:eastAsia="Arial" w:hint="default"/>
          <w:w w:val="95"/>
          <w:position w:val="2"/>
        </w:rPr>
        <w:t>(b)</w:t>
        <w:tab/>
      </w:r>
      <w:r>
        <w:rPr/>
        <w:t>不涉及现金收支的重大投资和筹资活动</w:t>
      </w:r>
    </w:p>
    <w:p>
      <w:pPr>
        <w:spacing w:line="240" w:lineRule="auto" w:before="4"/>
        <w:rPr>
          <w:rFonts w:ascii="宋体" w:hAnsi="宋体" w:cs="宋体" w:eastAsia="宋体" w:hint="default"/>
          <w:sz w:val="26"/>
          <w:szCs w:val="26"/>
        </w:rPr>
      </w:pPr>
      <w:r>
        <w:rPr/>
        <w:br w:type="column"/>
      </w:r>
      <w:r>
        <w:rPr>
          <w:rFonts w:ascii="宋体"/>
          <w:sz w:val="26"/>
        </w:rPr>
      </w:r>
    </w:p>
    <w:p>
      <w:pPr>
        <w:pStyle w:val="BodyText"/>
        <w:tabs>
          <w:tab w:pos="2627" w:val="left" w:leader="none"/>
        </w:tabs>
        <w:spacing w:line="322" w:lineRule="exact"/>
        <w:ind w:left="74"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2564" w:val="left" w:leader="none"/>
        </w:tabs>
        <w:spacing w:line="322" w:lineRule="exact"/>
        <w:ind w:left="0" w:right="69"/>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after="0" w:line="322" w:lineRule="exact"/>
        <w:jc w:val="center"/>
        <w:rPr>
          <w:rFonts w:ascii="Arial" w:hAnsi="Arial" w:cs="Arial" w:eastAsia="Arial" w:hint="default"/>
        </w:rPr>
        <w:sectPr>
          <w:type w:val="continuous"/>
          <w:pgSz w:w="11910" w:h="16840"/>
          <w:pgMar w:top="1600" w:bottom="280" w:left="940" w:right="620"/>
          <w:cols w:num="2" w:equalWidth="0">
            <w:col w:w="4884" w:space="1259"/>
            <w:col w:w="4207"/>
          </w:cols>
        </w:sectPr>
      </w:pPr>
    </w:p>
    <w:p>
      <w:pPr>
        <w:spacing w:line="240" w:lineRule="auto" w:before="6"/>
        <w:rPr>
          <w:rFonts w:ascii="Arial" w:hAnsi="Arial" w:cs="Arial" w:eastAsia="Arial" w:hint="default"/>
          <w:sz w:val="19"/>
          <w:szCs w:val="19"/>
        </w:rPr>
      </w:pPr>
    </w:p>
    <w:p>
      <w:pPr>
        <w:pStyle w:val="BodyText"/>
        <w:tabs>
          <w:tab w:pos="6473" w:val="left" w:leader="none"/>
          <w:tab w:pos="9227" w:val="left" w:leader="none"/>
        </w:tabs>
        <w:spacing w:line="240" w:lineRule="auto" w:before="32"/>
        <w:ind w:left="803" w:right="0"/>
        <w:jc w:val="left"/>
        <w:rPr>
          <w:rFonts w:ascii="Arial" w:hAnsi="Arial" w:cs="Arial" w:eastAsia="Arial" w:hint="default"/>
        </w:rPr>
      </w:pPr>
      <w:r>
        <w:rPr/>
        <w:t>资本公积转增股本</w:t>
        <w:tab/>
      </w:r>
      <w:r>
        <w:rPr>
          <w:rFonts w:ascii="Arial" w:hAnsi="Arial" w:cs="Arial" w:eastAsia="Arial" w:hint="default"/>
          <w:spacing w:val="-1"/>
          <w:position w:val="2"/>
        </w:rPr>
        <w:t>1,495,504</w:t>
        <w:tab/>
        <w:t>720,752</w:t>
      </w:r>
      <w:r>
        <w:rPr>
          <w:rFonts w:ascii="Arial" w:hAnsi="Arial" w:cs="Arial" w:eastAsia="Arial" w:hint="default"/>
        </w:rPr>
      </w:r>
    </w:p>
    <w:p>
      <w:pPr>
        <w:spacing w:line="240" w:lineRule="auto" w:before="3"/>
        <w:rPr>
          <w:rFonts w:ascii="Arial" w:hAnsi="Arial" w:cs="Arial" w:eastAsia="Arial" w:hint="default"/>
          <w:sz w:val="3"/>
          <w:szCs w:val="3"/>
        </w:rPr>
      </w:pPr>
    </w:p>
    <w:p>
      <w:pPr>
        <w:tabs>
          <w:tab w:pos="8053" w:val="left" w:leader="none"/>
        </w:tabs>
        <w:spacing w:line="30" w:lineRule="exact"/>
        <w:ind w:left="5521" w:right="0" w:firstLine="0"/>
        <w:rPr>
          <w:rFonts w:ascii="Arial" w:hAnsi="Arial" w:cs="Arial" w:eastAsia="Arial" w:hint="default"/>
          <w:sz w:val="3"/>
          <w:szCs w:val="3"/>
        </w:rPr>
      </w:pPr>
      <w:r>
        <w:rPr>
          <w:rFonts w:ascii="Arial"/>
          <w:position w:val="0"/>
          <w:sz w:val="3"/>
        </w:rPr>
        <w:pict>
          <v:group style="width:106.8pt;height:1.5pt;mso-position-horizontal-relative:char;mso-position-vertical-relative:line" coordorigin="0,0" coordsize="2136,30">
            <v:group style="position:absolute;left:15;top:15;width:2106;height:2" coordorigin="15,15" coordsize="2106,2">
              <v:shape style="position:absolute;left:15;top:15;width:2106;height:2" coordorigin="15,15" coordsize="2106,0" path="m15,15l2121,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07.85pt;height:1.5pt;mso-position-horizontal-relative:char;mso-position-vertical-relative:line" coordorigin="0,0" coordsize="2157,30">
            <v:group style="position:absolute;left:15;top:15;width:2127;height:2" coordorigin="15,15" coordsize="2127,2">
              <v:shape style="position:absolute;left:15;top:15;width:2127;height:2" coordorigin="15,15" coordsize="2127,0" path="m15,15l2141,15e" filled="false" stroked="true" strokeweight="1.5pt" strokecolor="#000000">
                <v:path arrowok="t"/>
              </v:shape>
            </v:group>
          </v:group>
        </w:pict>
      </w:r>
      <w:r>
        <w:rPr>
          <w:rFonts w:ascii="Arial"/>
          <w:position w:val="0"/>
          <w:sz w:val="3"/>
        </w:rPr>
      </w:r>
    </w:p>
    <w:p>
      <w:pPr>
        <w:spacing w:after="0" w:line="30" w:lineRule="exact"/>
        <w:rPr>
          <w:rFonts w:ascii="Arial" w:hAnsi="Arial" w:cs="Arial" w:eastAsia="Arial" w:hint="default"/>
          <w:sz w:val="3"/>
          <w:szCs w:val="3"/>
        </w:rPr>
        <w:sectPr>
          <w:type w:val="continuous"/>
          <w:pgSz w:w="11910" w:h="16840"/>
          <w:pgMar w:top="1600" w:bottom="280" w:left="940" w:right="620"/>
        </w:sect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598"/>
        <w:gridCol w:w="3880"/>
        <w:gridCol w:w="2765"/>
        <w:gridCol w:w="2508"/>
      </w:tblGrid>
      <w:tr>
        <w:trPr>
          <w:trHeight w:val="1552"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(36)</w:t>
            </w:r>
          </w:p>
          <w:p>
            <w:pPr>
              <w:pStyle w:val="TableParagraph"/>
              <w:spacing w:line="240" w:lineRule="auto" w:before="2"/>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(c)</w:t>
            </w:r>
          </w:p>
        </w:tc>
        <w:tc>
          <w:tcPr>
            <w:tcW w:w="3880"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36" w:right="623"/>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b/>
                <w:bCs/>
                <w:sz w:val="24"/>
                <w:szCs w:val="24"/>
              </w:rPr>
              <w:t>现金流量表附注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5273" w:type="dxa"/>
            <w:gridSpan w:val="2"/>
            <w:tcBorders>
              <w:top w:val="nil" w:sz="6" w:space="0" w:color="auto"/>
              <w:left w:val="nil" w:sz="6" w:space="0" w:color="auto"/>
              <w:bottom w:val="nil" w:sz="6" w:space="0" w:color="auto"/>
              <w:right w:val="nil" w:sz="6" w:space="0" w:color="auto"/>
            </w:tcBorders>
          </w:tcPr>
          <w:p>
            <w:pPr/>
          </w:p>
        </w:tc>
      </w:tr>
      <w:tr>
        <w:trPr>
          <w:trHeight w:val="318"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
        </w:tc>
        <w:tc>
          <w:tcPr>
            <w:tcW w:w="2765" w:type="dxa"/>
            <w:tcBorders>
              <w:top w:val="nil" w:sz="6" w:space="0" w:color="auto"/>
              <w:left w:val="nil" w:sz="6" w:space="0" w:color="auto"/>
              <w:bottom w:val="nil" w:sz="6" w:space="0" w:color="auto"/>
              <w:right w:val="nil" w:sz="6" w:space="0" w:color="auto"/>
            </w:tcBorders>
          </w:tcPr>
          <w:p>
            <w:pPr>
              <w:pStyle w:val="TableParagraph"/>
              <w:spacing w:line="293" w:lineRule="exact"/>
              <w:ind w:right="218"/>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08" w:type="dxa"/>
            <w:tcBorders>
              <w:top w:val="nil" w:sz="6" w:space="0" w:color="auto"/>
              <w:left w:val="nil" w:sz="6" w:space="0" w:color="auto"/>
              <w:bottom w:val="nil" w:sz="6" w:space="0" w:color="auto"/>
              <w:right w:val="nil" w:sz="6" w:space="0" w:color="auto"/>
            </w:tcBorders>
          </w:tcPr>
          <w:p>
            <w:pPr>
              <w:pStyle w:val="TableParagraph"/>
              <w:spacing w:line="293" w:lineRule="exact"/>
              <w:ind w:right="136"/>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0"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
        </w:tc>
        <w:tc>
          <w:tcPr>
            <w:tcW w:w="2765" w:type="dxa"/>
            <w:tcBorders>
              <w:top w:val="nil" w:sz="6" w:space="0" w:color="auto"/>
              <w:left w:val="nil" w:sz="6" w:space="0" w:color="auto"/>
              <w:bottom w:val="nil" w:sz="6" w:space="0" w:color="auto"/>
              <w:right w:val="nil" w:sz="6" w:space="0" w:color="auto"/>
            </w:tcBorders>
          </w:tcPr>
          <w:p>
            <w:pPr>
              <w:pStyle w:val="TableParagraph"/>
              <w:spacing w:line="287" w:lineRule="exact"/>
              <w:ind w:right="162"/>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508" w:type="dxa"/>
            <w:tcBorders>
              <w:top w:val="nil" w:sz="6" w:space="0" w:color="auto"/>
              <w:left w:val="nil" w:sz="6" w:space="0" w:color="auto"/>
              <w:bottom w:val="nil" w:sz="6" w:space="0" w:color="auto"/>
              <w:right w:val="nil" w:sz="6" w:space="0" w:color="auto"/>
            </w:tcBorders>
          </w:tcPr>
          <w:p>
            <w:pPr>
              <w:pStyle w:val="TableParagraph"/>
              <w:spacing w:line="287" w:lineRule="exact"/>
              <w:ind w:right="52"/>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9"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18"/>
              <w:jc w:val="right"/>
              <w:rPr>
                <w:rFonts w:ascii="Arial" w:hAnsi="Arial" w:cs="Arial" w:eastAsia="Arial" w:hint="default"/>
                <w:sz w:val="24"/>
                <w:szCs w:val="24"/>
              </w:rPr>
            </w:pPr>
            <w:r>
              <w:rPr>
                <w:rFonts w:ascii="Arial"/>
                <w:spacing w:val="-1"/>
                <w:w w:val="95"/>
                <w:sz w:val="24"/>
              </w:rPr>
              <w:t>6,893,738</w:t>
            </w:r>
            <w:r>
              <w:rPr>
                <w:rFonts w:ascii="Arial"/>
                <w:sz w:val="24"/>
              </w:rPr>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1"/>
              <w:jc w:val="right"/>
              <w:rPr>
                <w:rFonts w:ascii="Arial" w:hAnsi="Arial" w:cs="Arial" w:eastAsia="Arial" w:hint="default"/>
                <w:sz w:val="24"/>
                <w:szCs w:val="24"/>
              </w:rPr>
            </w:pPr>
            <w:r>
              <w:rPr>
                <w:rFonts w:ascii="Arial"/>
                <w:spacing w:val="-1"/>
                <w:w w:val="95"/>
                <w:sz w:val="24"/>
              </w:rPr>
              <w:t>3,501,220</w:t>
            </w:r>
            <w:r>
              <w:rPr>
                <w:rFonts w:ascii="Arial"/>
                <w:sz w:val="24"/>
              </w:rPr>
            </w:r>
          </w:p>
        </w:tc>
      </w:tr>
      <w:tr>
        <w:trPr>
          <w:trHeight w:val="317"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2765"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20"/>
              <w:ind w:right="13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(3,501,220)</w:t>
            </w:r>
            <w:r>
              <w:rPr>
                <w:rFonts w:ascii="Arial"/>
                <w:spacing w:val="-1"/>
                <w:w w:val="95"/>
                <w:sz w:val="24"/>
              </w:rPr>
            </w:r>
            <w:r>
              <w:rPr>
                <w:rFonts w:ascii="Arial"/>
                <w:sz w:val="24"/>
              </w:rPr>
            </w:r>
          </w:p>
        </w:tc>
        <w:tc>
          <w:tcPr>
            <w:tcW w:w="2508" w:type="dxa"/>
            <w:tcBorders>
              <w:top w:val="nil" w:sz="6" w:space="0" w:color="auto"/>
              <w:left w:val="nil" w:sz="6" w:space="0" w:color="auto"/>
              <w:bottom w:val="nil" w:sz="6" w:space="0" w:color="auto"/>
              <w:right w:val="nil" w:sz="6" w:space="0" w:color="auto"/>
            </w:tcBorders>
          </w:tcPr>
          <w:p>
            <w:pPr>
              <w:pStyle w:val="TableParagraph"/>
              <w:tabs>
                <w:tab w:pos="1088" w:val="left" w:leader="none"/>
              </w:tabs>
              <w:spacing w:line="240" w:lineRule="auto" w:before="20"/>
              <w:ind w:right="7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(1,503,345)</w:t>
            </w:r>
            <w:r>
              <w:rPr>
                <w:rFonts w:ascii="Arial"/>
                <w:spacing w:val="-1"/>
                <w:w w:val="95"/>
                <w:sz w:val="24"/>
              </w:rPr>
            </w:r>
            <w:r>
              <w:rPr>
                <w:rFonts w:ascii="Arial"/>
                <w:sz w:val="24"/>
              </w:rPr>
            </w:r>
          </w:p>
        </w:tc>
      </w:tr>
      <w:tr>
        <w:trPr>
          <w:trHeight w:val="605"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66" w:lineRule="exact"/>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765" w:type="dxa"/>
            <w:tcBorders>
              <w:top w:val="nil" w:sz="6" w:space="0" w:color="auto"/>
              <w:left w:val="nil" w:sz="6" w:space="0" w:color="auto"/>
              <w:bottom w:val="nil" w:sz="6" w:space="0" w:color="auto"/>
              <w:right w:val="nil" w:sz="6" w:space="0" w:color="auto"/>
            </w:tcBorders>
          </w:tcPr>
          <w:p>
            <w:pPr>
              <w:pStyle w:val="TableParagraph"/>
              <w:tabs>
                <w:tab w:pos="1075" w:val="left" w:leader="none"/>
                <w:tab w:pos="2243" w:val="left" w:leader="none"/>
              </w:tabs>
              <w:spacing w:line="240" w:lineRule="auto" w:before="25"/>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3,392,518</w:t>
              <w:tab/>
            </w:r>
            <w:r>
              <w:rPr>
                <w:rFonts w:ascii="Arial"/>
                <w:spacing w:val="-1"/>
                <w:sz w:val="24"/>
              </w:rPr>
            </w:r>
          </w:p>
        </w:tc>
        <w:tc>
          <w:tcPr>
            <w:tcW w:w="2508" w:type="dxa"/>
            <w:tcBorders>
              <w:top w:val="nil" w:sz="6" w:space="0" w:color="auto"/>
              <w:left w:val="nil" w:sz="6" w:space="0" w:color="auto"/>
              <w:bottom w:val="nil" w:sz="6" w:space="0" w:color="auto"/>
              <w:right w:val="nil" w:sz="6" w:space="0" w:color="auto"/>
            </w:tcBorders>
          </w:tcPr>
          <w:p>
            <w:pPr>
              <w:pStyle w:val="TableParagraph"/>
              <w:tabs>
                <w:tab w:pos="1179" w:val="left" w:leader="none"/>
                <w:tab w:pos="2354" w:val="left" w:leader="none"/>
              </w:tabs>
              <w:spacing w:line="240" w:lineRule="auto" w:before="25"/>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1,997,875</w:t>
              <w:tab/>
            </w:r>
            <w:r>
              <w:rPr>
                <w:rFonts w:ascii="Arial"/>
                <w:spacing w:val="-1"/>
                <w:sz w:val="24"/>
              </w:rPr>
            </w:r>
          </w:p>
        </w:tc>
      </w:tr>
      <w:tr>
        <w:trPr>
          <w:trHeight w:val="730"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(d)</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21"/>
                <w:szCs w:val="21"/>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276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
        </w:tc>
      </w:tr>
      <w:tr>
        <w:trPr>
          <w:trHeight w:val="456"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31"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9"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7"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
        </w:tc>
        <w:tc>
          <w:tcPr>
            <w:tcW w:w="2765" w:type="dxa"/>
            <w:tcBorders>
              <w:top w:val="nil" w:sz="6" w:space="0" w:color="auto"/>
              <w:left w:val="nil" w:sz="6" w:space="0" w:color="auto"/>
              <w:bottom w:val="nil" w:sz="6" w:space="0" w:color="auto"/>
              <w:right w:val="nil" w:sz="6" w:space="0" w:color="auto"/>
            </w:tcBorders>
          </w:tcPr>
          <w:p>
            <w:pPr>
              <w:pStyle w:val="TableParagraph"/>
              <w:spacing w:line="287" w:lineRule="exact"/>
              <w:ind w:right="194"/>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508" w:type="dxa"/>
            <w:tcBorders>
              <w:top w:val="nil" w:sz="6" w:space="0" w:color="auto"/>
              <w:left w:val="nil" w:sz="6" w:space="0" w:color="auto"/>
              <w:bottom w:val="nil" w:sz="6" w:space="0" w:color="auto"/>
              <w:right w:val="nil" w:sz="6" w:space="0" w:color="auto"/>
            </w:tcBorders>
          </w:tcPr>
          <w:p>
            <w:pPr>
              <w:pStyle w:val="TableParagraph"/>
              <w:spacing w:line="287" w:lineRule="exact"/>
              <w:ind w:right="112"/>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53"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Arial" w:hAnsi="Arial" w:cs="Arial" w:eastAsia="Arial" w:hint="default"/>
                <w:sz w:val="24"/>
                <w:szCs w:val="24"/>
              </w:rPr>
            </w:pPr>
            <w:r>
              <w:rPr>
                <w:rFonts w:ascii="宋体" w:hAnsi="宋体" w:cs="宋体" w:eastAsia="宋体" w:hint="default"/>
                <w:sz w:val="24"/>
                <w:szCs w:val="24"/>
              </w:rPr>
              <w:t>货币资金</w:t>
            </w:r>
            <w:r>
              <w:rPr>
                <w:rFonts w:ascii="Arial" w:hAnsi="Arial" w:cs="Arial" w:eastAsia="Arial" w:hint="default"/>
                <w:sz w:val="24"/>
                <w:szCs w:val="24"/>
              </w:rPr>
              <w:t>(</w:t>
            </w:r>
            <w:r>
              <w:rPr>
                <w:rFonts w:ascii="宋体" w:hAnsi="宋体" w:cs="宋体" w:eastAsia="宋体" w:hint="default"/>
                <w:sz w:val="24"/>
                <w:szCs w:val="24"/>
              </w:rPr>
              <w:t>附注七</w:t>
            </w:r>
            <w:r>
              <w:rPr>
                <w:rFonts w:ascii="Arial" w:hAnsi="Arial" w:cs="Arial" w:eastAsia="Arial" w:hint="default"/>
                <w:sz w:val="24"/>
                <w:szCs w:val="24"/>
              </w:rPr>
              <w:t>(1))</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69" w:right="0"/>
              <w:jc w:val="left"/>
              <w:rPr>
                <w:rFonts w:ascii="Arial" w:hAnsi="Arial" w:cs="Arial" w:eastAsia="Arial" w:hint="default"/>
                <w:sz w:val="24"/>
                <w:szCs w:val="24"/>
              </w:rPr>
            </w:pPr>
            <w:r>
              <w:rPr>
                <w:rFonts w:ascii="Arial"/>
                <w:sz w:val="24"/>
              </w:rPr>
              <w:t>10,574,232</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7" w:right="0"/>
              <w:jc w:val="left"/>
              <w:rPr>
                <w:rFonts w:ascii="Arial" w:hAnsi="Arial" w:cs="Arial" w:eastAsia="Arial" w:hint="default"/>
                <w:sz w:val="24"/>
                <w:szCs w:val="24"/>
              </w:rPr>
            </w:pPr>
            <w:r>
              <w:rPr>
                <w:rFonts w:ascii="Arial"/>
                <w:sz w:val="24"/>
              </w:rPr>
              <w:t>7,465,293</w:t>
            </w:r>
          </w:p>
        </w:tc>
      </w:tr>
      <w:tr>
        <w:trPr>
          <w:trHeight w:val="326"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70" w:lineRule="exact"/>
              <w:ind w:left="154" w:right="0"/>
              <w:jc w:val="left"/>
              <w:rPr>
                <w:rFonts w:ascii="宋体" w:hAnsi="宋体" w:cs="宋体" w:eastAsia="宋体" w:hint="default"/>
                <w:sz w:val="24"/>
                <w:szCs w:val="24"/>
              </w:rPr>
            </w:pPr>
            <w:r>
              <w:rPr>
                <w:rFonts w:ascii="宋体" w:hAnsi="宋体" w:cs="宋体" w:eastAsia="宋体" w:hint="default"/>
                <w:sz w:val="24"/>
                <w:szCs w:val="24"/>
              </w:rPr>
              <w:t>减：受到限制的其他货币资金</w:t>
            </w:r>
          </w:p>
        </w:tc>
        <w:tc>
          <w:tcPr>
            <w:tcW w:w="2765" w:type="dxa"/>
            <w:tcBorders>
              <w:top w:val="nil" w:sz="6" w:space="0" w:color="auto"/>
              <w:left w:val="nil" w:sz="6" w:space="0" w:color="auto"/>
              <w:bottom w:val="nil" w:sz="6" w:space="0" w:color="auto"/>
              <w:right w:val="nil" w:sz="6" w:space="0" w:color="auto"/>
            </w:tcBorders>
          </w:tcPr>
          <w:p>
            <w:pPr>
              <w:pStyle w:val="TableParagraph"/>
              <w:tabs>
                <w:tab w:pos="939" w:val="left" w:leader="none"/>
                <w:tab w:pos="2261" w:val="left" w:leader="none"/>
              </w:tabs>
              <w:spacing w:line="240" w:lineRule="auto" w:before="29"/>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(3,680,494)</w:t>
              <w:tab/>
            </w:r>
            <w:r>
              <w:rPr>
                <w:rFonts w:ascii="Arial"/>
                <w:spacing w:val="-1"/>
                <w:sz w:val="24"/>
              </w:rPr>
            </w:r>
          </w:p>
        </w:tc>
        <w:tc>
          <w:tcPr>
            <w:tcW w:w="2508" w:type="dxa"/>
            <w:tcBorders>
              <w:top w:val="nil" w:sz="6" w:space="0" w:color="auto"/>
              <w:left w:val="nil" w:sz="6" w:space="0" w:color="auto"/>
              <w:bottom w:val="nil" w:sz="6" w:space="0" w:color="auto"/>
              <w:right w:val="nil" w:sz="6" w:space="0" w:color="auto"/>
            </w:tcBorders>
          </w:tcPr>
          <w:p>
            <w:pPr>
              <w:pStyle w:val="TableParagraph"/>
              <w:tabs>
                <w:tab w:pos="1029" w:val="left" w:leader="none"/>
                <w:tab w:pos="2354" w:val="left" w:leader="none"/>
              </w:tabs>
              <w:spacing w:line="240" w:lineRule="auto" w:before="29"/>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(3,964,073)</w:t>
              <w:tab/>
            </w:r>
            <w:r>
              <w:rPr>
                <w:rFonts w:ascii="Arial"/>
                <w:spacing w:val="-1"/>
                <w:sz w:val="24"/>
              </w:rPr>
            </w:r>
          </w:p>
        </w:tc>
      </w:tr>
      <w:tr>
        <w:trPr>
          <w:trHeight w:val="467" w:hRule="exact"/>
        </w:trPr>
        <w:tc>
          <w:tcPr>
            <w:tcW w:w="598" w:type="dxa"/>
            <w:tcBorders>
              <w:top w:val="nil" w:sz="6" w:space="0" w:color="auto"/>
              <w:left w:val="nil" w:sz="6" w:space="0" w:color="auto"/>
              <w:bottom w:val="nil" w:sz="6" w:space="0" w:color="auto"/>
              <w:right w:val="nil" w:sz="6" w:space="0" w:color="auto"/>
            </w:tcBorders>
          </w:tcPr>
          <w:p>
            <w:pPr/>
          </w:p>
        </w:tc>
        <w:tc>
          <w:tcPr>
            <w:tcW w:w="3880" w:type="dxa"/>
            <w:tcBorders>
              <w:top w:val="nil" w:sz="6" w:space="0" w:color="auto"/>
              <w:left w:val="nil" w:sz="6" w:space="0" w:color="auto"/>
              <w:bottom w:val="nil" w:sz="6" w:space="0" w:color="auto"/>
              <w:right w:val="nil" w:sz="6" w:space="0" w:color="auto"/>
            </w:tcBorders>
          </w:tcPr>
          <w:p>
            <w:pPr>
              <w:pStyle w:val="TableParagraph"/>
              <w:spacing w:line="266" w:lineRule="exact"/>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现金及现金等价物年末余额</w:t>
            </w:r>
          </w:p>
        </w:tc>
        <w:tc>
          <w:tcPr>
            <w:tcW w:w="2765" w:type="dxa"/>
            <w:tcBorders>
              <w:top w:val="nil" w:sz="6" w:space="0" w:color="auto"/>
              <w:left w:val="nil" w:sz="6" w:space="0" w:color="auto"/>
              <w:bottom w:val="nil" w:sz="6" w:space="0" w:color="auto"/>
              <w:right w:val="nil" w:sz="6" w:space="0" w:color="auto"/>
            </w:tcBorders>
          </w:tcPr>
          <w:p>
            <w:pPr>
              <w:pStyle w:val="TableParagraph"/>
              <w:tabs>
                <w:tab w:pos="1018" w:val="left" w:leader="none"/>
                <w:tab w:pos="2261" w:val="left" w:leader="none"/>
              </w:tabs>
              <w:spacing w:line="240" w:lineRule="auto" w:before="25"/>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6,893,738</w:t>
              <w:tab/>
            </w:r>
            <w:r>
              <w:rPr>
                <w:rFonts w:ascii="Arial"/>
                <w:spacing w:val="-1"/>
                <w:sz w:val="24"/>
              </w:rPr>
            </w:r>
          </w:p>
        </w:tc>
        <w:tc>
          <w:tcPr>
            <w:tcW w:w="2508" w:type="dxa"/>
            <w:tcBorders>
              <w:top w:val="nil" w:sz="6" w:space="0" w:color="auto"/>
              <w:left w:val="nil" w:sz="6" w:space="0" w:color="auto"/>
              <w:bottom w:val="nil" w:sz="6" w:space="0" w:color="auto"/>
              <w:right w:val="nil" w:sz="6" w:space="0" w:color="auto"/>
            </w:tcBorders>
          </w:tcPr>
          <w:p>
            <w:pPr>
              <w:pStyle w:val="TableParagraph"/>
              <w:tabs>
                <w:tab w:pos="1107" w:val="left" w:leader="none"/>
                <w:tab w:pos="2354" w:val="left" w:leader="none"/>
              </w:tabs>
              <w:spacing w:line="240" w:lineRule="auto" w:before="25"/>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3,501,220</w:t>
              <w:tab/>
            </w:r>
            <w:r>
              <w:rPr>
                <w:rFonts w:ascii="Arial"/>
                <w:spacing w:val="-1"/>
                <w:sz w:val="24"/>
              </w:rPr>
            </w:r>
          </w:p>
        </w:tc>
      </w:tr>
      <w:tr>
        <w:trPr>
          <w:trHeight w:val="517"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(e)</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支付其他与经营活动有关的现金</w:t>
            </w:r>
          </w:p>
        </w:tc>
        <w:tc>
          <w:tcPr>
            <w:tcW w:w="2765"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Arial" w:hAnsi="Arial" w:cs="Arial" w:eastAsia="Arial" w:hint="default"/>
          <w:sz w:val="12"/>
          <w:szCs w:val="12"/>
        </w:rPr>
      </w:pPr>
    </w:p>
    <w:p>
      <w:pPr>
        <w:pStyle w:val="BodyText"/>
        <w:spacing w:line="240" w:lineRule="auto" w:before="26"/>
        <w:ind w:left="842" w:right="0"/>
        <w:jc w:val="left"/>
      </w:pPr>
      <w:r>
        <w:rPr/>
        <w:t>现金流量表中支付其他与经营活动有关的现金主要包括：</w:t>
      </w:r>
    </w:p>
    <w:p>
      <w:pPr>
        <w:spacing w:line="240" w:lineRule="auto" w:before="12"/>
        <w:rPr>
          <w:rFonts w:ascii="宋体" w:hAnsi="宋体" w:cs="宋体" w:eastAsia="宋体" w:hint="default"/>
          <w:sz w:val="20"/>
          <w:szCs w:val="20"/>
        </w:rPr>
      </w:pPr>
    </w:p>
    <w:p>
      <w:pPr>
        <w:pStyle w:val="BodyText"/>
        <w:tabs>
          <w:tab w:pos="8407" w:val="left" w:leader="none"/>
        </w:tabs>
        <w:spacing w:line="322" w:lineRule="exact"/>
        <w:ind w:left="5815"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8284" w:val="left" w:leader="none"/>
        </w:tabs>
        <w:spacing w:line="322" w:lineRule="exact"/>
        <w:ind w:left="5666"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807" w:type="dxa"/>
        <w:tblLayout w:type="fixed"/>
        <w:tblCellMar>
          <w:top w:w="0" w:type="dxa"/>
          <w:left w:w="0" w:type="dxa"/>
          <w:bottom w:w="0" w:type="dxa"/>
          <w:right w:w="0" w:type="dxa"/>
        </w:tblCellMar>
        <w:tblLook w:val="01E0"/>
      </w:tblPr>
      <w:tblGrid>
        <w:gridCol w:w="4156"/>
        <w:gridCol w:w="2276"/>
        <w:gridCol w:w="230"/>
        <w:gridCol w:w="2354"/>
      </w:tblGrid>
      <w:tr>
        <w:trPr>
          <w:trHeight w:val="394"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0"/>
              <w:jc w:val="right"/>
              <w:rPr>
                <w:rFonts w:ascii="Arial" w:hAnsi="Arial" w:cs="Arial" w:eastAsia="Arial" w:hint="default"/>
                <w:sz w:val="24"/>
                <w:szCs w:val="24"/>
              </w:rPr>
            </w:pPr>
            <w:r>
              <w:rPr>
                <w:rFonts w:ascii="Arial"/>
                <w:spacing w:val="-1"/>
                <w:w w:val="95"/>
                <w:sz w:val="24"/>
              </w:rPr>
              <w:t>1,910,858</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4"/>
                <w:szCs w:val="24"/>
              </w:rPr>
            </w:pPr>
            <w:r>
              <w:rPr>
                <w:rFonts w:ascii="Arial"/>
                <w:spacing w:val="-1"/>
                <w:w w:val="95"/>
                <w:sz w:val="24"/>
              </w:rPr>
              <w:t>1,155,568</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558,126</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459,164</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302,460</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213,154</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142,517</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192,838</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217,261</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123,030</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172,866</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155,654</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169,386</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4"/>
              <w:jc w:val="right"/>
              <w:rPr>
                <w:rFonts w:ascii="Arial" w:hAnsi="Arial" w:cs="Arial" w:eastAsia="Arial" w:hint="default"/>
                <w:sz w:val="24"/>
                <w:szCs w:val="24"/>
              </w:rPr>
            </w:pPr>
            <w:r>
              <w:rPr>
                <w:rFonts w:ascii="Arial"/>
                <w:spacing w:val="-4"/>
                <w:sz w:val="24"/>
              </w:rPr>
              <w:t>114,858</w:t>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140,493</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5"/>
              <w:jc w:val="right"/>
              <w:rPr>
                <w:rFonts w:ascii="Arial" w:hAnsi="Arial" w:cs="Arial" w:eastAsia="Arial" w:hint="default"/>
                <w:sz w:val="24"/>
                <w:szCs w:val="24"/>
              </w:rPr>
            </w:pPr>
            <w:r>
              <w:rPr>
                <w:rFonts w:ascii="Arial"/>
                <w:spacing w:val="-1"/>
                <w:w w:val="95"/>
                <w:sz w:val="24"/>
              </w:rPr>
              <w:t>94,388</w:t>
            </w:r>
            <w:r>
              <w:rPr>
                <w:rFonts w:ascii="Arial"/>
                <w:sz w:val="24"/>
              </w:rPr>
            </w:r>
          </w:p>
        </w:tc>
      </w:tr>
      <w:tr>
        <w:trPr>
          <w:trHeight w:val="312"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24"/>
                <w:szCs w:val="24"/>
              </w:rPr>
            </w:pPr>
            <w:r>
              <w:rPr>
                <w:rFonts w:ascii="Arial"/>
                <w:spacing w:val="-1"/>
                <w:w w:val="95"/>
                <w:sz w:val="24"/>
              </w:rPr>
              <w:t>61,231</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nil" w:sz="6" w:space="0" w:color="auto"/>
              <w:right w:val="nil" w:sz="6" w:space="0" w:color="auto"/>
            </w:tcBorders>
          </w:tcPr>
          <w:p>
            <w:pPr>
              <w:pStyle w:val="TableParagraph"/>
              <w:spacing w:line="263" w:lineRule="exact"/>
              <w:ind w:right="104"/>
              <w:jc w:val="right"/>
              <w:rPr>
                <w:rFonts w:ascii="Arial" w:hAnsi="Arial" w:cs="Arial" w:eastAsia="Arial" w:hint="default"/>
                <w:sz w:val="24"/>
                <w:szCs w:val="24"/>
              </w:rPr>
            </w:pPr>
            <w:r>
              <w:rPr>
                <w:rFonts w:ascii="Arial"/>
                <w:spacing w:val="-1"/>
                <w:w w:val="95"/>
                <w:sz w:val="24"/>
              </w:rPr>
              <w:t>41,671</w:t>
            </w:r>
            <w:r>
              <w:rPr>
                <w:rFonts w:ascii="Arial"/>
                <w:sz w:val="24"/>
              </w:rPr>
            </w:r>
          </w:p>
        </w:tc>
      </w:tr>
      <w:tr>
        <w:trPr>
          <w:trHeight w:val="306"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76" w:type="dxa"/>
            <w:tcBorders>
              <w:top w:val="nil" w:sz="6" w:space="0" w:color="auto"/>
              <w:left w:val="nil" w:sz="6" w:space="0" w:color="auto"/>
              <w:bottom w:val="nil" w:sz="6" w:space="0" w:color="auto"/>
              <w:right w:val="nil" w:sz="6" w:space="0" w:color="auto"/>
            </w:tcBorders>
          </w:tcPr>
          <w:p>
            <w:pPr>
              <w:pStyle w:val="TableParagraph"/>
              <w:tabs>
                <w:tab w:pos="1444" w:val="left" w:leader="none"/>
                <w:tab w:pos="2261" w:val="left" w:leader="none"/>
              </w:tabs>
              <w:spacing w:line="240" w:lineRule="auto" w:before="23"/>
              <w:ind w:right="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88,150</w:t>
              <w:tab/>
            </w:r>
            <w:r>
              <w:rPr>
                <w:rFonts w:ascii="Arial"/>
                <w:spacing w:val="-1"/>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single" w:sz="4" w:space="0" w:color="000000"/>
              <w:right w:val="nil" w:sz="6" w:space="0" w:color="auto"/>
            </w:tcBorders>
          </w:tcPr>
          <w:p>
            <w:pPr>
              <w:pStyle w:val="TableParagraph"/>
              <w:spacing w:line="263" w:lineRule="exact"/>
              <w:ind w:right="104"/>
              <w:jc w:val="right"/>
              <w:rPr>
                <w:rFonts w:ascii="Arial" w:hAnsi="Arial" w:cs="Arial" w:eastAsia="Arial" w:hint="default"/>
                <w:sz w:val="24"/>
                <w:szCs w:val="24"/>
              </w:rPr>
            </w:pPr>
            <w:r>
              <w:rPr>
                <w:rFonts w:ascii="Arial"/>
                <w:spacing w:val="-1"/>
                <w:w w:val="95"/>
                <w:sz w:val="24"/>
              </w:rPr>
              <w:t>170,940</w:t>
            </w:r>
            <w:r>
              <w:rPr>
                <w:rFonts w:ascii="Arial"/>
                <w:sz w:val="24"/>
              </w:rPr>
            </w:r>
          </w:p>
        </w:tc>
      </w:tr>
      <w:tr>
        <w:trPr>
          <w:trHeight w:val="296" w:hRule="exact"/>
        </w:trPr>
        <w:tc>
          <w:tcPr>
            <w:tcW w:w="4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0"/>
              <w:jc w:val="right"/>
              <w:rPr>
                <w:rFonts w:ascii="Arial" w:hAnsi="Arial" w:cs="Arial" w:eastAsia="Arial" w:hint="default"/>
                <w:sz w:val="24"/>
                <w:szCs w:val="24"/>
              </w:rPr>
            </w:pPr>
            <w:r>
              <w:rPr>
                <w:rFonts w:ascii="Arial"/>
                <w:spacing w:val="-1"/>
                <w:w w:val="95"/>
                <w:sz w:val="24"/>
              </w:rPr>
              <w:t>3,763,348</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35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6"/>
              <w:jc w:val="right"/>
              <w:rPr>
                <w:rFonts w:ascii="Arial" w:hAnsi="Arial" w:cs="Arial" w:eastAsia="Arial" w:hint="default"/>
                <w:sz w:val="24"/>
                <w:szCs w:val="24"/>
              </w:rPr>
            </w:pPr>
            <w:r>
              <w:rPr>
                <w:rFonts w:ascii="Arial"/>
                <w:spacing w:val="-1"/>
                <w:w w:val="95"/>
                <w:sz w:val="24"/>
              </w:rPr>
              <w:t>2,721,265</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52" w:footer="707" w:top="1020" w:bottom="900" w:left="900" w:right="1040"/>
        </w:sectPr>
      </w:pPr>
    </w:p>
    <w:p>
      <w:pPr>
        <w:spacing w:line="240" w:lineRule="auto" w:before="0"/>
        <w:rPr>
          <w:rFonts w:ascii="Arial" w:hAnsi="Arial" w:cs="Arial" w:eastAsia="Arial" w:hint="default"/>
          <w:sz w:val="20"/>
          <w:szCs w:val="20"/>
        </w:rPr>
      </w:pPr>
    </w:p>
    <w:p>
      <w:pPr>
        <w:pStyle w:val="Heading2"/>
        <w:tabs>
          <w:tab w:pos="809" w:val="left" w:leader="none"/>
        </w:tabs>
        <w:spacing w:line="240" w:lineRule="auto" w:before="190"/>
        <w:ind w:right="0"/>
        <w:jc w:val="left"/>
        <w:rPr>
          <w:b w:val="0"/>
          <w:bCs w:val="0"/>
        </w:rPr>
      </w:pPr>
      <w:r>
        <w:rPr>
          <w:w w:val="95"/>
        </w:rPr>
        <w:t>八</w:t>
        <w:tab/>
      </w:r>
      <w:r>
        <w:rPr/>
        <w:t>关联方关系及其交易</w:t>
      </w:r>
      <w:r>
        <w:rPr>
          <w:b w:val="0"/>
          <w:bCs w:val="0"/>
        </w:rPr>
      </w:r>
    </w:p>
    <w:p>
      <w:pPr>
        <w:spacing w:line="240" w:lineRule="auto" w:before="12"/>
        <w:rPr>
          <w:rFonts w:ascii="宋体" w:hAnsi="宋体" w:cs="宋体" w:eastAsia="宋体" w:hint="default"/>
          <w:b/>
          <w:bCs/>
          <w:sz w:val="20"/>
          <w:szCs w:val="20"/>
        </w:rPr>
      </w:pPr>
    </w:p>
    <w:p>
      <w:pPr>
        <w:tabs>
          <w:tab w:pos="809" w:val="left" w:leader="none"/>
        </w:tabs>
        <w:spacing w:line="448" w:lineRule="auto" w:before="0"/>
        <w:ind w:left="809" w:right="4492" w:hanging="707"/>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存在控制关系的关联方</w:t>
      </w:r>
      <w:r>
        <w:rPr>
          <w:rFonts w:ascii="宋体" w:hAnsi="宋体" w:cs="宋体" w:eastAsia="宋体" w:hint="default"/>
          <w:b/>
          <w:bCs/>
          <w:w w:val="99"/>
          <w:sz w:val="24"/>
          <w:szCs w:val="24"/>
        </w:rPr>
        <w:t> </w:t>
      </w:r>
      <w:r>
        <w:rPr>
          <w:rFonts w:ascii="宋体" w:hAnsi="宋体" w:cs="宋体" w:eastAsia="宋体" w:hint="default"/>
          <w:sz w:val="24"/>
          <w:szCs w:val="24"/>
        </w:rPr>
        <w:t>主要子公司的基本情况及相关信息见附注六。</w:t>
      </w:r>
    </w:p>
    <w:p>
      <w:pPr>
        <w:pStyle w:val="BodyText"/>
        <w:tabs>
          <w:tab w:pos="809" w:val="left" w:leader="none"/>
        </w:tabs>
        <w:spacing w:line="313" w:lineRule="exact" w:before="65"/>
        <w:ind w:left="102" w:right="0"/>
        <w:jc w:val="left"/>
      </w:pPr>
      <w:r>
        <w:rPr>
          <w:rFonts w:ascii="Arial" w:hAnsi="Arial" w:cs="Arial" w:eastAsia="Arial" w:hint="default"/>
          <w:w w:val="95"/>
          <w:position w:val="2"/>
        </w:rPr>
        <w:t>(a)</w:t>
        <w:tab/>
      </w:r>
      <w:r>
        <w:rPr/>
        <w:t>本公司控股股东的基本情况</w:t>
      </w:r>
    </w:p>
    <w:p>
      <w:pPr>
        <w:pStyle w:val="BodyText"/>
        <w:tabs>
          <w:tab w:pos="9007" w:val="left" w:leader="none"/>
        </w:tabs>
        <w:spacing w:line="313" w:lineRule="exact"/>
        <w:ind w:left="5547" w:right="0"/>
        <w:jc w:val="left"/>
      </w:pPr>
      <w:r>
        <w:rPr/>
        <w:t>注册地</w:t>
        <w:tab/>
        <w:t>业务性质</w:t>
      </w:r>
    </w:p>
    <w:p>
      <w:pPr>
        <w:spacing w:line="240" w:lineRule="auto" w:before="12"/>
        <w:rPr>
          <w:rFonts w:ascii="宋体" w:hAnsi="宋体" w:cs="宋体" w:eastAsia="宋体" w:hint="default"/>
          <w:sz w:val="18"/>
          <w:szCs w:val="18"/>
        </w:rPr>
      </w:pPr>
    </w:p>
    <w:p>
      <w:pPr>
        <w:pStyle w:val="BodyText"/>
        <w:tabs>
          <w:tab w:pos="5547" w:val="left" w:leader="none"/>
          <w:tab w:pos="9247" w:val="left" w:leader="none"/>
        </w:tabs>
        <w:spacing w:line="313" w:lineRule="exact" w:before="26"/>
        <w:ind w:left="809" w:right="0"/>
        <w:jc w:val="left"/>
      </w:pPr>
      <w:r>
        <w:rPr/>
        <w:t>张近东先生</w:t>
        <w:tab/>
        <w:t>不适用</w:t>
        <w:tab/>
        <w:t>不适用</w:t>
      </w:r>
    </w:p>
    <w:p>
      <w:pPr>
        <w:pStyle w:val="BodyText"/>
        <w:tabs>
          <w:tab w:pos="5547" w:val="left" w:leader="none"/>
          <w:tab w:pos="6607" w:val="left" w:leader="none"/>
        </w:tabs>
        <w:spacing w:line="313" w:lineRule="exact"/>
        <w:ind w:left="809" w:right="0"/>
        <w:jc w:val="left"/>
      </w:pPr>
      <w:r>
        <w:rPr/>
        <w:t>江苏苏宁电器集团有限公司</w:t>
        <w:tab/>
        <w:t>南京市</w:t>
        <w:tab/>
        <w:t>电脑数码、移动通讯、家用电器</w:t>
      </w:r>
    </w:p>
    <w:p>
      <w:pPr>
        <w:spacing w:line="240" w:lineRule="auto" w:before="4"/>
        <w:rPr>
          <w:rFonts w:ascii="宋体" w:hAnsi="宋体" w:cs="宋体" w:eastAsia="宋体" w:hint="default"/>
          <w:sz w:val="18"/>
          <w:szCs w:val="18"/>
        </w:rPr>
      </w:pPr>
    </w:p>
    <w:p>
      <w:pPr>
        <w:pStyle w:val="BodyText"/>
        <w:tabs>
          <w:tab w:pos="809" w:val="left" w:leader="none"/>
        </w:tabs>
        <w:spacing w:line="240" w:lineRule="auto"/>
        <w:ind w:left="102" w:right="0"/>
        <w:jc w:val="left"/>
      </w:pPr>
      <w:r>
        <w:rPr>
          <w:rFonts w:ascii="Arial" w:hAnsi="Arial" w:cs="Arial" w:eastAsia="Arial" w:hint="default"/>
          <w:w w:val="95"/>
          <w:position w:val="2"/>
        </w:rPr>
        <w:t>(b)</w:t>
        <w:tab/>
      </w:r>
      <w:r>
        <w:rPr/>
        <w:t>本公司控股股东的注册资本及其变化</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2" w:footer="707" w:top="1020" w:bottom="900" w:left="940" w:right="860"/>
        </w:sectPr>
      </w:pPr>
    </w:p>
    <w:p>
      <w:pPr>
        <w:pStyle w:val="BodyText"/>
        <w:spacing w:line="322" w:lineRule="exact" w:before="26"/>
        <w:ind w:left="4455" w:right="3101"/>
        <w:jc w:val="center"/>
      </w:pPr>
      <w:r>
        <w:rPr>
          <w:rFonts w:ascii="Arial" w:hAnsi="Arial" w:cs="Arial" w:eastAsia="Arial" w:hint="default"/>
        </w:rPr>
        <w:t>2007</w:t>
      </w:r>
      <w:r>
        <w:rPr>
          <w:rFonts w:ascii="Arial" w:hAnsi="Arial" w:cs="Arial" w:eastAsia="Arial" w:hint="default"/>
          <w:spacing w:val="-11"/>
        </w:rPr>
        <w:t> </w:t>
      </w:r>
      <w:r>
        <w:rPr/>
        <w:t>年</w:t>
      </w:r>
    </w:p>
    <w:p>
      <w:pPr>
        <w:pStyle w:val="BodyText"/>
        <w:tabs>
          <w:tab w:pos="5765" w:val="left" w:leader="none"/>
          <w:tab w:pos="7467" w:val="left" w:leader="none"/>
        </w:tabs>
        <w:spacing w:line="312" w:lineRule="exact"/>
        <w:ind w:left="4113"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本年减少</w:t>
      </w:r>
    </w:p>
    <w:p>
      <w:pPr>
        <w:pStyle w:val="BodyText"/>
        <w:spacing w:line="322" w:lineRule="exact"/>
        <w:ind w:left="0" w:right="770"/>
        <w:jc w:val="righ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r>
      <w:r>
        <w:rPr>
          <w:rFonts w:ascii="Arial" w:hAnsi="Arial" w:cs="Arial" w:eastAsia="Arial" w:hint="default"/>
        </w:rPr>
      </w:r>
    </w:p>
    <w:p>
      <w:pPr>
        <w:pStyle w:val="BodyText"/>
        <w:spacing w:line="322" w:lineRule="exact" w:before="26"/>
        <w:ind w:left="660" w:right="0"/>
        <w:jc w:val="lef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299"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1600" w:bottom="280" w:left="940" w:right="860"/>
          <w:cols w:num="2" w:equalWidth="0">
            <w:col w:w="8428" w:space="40"/>
            <w:col w:w="1642"/>
          </w:cols>
        </w:sectPr>
      </w:pPr>
    </w:p>
    <w:p>
      <w:pPr>
        <w:spacing w:line="240" w:lineRule="auto" w:before="8"/>
        <w:rPr>
          <w:rFonts w:ascii="宋体" w:hAnsi="宋体" w:cs="宋体" w:eastAsia="宋体" w:hint="default"/>
          <w:sz w:val="17"/>
          <w:szCs w:val="17"/>
        </w:rPr>
      </w:pPr>
    </w:p>
    <w:tbl>
      <w:tblPr>
        <w:tblW w:w="0" w:type="auto"/>
        <w:jc w:val="left"/>
        <w:tblInd w:w="774" w:type="dxa"/>
        <w:tblLayout w:type="fixed"/>
        <w:tblCellMar>
          <w:top w:w="0" w:type="dxa"/>
          <w:left w:w="0" w:type="dxa"/>
          <w:bottom w:w="0" w:type="dxa"/>
          <w:right w:w="0" w:type="dxa"/>
        </w:tblCellMar>
        <w:tblLook w:val="01E0"/>
      </w:tblPr>
      <w:tblGrid>
        <w:gridCol w:w="3291"/>
        <w:gridCol w:w="1591"/>
        <w:gridCol w:w="1560"/>
        <w:gridCol w:w="1544"/>
        <w:gridCol w:w="1235"/>
      </w:tblGrid>
      <w:tr>
        <w:trPr>
          <w:trHeight w:val="373"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张近东先生</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7"/>
              <w:jc w:val="right"/>
              <w:rPr>
                <w:rFonts w:ascii="宋体" w:hAnsi="宋体" w:cs="宋体" w:eastAsia="宋体" w:hint="default"/>
                <w:sz w:val="24"/>
                <w:szCs w:val="24"/>
              </w:rPr>
            </w:pPr>
            <w:r>
              <w:rPr>
                <w:rFonts w:ascii="宋体" w:hAnsi="宋体" w:cs="宋体" w:eastAsia="宋体" w:hint="default"/>
                <w:sz w:val="24"/>
                <w:szCs w:val="24"/>
              </w:rPr>
              <w:t>不适用</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8"/>
              <w:jc w:val="right"/>
              <w:rPr>
                <w:rFonts w:ascii="宋体" w:hAnsi="宋体" w:cs="宋体" w:eastAsia="宋体" w:hint="default"/>
                <w:sz w:val="24"/>
                <w:szCs w:val="24"/>
              </w:rPr>
            </w:pPr>
            <w:r>
              <w:rPr>
                <w:rFonts w:ascii="宋体" w:hAnsi="宋体" w:cs="宋体" w:eastAsia="宋体" w:hint="default"/>
                <w:sz w:val="24"/>
                <w:szCs w:val="24"/>
              </w:rPr>
              <w:t>不适用</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1"/>
              <w:jc w:val="right"/>
              <w:rPr>
                <w:rFonts w:ascii="宋体" w:hAnsi="宋体" w:cs="宋体" w:eastAsia="宋体" w:hint="default"/>
                <w:sz w:val="24"/>
                <w:szCs w:val="24"/>
              </w:rPr>
            </w:pPr>
            <w:r>
              <w:rPr>
                <w:rFonts w:ascii="宋体" w:hAnsi="宋体" w:cs="宋体" w:eastAsia="宋体" w:hint="default"/>
                <w:sz w:val="24"/>
                <w:szCs w:val="24"/>
              </w:rPr>
              <w:t>不适用</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sz w:val="24"/>
                <w:szCs w:val="24"/>
              </w:rPr>
              <w:t>不适用</w:t>
            </w:r>
          </w:p>
        </w:tc>
      </w:tr>
      <w:tr>
        <w:trPr>
          <w:trHeight w:val="379"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江苏苏宁电器集团有限公司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7"/>
              <w:jc w:val="right"/>
              <w:rPr>
                <w:rFonts w:ascii="Arial" w:hAnsi="Arial" w:cs="Arial" w:eastAsia="Arial" w:hint="default"/>
                <w:sz w:val="24"/>
                <w:szCs w:val="24"/>
              </w:rPr>
            </w:pPr>
            <w:r>
              <w:rPr>
                <w:rFonts w:ascii="Arial"/>
                <w:spacing w:val="-1"/>
                <w:w w:val="95"/>
                <w:sz w:val="24"/>
              </w:rPr>
              <w:t>200,000</w:t>
            </w:r>
            <w:r>
              <w:rPr>
                <w:rFonts w:ascii="Arial"/>
                <w:sz w:val="24"/>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89"/>
              <w:jc w:val="right"/>
              <w:rPr>
                <w:rFonts w:ascii="Arial" w:hAnsi="Arial" w:cs="Arial" w:eastAsia="Arial" w:hint="default"/>
                <w:sz w:val="24"/>
                <w:szCs w:val="24"/>
              </w:rPr>
            </w:pPr>
            <w:r>
              <w:rPr>
                <w:rFonts w:ascii="Arial"/>
                <w:w w:val="99"/>
                <w:sz w:val="24"/>
              </w:rPr>
              <w:t>-</w:t>
            </w:r>
            <w:r>
              <w:rPr>
                <w:rFonts w:ascii="Arial"/>
                <w:sz w:val="24"/>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2"/>
              <w:jc w:val="right"/>
              <w:rPr>
                <w:rFonts w:ascii="Arial" w:hAnsi="Arial" w:cs="Arial" w:eastAsia="Arial" w:hint="default"/>
                <w:sz w:val="24"/>
                <w:szCs w:val="24"/>
              </w:rPr>
            </w:pPr>
            <w:r>
              <w:rPr>
                <w:rFonts w:ascii="Arial"/>
                <w:w w:val="99"/>
                <w:sz w:val="24"/>
              </w:rPr>
              <w:t>-</w:t>
            </w:r>
            <w:r>
              <w:rPr>
                <w:rFonts w:ascii="Arial"/>
                <w:sz w:val="24"/>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200,000</w:t>
            </w:r>
            <w:r>
              <w:rPr>
                <w:rFonts w:ascii="Arial"/>
                <w:sz w:val="24"/>
              </w:rPr>
            </w:r>
          </w:p>
        </w:tc>
      </w:tr>
    </w:tbl>
    <w:p>
      <w:pPr>
        <w:spacing w:line="240" w:lineRule="auto" w:before="11"/>
        <w:rPr>
          <w:rFonts w:ascii="宋体" w:hAnsi="宋体" w:cs="宋体" w:eastAsia="宋体" w:hint="default"/>
          <w:sz w:val="10"/>
          <w:szCs w:val="10"/>
        </w:rPr>
      </w:pPr>
    </w:p>
    <w:p>
      <w:pPr>
        <w:pStyle w:val="BodyText"/>
        <w:tabs>
          <w:tab w:pos="809" w:val="left" w:leader="none"/>
        </w:tabs>
        <w:spacing w:line="240" w:lineRule="auto" w:before="32"/>
        <w:ind w:left="102" w:right="0"/>
        <w:jc w:val="left"/>
      </w:pPr>
      <w:r>
        <w:rPr>
          <w:rFonts w:ascii="Arial" w:hAnsi="Arial" w:cs="Arial" w:eastAsia="Arial" w:hint="default"/>
          <w:position w:val="2"/>
        </w:rPr>
        <w:t>(c)</w:t>
        <w:tab/>
      </w:r>
      <w:r>
        <w:rPr/>
        <w:t>本公司控股股东对本公司的持股比例和表决权比例</w:t>
      </w:r>
    </w:p>
    <w:p>
      <w:pPr>
        <w:spacing w:line="240" w:lineRule="auto" w:before="4"/>
        <w:rPr>
          <w:rFonts w:ascii="宋体" w:hAnsi="宋体" w:cs="宋体" w:eastAsia="宋体" w:hint="default"/>
          <w:sz w:val="21"/>
          <w:szCs w:val="21"/>
        </w:rPr>
      </w:pPr>
    </w:p>
    <w:p>
      <w:pPr>
        <w:tabs>
          <w:tab w:pos="8082" w:val="left" w:leader="none"/>
        </w:tabs>
        <w:spacing w:before="0"/>
        <w:ind w:left="4823" w:right="0"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bl>
      <w:tblPr>
        <w:tblW w:w="0" w:type="auto"/>
        <w:jc w:val="left"/>
        <w:tblInd w:w="774" w:type="dxa"/>
        <w:tblLayout w:type="fixed"/>
        <w:tblCellMar>
          <w:top w:w="0" w:type="dxa"/>
          <w:left w:w="0" w:type="dxa"/>
          <w:bottom w:w="0" w:type="dxa"/>
          <w:right w:w="0" w:type="dxa"/>
        </w:tblCellMar>
        <w:tblLook w:val="01E0"/>
      </w:tblPr>
      <w:tblGrid>
        <w:gridCol w:w="3526"/>
        <w:gridCol w:w="1517"/>
        <w:gridCol w:w="1593"/>
        <w:gridCol w:w="1617"/>
        <w:gridCol w:w="959"/>
      </w:tblGrid>
      <w:tr>
        <w:trPr>
          <w:trHeight w:val="684" w:hRule="exact"/>
        </w:trPr>
        <w:tc>
          <w:tcPr>
            <w:tcW w:w="352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38" w:lineRule="exact"/>
              <w:ind w:left="909"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left="9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93" w:type="dxa"/>
            <w:tcBorders>
              <w:top w:val="nil" w:sz="6" w:space="0" w:color="auto"/>
              <w:left w:val="nil" w:sz="6" w:space="0" w:color="auto"/>
              <w:bottom w:val="nil" w:sz="6" w:space="0" w:color="auto"/>
              <w:right w:val="nil" w:sz="6" w:space="0" w:color="auto"/>
            </w:tcBorders>
          </w:tcPr>
          <w:p>
            <w:pPr>
              <w:pStyle w:val="TableParagraph"/>
              <w:spacing w:line="238" w:lineRule="exact"/>
              <w:ind w:left="269"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7" w:type="dxa"/>
            <w:tcBorders>
              <w:top w:val="nil" w:sz="6" w:space="0" w:color="auto"/>
              <w:left w:val="nil" w:sz="6" w:space="0" w:color="auto"/>
              <w:bottom w:val="nil" w:sz="6" w:space="0" w:color="auto"/>
              <w:right w:val="nil" w:sz="6" w:space="0" w:color="auto"/>
            </w:tcBorders>
          </w:tcPr>
          <w:p>
            <w:pPr>
              <w:pStyle w:val="TableParagraph"/>
              <w:spacing w:line="238" w:lineRule="exact"/>
              <w:ind w:left="985"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left="98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59" w:type="dxa"/>
            <w:tcBorders>
              <w:top w:val="nil" w:sz="6" w:space="0" w:color="auto"/>
              <w:left w:val="nil" w:sz="6" w:space="0" w:color="auto"/>
              <w:bottom w:val="nil" w:sz="6" w:space="0" w:color="auto"/>
              <w:right w:val="nil" w:sz="6" w:space="0" w:color="auto"/>
            </w:tcBorders>
          </w:tcPr>
          <w:p>
            <w:pPr>
              <w:pStyle w:val="TableParagraph"/>
              <w:spacing w:line="238" w:lineRule="exact"/>
              <w:ind w:left="294"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50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64"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Arial" w:hAnsi="Arial" w:cs="Arial" w:eastAsia="Arial" w:hint="default"/>
                <w:sz w:val="24"/>
                <w:szCs w:val="24"/>
              </w:rPr>
            </w:pPr>
            <w:r>
              <w:rPr>
                <w:rFonts w:ascii="宋体" w:hAnsi="宋体" w:cs="宋体" w:eastAsia="宋体" w:hint="default"/>
                <w:sz w:val="24"/>
                <w:szCs w:val="24"/>
              </w:rPr>
              <w:t>张近东先生</w:t>
            </w:r>
            <w:r>
              <w:rPr>
                <w:rFonts w:ascii="Arial" w:hAnsi="Arial" w:cs="Arial" w:eastAsia="Arial" w:hint="default"/>
                <w:sz w:val="24"/>
                <w:szCs w:val="24"/>
              </w:rPr>
              <w:t>(</w:t>
            </w:r>
            <w:r>
              <w:rPr>
                <w:rFonts w:ascii="宋体" w:hAnsi="宋体" w:cs="宋体" w:eastAsia="宋体" w:hint="default"/>
                <w:sz w:val="24"/>
                <w:szCs w:val="24"/>
              </w:rPr>
              <w:t>注</w:t>
            </w:r>
            <w:r>
              <w:rPr>
                <w:rFonts w:ascii="Arial" w:hAnsi="Arial" w:cs="Arial" w:eastAsia="Arial" w:hint="default"/>
                <w:sz w:val="24"/>
                <w:szCs w:val="24"/>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6"/>
              <w:jc w:val="right"/>
              <w:rPr>
                <w:rFonts w:ascii="Arial" w:hAnsi="Arial" w:cs="Arial" w:eastAsia="Arial" w:hint="default"/>
                <w:sz w:val="21"/>
                <w:szCs w:val="21"/>
              </w:rPr>
            </w:pPr>
            <w:r>
              <w:rPr>
                <w:rFonts w:ascii="Arial"/>
                <w:spacing w:val="-1"/>
                <w:w w:val="95"/>
                <w:sz w:val="21"/>
              </w:rPr>
              <w:t>32.53%</w:t>
            </w:r>
            <w:r>
              <w:rPr>
                <w:rFonts w:ascii="Arial"/>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Arial" w:hAnsi="Arial" w:cs="Arial" w:eastAsia="Arial" w:hint="default"/>
                <w:sz w:val="21"/>
                <w:szCs w:val="21"/>
              </w:rPr>
            </w:pPr>
            <w:r>
              <w:rPr>
                <w:rFonts w:ascii="Arial"/>
                <w:sz w:val="21"/>
              </w:rPr>
              <w:t>28.61%</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0"/>
              <w:jc w:val="right"/>
              <w:rPr>
                <w:rFonts w:ascii="Arial" w:hAnsi="Arial" w:cs="Arial" w:eastAsia="Arial" w:hint="default"/>
                <w:sz w:val="21"/>
                <w:szCs w:val="21"/>
              </w:rPr>
            </w:pPr>
            <w:r>
              <w:rPr>
                <w:rFonts w:ascii="Arial"/>
                <w:spacing w:val="-1"/>
                <w:w w:val="95"/>
                <w:sz w:val="21"/>
              </w:rPr>
              <w:t>33.94%</w:t>
            </w:r>
            <w:r>
              <w:rPr>
                <w:rFonts w:ascii="Arial"/>
                <w:sz w:val="21"/>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29.69%</w:t>
            </w:r>
            <w:r>
              <w:rPr>
                <w:rFonts w:ascii="Arial"/>
                <w:sz w:val="21"/>
              </w:rPr>
            </w:r>
          </w:p>
        </w:tc>
      </w:tr>
      <w:tr>
        <w:trPr>
          <w:trHeight w:val="392"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江苏苏宁电器集团有限公司</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3"/>
              <w:jc w:val="right"/>
              <w:rPr>
                <w:rFonts w:ascii="Arial" w:hAnsi="Arial" w:cs="Arial" w:eastAsia="Arial" w:hint="default"/>
                <w:sz w:val="21"/>
                <w:szCs w:val="21"/>
              </w:rPr>
            </w:pPr>
            <w:r>
              <w:rPr>
                <w:rFonts w:ascii="Arial"/>
                <w:spacing w:val="-1"/>
                <w:w w:val="95"/>
                <w:sz w:val="21"/>
              </w:rPr>
              <w:t>14.00%</w:t>
            </w:r>
            <w:r>
              <w:rPr>
                <w:rFonts w:ascii="Arial"/>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87" w:right="0"/>
              <w:jc w:val="left"/>
              <w:rPr>
                <w:rFonts w:ascii="Arial" w:hAnsi="Arial" w:cs="Arial" w:eastAsia="Arial" w:hint="default"/>
                <w:sz w:val="21"/>
                <w:szCs w:val="21"/>
              </w:rPr>
            </w:pPr>
            <w:r>
              <w:rPr>
                <w:rFonts w:ascii="Arial"/>
                <w:sz w:val="21"/>
              </w:rPr>
              <w:t>14.00%</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0"/>
              <w:jc w:val="right"/>
              <w:rPr>
                <w:rFonts w:ascii="Arial" w:hAnsi="Arial" w:cs="Arial" w:eastAsia="Arial" w:hint="default"/>
                <w:sz w:val="21"/>
                <w:szCs w:val="21"/>
              </w:rPr>
            </w:pPr>
            <w:r>
              <w:rPr>
                <w:rFonts w:ascii="Arial"/>
                <w:spacing w:val="-1"/>
                <w:w w:val="95"/>
                <w:sz w:val="21"/>
              </w:rPr>
              <w:t>15.17%</w:t>
            </w:r>
            <w:r>
              <w:rPr>
                <w:rFonts w:ascii="Arial"/>
                <w:sz w:val="21"/>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w:hAnsi="Arial" w:cs="Arial" w:eastAsia="Arial" w:hint="default"/>
                <w:sz w:val="21"/>
                <w:szCs w:val="21"/>
              </w:rPr>
            </w:pPr>
            <w:r>
              <w:rPr>
                <w:rFonts w:ascii="Arial"/>
                <w:spacing w:val="-1"/>
                <w:w w:val="95"/>
                <w:sz w:val="21"/>
              </w:rPr>
              <w:t>15.17%</w:t>
            </w:r>
            <w:r>
              <w:rPr>
                <w:rFonts w:ascii="Arial"/>
                <w:sz w:val="21"/>
              </w:rPr>
            </w:r>
          </w:p>
        </w:tc>
      </w:tr>
    </w:tbl>
    <w:p>
      <w:pPr>
        <w:spacing w:line="240" w:lineRule="auto" w:before="7"/>
        <w:rPr>
          <w:rFonts w:ascii="宋体" w:hAnsi="宋体" w:cs="宋体" w:eastAsia="宋体" w:hint="default"/>
          <w:sz w:val="10"/>
          <w:szCs w:val="10"/>
        </w:rPr>
      </w:pPr>
    </w:p>
    <w:p>
      <w:pPr>
        <w:pStyle w:val="BodyText"/>
        <w:spacing w:line="312" w:lineRule="exact" w:before="56"/>
        <w:ind w:left="809" w:right="145"/>
        <w:jc w:val="left"/>
      </w:pPr>
      <w:r>
        <w:rPr>
          <w:spacing w:val="-14"/>
        </w:rPr>
        <w:t>注：于</w:t>
      </w:r>
      <w:r>
        <w:rPr>
          <w:spacing w:val="-60"/>
        </w:rPr>
        <w:t> </w:t>
      </w:r>
      <w:r>
        <w:rPr>
          <w:rFonts w:ascii="Arial" w:hAnsi="Arial" w:cs="Arial" w:eastAsia="Arial" w:hint="default"/>
        </w:rPr>
        <w:t>2008</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59"/>
        </w:rPr>
        <w:t> </w:t>
      </w:r>
      <w:r>
        <w:rPr>
          <w:rFonts w:ascii="Arial" w:hAnsi="Arial" w:cs="Arial" w:eastAsia="Arial" w:hint="default"/>
        </w:rPr>
        <w:t>31</w:t>
      </w:r>
      <w:r>
        <w:rPr>
          <w:rFonts w:ascii="Arial" w:hAnsi="Arial" w:cs="Arial" w:eastAsia="Arial" w:hint="default"/>
          <w:spacing w:val="-7"/>
        </w:rPr>
        <w:t> </w:t>
      </w:r>
      <w:r>
        <w:rPr>
          <w:spacing w:val="-3"/>
        </w:rPr>
        <w:t>日，张近东先生直接持有本公司</w:t>
      </w:r>
      <w:r>
        <w:rPr>
          <w:spacing w:val="-60"/>
        </w:rPr>
        <w:t> </w:t>
      </w:r>
      <w:r>
        <w:rPr>
          <w:rFonts w:ascii="Arial" w:hAnsi="Arial" w:cs="Arial" w:eastAsia="Arial" w:hint="default"/>
          <w:spacing w:val="-3"/>
        </w:rPr>
        <w:t>28.61%</w:t>
      </w:r>
      <w:r>
        <w:rPr>
          <w:spacing w:val="-3"/>
        </w:rPr>
        <w:t>的股份，同时持有江苏</w:t>
      </w:r>
      <w:r>
        <w:rPr/>
        <w:t> 苏宁电器集团有限公司</w:t>
      </w:r>
      <w:r>
        <w:rPr>
          <w:spacing w:val="-63"/>
        </w:rPr>
        <w:t> </w:t>
      </w:r>
      <w:r>
        <w:rPr>
          <w:rFonts w:ascii="Arial" w:hAnsi="Arial" w:cs="Arial" w:eastAsia="Arial" w:hint="default"/>
        </w:rPr>
        <w:t>28%</w:t>
      </w:r>
      <w:r>
        <w:rPr/>
        <w:t>的股权。</w:t>
      </w:r>
    </w:p>
    <w:p>
      <w:pPr>
        <w:spacing w:after="0" w:line="312" w:lineRule="exact"/>
        <w:jc w:val="left"/>
        <w:sectPr>
          <w:type w:val="continuous"/>
          <w:pgSz w:w="11910" w:h="16840"/>
          <w:pgMar w:top="1600" w:bottom="280" w:left="940" w:right="860"/>
        </w:sectPr>
      </w:pPr>
    </w:p>
    <w:p>
      <w:pPr>
        <w:spacing w:line="240" w:lineRule="auto" w:before="0"/>
        <w:rPr>
          <w:rFonts w:ascii="宋体" w:hAnsi="宋体" w:cs="宋体" w:eastAsia="宋体" w:hint="default"/>
          <w:sz w:val="20"/>
          <w:szCs w:val="20"/>
        </w:rPr>
      </w:pPr>
    </w:p>
    <w:p>
      <w:pPr>
        <w:pStyle w:val="Heading2"/>
        <w:tabs>
          <w:tab w:pos="810" w:val="left" w:leader="none"/>
        </w:tabs>
        <w:spacing w:line="240" w:lineRule="auto" w:before="158"/>
        <w:ind w:right="34"/>
        <w:jc w:val="left"/>
        <w:rPr>
          <w:rFonts w:ascii="Arial" w:hAnsi="Arial" w:cs="Arial" w:eastAsia="Arial" w:hint="default"/>
          <w:b w:val="0"/>
          <w:bCs w:val="0"/>
        </w:rPr>
      </w:pPr>
      <w:r>
        <w:rPr>
          <w:w w:val="95"/>
        </w:rPr>
        <w:t>八</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6"/>
        <w:rPr>
          <w:rFonts w:ascii="Arial" w:hAnsi="Arial" w:cs="Arial" w:eastAsia="Arial" w:hint="default"/>
          <w:b/>
          <w:bCs/>
          <w:sz w:val="16"/>
          <w:szCs w:val="16"/>
        </w:rPr>
      </w:pPr>
    </w:p>
    <w:p>
      <w:pPr>
        <w:tabs>
          <w:tab w:pos="811" w:val="left" w:leader="none"/>
        </w:tabs>
        <w:spacing w:line="313" w:lineRule="exact" w:before="32"/>
        <w:ind w:left="102" w:right="34"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不存在控制关系的关联方的性质</w:t>
      </w:r>
      <w:r>
        <w:rPr>
          <w:rFonts w:ascii="宋体" w:hAnsi="宋体" w:cs="宋体" w:eastAsia="宋体" w:hint="default"/>
          <w:sz w:val="24"/>
          <w:szCs w:val="24"/>
        </w:rPr>
      </w:r>
    </w:p>
    <w:p>
      <w:pPr>
        <w:pStyle w:val="BodyText"/>
        <w:spacing w:line="313" w:lineRule="exact"/>
        <w:ind w:left="0" w:right="201"/>
        <w:jc w:val="right"/>
      </w:pPr>
      <w:r>
        <w:rPr/>
      </w:r>
      <w:r>
        <w:rPr>
          <w:u w:val="single" w:color="000000"/>
        </w:rPr>
        <w:t>与本集团的关系</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2" w:footer="707" w:top="1020" w:bottom="900" w:left="940" w:right="780"/>
        </w:sectPr>
      </w:pPr>
    </w:p>
    <w:p>
      <w:pPr>
        <w:pStyle w:val="BodyText"/>
        <w:spacing w:line="313" w:lineRule="exact" w:before="26"/>
        <w:ind w:left="811" w:right="-19"/>
        <w:jc w:val="left"/>
      </w:pPr>
      <w:r>
        <w:rPr/>
        <w:t>江苏苏宁环球集团有限公司</w:t>
      </w:r>
    </w:p>
    <w:p>
      <w:pPr>
        <w:pStyle w:val="BodyText"/>
        <w:spacing w:line="321" w:lineRule="exact"/>
        <w:ind w:left="991" w:right="-19"/>
        <w:jc w:val="left"/>
        <w:rPr>
          <w:rFonts w:ascii="Arial" w:hAnsi="Arial" w:cs="Arial" w:eastAsia="Arial" w:hint="default"/>
        </w:rPr>
      </w:pPr>
      <w:r>
        <w:rPr>
          <w:rFonts w:ascii="Arial" w:hAnsi="Arial" w:cs="Arial" w:eastAsia="Arial" w:hint="default"/>
        </w:rPr>
        <w:t>(“</w:t>
      </w:r>
      <w:r>
        <w:rPr/>
        <w:t>环球集团</w:t>
      </w:r>
      <w:r>
        <w:rPr>
          <w:rFonts w:ascii="Arial" w:hAnsi="Arial" w:cs="Arial" w:eastAsia="Arial" w:hint="default"/>
        </w:rPr>
        <w:t>”)</w:t>
      </w:r>
    </w:p>
    <w:p>
      <w:pPr>
        <w:pStyle w:val="BodyText"/>
        <w:spacing w:line="312" w:lineRule="exact" w:before="21"/>
        <w:ind w:left="991" w:right="-19" w:hanging="180"/>
        <w:jc w:val="left"/>
      </w:pPr>
      <w:r>
        <w:rPr>
          <w:spacing w:val="11"/>
        </w:rPr>
        <w:t>南京钟山国际高尔夫置业有限公司 </w:t>
      </w:r>
      <w:r>
        <w:rPr/>
        <w:t>索菲特钟山高尔夫酒店</w:t>
      </w:r>
    </w:p>
    <w:p>
      <w:pPr>
        <w:pStyle w:val="BodyText"/>
        <w:spacing w:line="291" w:lineRule="exact"/>
        <w:ind w:left="1153" w:right="1864"/>
        <w:jc w:val="center"/>
        <w:rPr>
          <w:rFonts w:ascii="Arial" w:hAnsi="Arial" w:cs="Arial" w:eastAsia="Arial" w:hint="default"/>
        </w:rPr>
      </w:pPr>
      <w:r>
        <w:rPr>
          <w:rFonts w:ascii="Arial" w:hAnsi="Arial" w:cs="Arial" w:eastAsia="Arial" w:hint="default"/>
        </w:rPr>
        <w:t>(“</w:t>
      </w:r>
      <w:r>
        <w:rPr/>
        <w:t>索菲特酒店</w:t>
      </w:r>
      <w:r>
        <w:rPr>
          <w:rFonts w:ascii="Arial" w:hAnsi="Arial" w:cs="Arial" w:eastAsia="Arial" w:hint="default"/>
        </w:rPr>
        <w:t>”)</w:t>
      </w:r>
    </w:p>
    <w:p>
      <w:pPr>
        <w:pStyle w:val="BodyText"/>
        <w:spacing w:line="312" w:lineRule="exact" w:before="21"/>
        <w:ind w:left="991" w:right="-19" w:hanging="180"/>
        <w:jc w:val="left"/>
        <w:rPr>
          <w:rFonts w:ascii="Arial" w:hAnsi="Arial" w:cs="Arial" w:eastAsia="Arial" w:hint="default"/>
        </w:rPr>
      </w:pPr>
      <w:r>
        <w:rPr>
          <w:spacing w:val="11"/>
        </w:rPr>
        <w:t>江苏苏宁银河国际购物广场有限公 </w:t>
      </w:r>
      <w:r>
        <w:rPr/>
        <w:t>司</w:t>
      </w:r>
      <w:r>
        <w:rPr>
          <w:rFonts w:ascii="Arial" w:hAnsi="Arial" w:cs="Arial" w:eastAsia="Arial" w:hint="default"/>
        </w:rPr>
        <w:t>(“</w:t>
      </w:r>
      <w:r>
        <w:rPr/>
        <w:t>银河国际</w:t>
      </w:r>
      <w:r>
        <w:rPr>
          <w:rFonts w:ascii="Arial" w:hAnsi="Arial" w:cs="Arial" w:eastAsia="Arial" w:hint="default"/>
        </w:rPr>
        <w:t>”)</w:t>
      </w:r>
    </w:p>
    <w:p>
      <w:pPr>
        <w:pStyle w:val="BodyText"/>
        <w:spacing w:line="282" w:lineRule="exact"/>
        <w:ind w:left="811" w:right="-19"/>
        <w:jc w:val="left"/>
      </w:pPr>
      <w:r>
        <w:rPr/>
        <w:t>江苏苏宁银河酒店管理有限公司</w:t>
      </w:r>
    </w:p>
    <w:p>
      <w:pPr>
        <w:pStyle w:val="BodyText"/>
        <w:spacing w:line="330" w:lineRule="exact"/>
        <w:ind w:left="1000" w:right="-19"/>
        <w:jc w:val="left"/>
        <w:rPr>
          <w:rFonts w:ascii="Arial" w:hAnsi="Arial" w:cs="Arial" w:eastAsia="Arial" w:hint="default"/>
        </w:rPr>
      </w:pPr>
      <w:r>
        <w:rPr>
          <w:rFonts w:ascii="Arial" w:hAnsi="Arial" w:cs="Arial" w:eastAsia="Arial" w:hint="default"/>
        </w:rPr>
        <w:t>(“</w:t>
      </w:r>
      <w:r>
        <w:rPr/>
        <w:t>银河酒店管理</w:t>
      </w:r>
      <w:r>
        <w:rPr>
          <w:rFonts w:ascii="Arial" w:hAnsi="Arial" w:cs="Arial" w:eastAsia="Arial" w:hint="default"/>
        </w:rPr>
        <w:t>”)</w:t>
      </w:r>
    </w:p>
    <w:p>
      <w:pPr>
        <w:pStyle w:val="BodyText"/>
        <w:spacing w:line="477" w:lineRule="auto" w:before="26"/>
        <w:ind w:left="1051" w:right="184"/>
        <w:jc w:val="left"/>
      </w:pPr>
      <w:r>
        <w:rPr/>
        <w:br w:type="column"/>
      </w:r>
      <w:r>
        <w:rPr/>
        <w:t>法定代表人系张近东先生家庭成员 实际控制人系张近东先生家庭成员</w:t>
      </w:r>
    </w:p>
    <w:p>
      <w:pPr>
        <w:spacing w:line="240" w:lineRule="auto" w:before="9"/>
        <w:rPr>
          <w:rFonts w:ascii="宋体" w:hAnsi="宋体" w:cs="宋体" w:eastAsia="宋体" w:hint="default"/>
          <w:sz w:val="31"/>
          <w:szCs w:val="31"/>
        </w:rPr>
      </w:pPr>
    </w:p>
    <w:p>
      <w:pPr>
        <w:pStyle w:val="BodyText"/>
        <w:spacing w:line="312" w:lineRule="exact"/>
        <w:ind w:left="811" w:right="184" w:firstLine="2079"/>
        <w:jc w:val="left"/>
      </w:pPr>
      <w:r>
        <w:rPr/>
        <w:t>本公司控股股东</w:t>
      </w:r>
      <w:r>
        <w:rPr>
          <w:rFonts w:ascii="Arial" w:hAnsi="Arial" w:cs="Arial" w:eastAsia="Arial" w:hint="default"/>
        </w:rPr>
        <w:t>- </w:t>
      </w:r>
      <w:r>
        <w:rPr/>
        <w:t>江苏苏宁电器集团有限公司的子公司</w:t>
      </w:r>
    </w:p>
    <w:p>
      <w:pPr>
        <w:pStyle w:val="BodyText"/>
        <w:spacing w:line="312" w:lineRule="exact"/>
        <w:ind w:left="811" w:right="184" w:firstLine="2079"/>
        <w:jc w:val="left"/>
      </w:pPr>
      <w:r>
        <w:rPr/>
        <w:t>本公司控股股东</w:t>
      </w:r>
      <w:r>
        <w:rPr>
          <w:rFonts w:ascii="Arial" w:hAnsi="Arial" w:cs="Arial" w:eastAsia="Arial" w:hint="default"/>
        </w:rPr>
        <w:t>- </w:t>
      </w:r>
      <w:r>
        <w:rPr/>
        <w:t>江苏苏宁电器集团有限公司的子公司</w:t>
      </w:r>
    </w:p>
    <w:p>
      <w:pPr>
        <w:spacing w:after="0" w:line="312" w:lineRule="exact"/>
        <w:jc w:val="left"/>
        <w:sectPr>
          <w:type w:val="continuous"/>
          <w:pgSz w:w="11910" w:h="16840"/>
          <w:pgMar w:top="1600" w:bottom="280" w:left="940" w:right="780"/>
          <w:cols w:num="2" w:equalWidth="0">
            <w:col w:w="4578" w:space="751"/>
            <w:col w:w="4861"/>
          </w:cols>
        </w:sectPr>
      </w:pPr>
    </w:p>
    <w:p>
      <w:pPr>
        <w:spacing w:line="240" w:lineRule="auto" w:before="4"/>
        <w:rPr>
          <w:rFonts w:ascii="宋体" w:hAnsi="宋体" w:cs="宋体" w:eastAsia="宋体" w:hint="default"/>
          <w:sz w:val="16"/>
          <w:szCs w:val="16"/>
        </w:rPr>
      </w:pPr>
    </w:p>
    <w:p>
      <w:pPr>
        <w:tabs>
          <w:tab w:pos="811" w:val="left" w:leader="none"/>
        </w:tabs>
        <w:spacing w:before="32"/>
        <w:ind w:left="102" w:right="34"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关联交易</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tabs>
          <w:tab w:pos="811" w:val="left" w:leader="none"/>
        </w:tabs>
        <w:spacing w:line="240" w:lineRule="auto"/>
        <w:ind w:left="102" w:right="34"/>
        <w:jc w:val="left"/>
      </w:pPr>
      <w:r>
        <w:rPr>
          <w:rFonts w:ascii="Arial" w:hAnsi="Arial" w:cs="Arial" w:eastAsia="Arial" w:hint="default"/>
          <w:w w:val="95"/>
        </w:rPr>
        <w:t>(a)</w:t>
        <w:tab/>
      </w:r>
      <w:r>
        <w:rPr>
          <w:position w:val="2"/>
        </w:rPr>
        <w:t>租赁协议</w:t>
      </w:r>
      <w:r>
        <w:rPr/>
      </w:r>
    </w:p>
    <w:p>
      <w:pPr>
        <w:spacing w:line="240" w:lineRule="auto" w:before="3"/>
        <w:rPr>
          <w:rFonts w:ascii="宋体" w:hAnsi="宋体" w:cs="宋体" w:eastAsia="宋体" w:hint="default"/>
          <w:sz w:val="18"/>
          <w:szCs w:val="18"/>
        </w:rPr>
      </w:pPr>
    </w:p>
    <w:p>
      <w:pPr>
        <w:pStyle w:val="BodyText"/>
        <w:spacing w:line="322" w:lineRule="exact"/>
        <w:ind w:left="811" w:right="34"/>
        <w:jc w:val="left"/>
      </w:pP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4"/>
        </w:rPr>
        <w:t> </w:t>
      </w:r>
      <w:r>
        <w:rPr/>
        <w:t>于</w:t>
      </w:r>
      <w:r>
        <w:rPr>
          <w:spacing w:val="-41"/>
        </w:rPr>
        <w:t> </w:t>
      </w:r>
      <w:r>
        <w:rPr>
          <w:rFonts w:ascii="Arial" w:hAnsi="Arial" w:cs="Arial" w:eastAsia="Arial" w:hint="default"/>
          <w:spacing w:val="-1"/>
          <w:w w:val="99"/>
        </w:rPr>
        <w:t>200</w:t>
      </w:r>
      <w:r>
        <w:rPr>
          <w:rFonts w:ascii="Arial" w:hAnsi="Arial" w:cs="Arial" w:eastAsia="Arial" w:hint="default"/>
          <w:w w:val="99"/>
        </w:rPr>
        <w:t>2</w:t>
      </w:r>
      <w:r>
        <w:rPr>
          <w:rFonts w:ascii="Arial" w:hAnsi="Arial" w:cs="Arial" w:eastAsia="Arial" w:hint="default"/>
          <w:spacing w:val="12"/>
        </w:rPr>
        <w:t> </w:t>
      </w:r>
      <w:r>
        <w:rPr/>
        <w:t>年</w:t>
      </w:r>
      <w:r>
        <w:rPr>
          <w:spacing w:val="-41"/>
        </w:rPr>
        <w:t> </w:t>
      </w:r>
      <w:r>
        <w:rPr>
          <w:rFonts w:ascii="Arial" w:hAnsi="Arial" w:cs="Arial" w:eastAsia="Arial" w:hint="default"/>
          <w:w w:val="99"/>
        </w:rPr>
        <w:t>3</w:t>
      </w:r>
      <w:r>
        <w:rPr>
          <w:rFonts w:ascii="Arial" w:hAnsi="Arial" w:cs="Arial" w:eastAsia="Arial" w:hint="default"/>
          <w:spacing w:val="12"/>
        </w:rPr>
        <w:t> </w:t>
      </w:r>
      <w:r>
        <w:rPr/>
        <w:t>月</w:t>
      </w:r>
      <w:r>
        <w:rPr>
          <w:spacing w:val="-41"/>
        </w:rPr>
        <w:t> </w:t>
      </w:r>
      <w:r>
        <w:rPr>
          <w:rFonts w:ascii="Arial" w:hAnsi="Arial" w:cs="Arial" w:eastAsia="Arial" w:hint="default"/>
          <w:spacing w:val="-2"/>
          <w:w w:val="99"/>
        </w:rPr>
        <w:t>2</w:t>
      </w:r>
      <w:r>
        <w:rPr>
          <w:rFonts w:ascii="Arial" w:hAnsi="Arial" w:cs="Arial" w:eastAsia="Arial" w:hint="default"/>
          <w:w w:val="99"/>
        </w:rPr>
        <w:t>8</w:t>
      </w:r>
      <w:r>
        <w:rPr>
          <w:rFonts w:ascii="Arial" w:hAnsi="Arial" w:cs="Arial" w:eastAsia="Arial" w:hint="default"/>
          <w:spacing w:val="12"/>
        </w:rPr>
        <w:t> </w:t>
      </w:r>
      <w:r>
        <w:rPr/>
        <w:t>日，本公司签署《房屋租赁合同</w:t>
      </w:r>
      <w:r>
        <w:rPr>
          <w:spacing w:val="-120"/>
        </w:rPr>
        <w:t>》</w:t>
      </w:r>
      <w:r>
        <w:rPr/>
        <w:t>，承租江苏苏宁电器集团有限</w:t>
      </w:r>
    </w:p>
    <w:p>
      <w:pPr>
        <w:pStyle w:val="BodyText"/>
        <w:spacing w:line="312" w:lineRule="exact"/>
        <w:ind w:left="811" w:right="34"/>
        <w:jc w:val="left"/>
      </w:pPr>
      <w:r>
        <w:rPr/>
        <w:t>公司位于南京市淮海路</w:t>
      </w:r>
      <w:r>
        <w:rPr>
          <w:spacing w:val="-67"/>
        </w:rPr>
        <w:t> </w:t>
      </w:r>
      <w:r>
        <w:rPr>
          <w:rFonts w:ascii="Arial" w:hAnsi="Arial" w:cs="Arial" w:eastAsia="Arial" w:hint="default"/>
        </w:rPr>
        <w:t>68</w:t>
      </w:r>
      <w:r>
        <w:rPr>
          <w:rFonts w:ascii="Arial" w:hAnsi="Arial" w:cs="Arial" w:eastAsia="Arial" w:hint="default"/>
          <w:spacing w:val="-14"/>
        </w:rPr>
        <w:t> </w:t>
      </w:r>
      <w:r>
        <w:rPr/>
        <w:t>号的苏宁电器大厦，租赁面积约为</w:t>
      </w:r>
      <w:r>
        <w:rPr>
          <w:spacing w:val="-67"/>
        </w:rPr>
        <w:t> </w:t>
      </w:r>
      <w:r>
        <w:rPr>
          <w:rFonts w:ascii="Arial" w:hAnsi="Arial" w:cs="Arial" w:eastAsia="Arial" w:hint="default"/>
        </w:rPr>
        <w:t>12,000</w:t>
      </w:r>
      <w:r>
        <w:rPr>
          <w:rFonts w:ascii="Arial" w:hAnsi="Arial" w:cs="Arial" w:eastAsia="Arial" w:hint="default"/>
          <w:spacing w:val="-14"/>
        </w:rPr>
        <w:t> </w:t>
      </w:r>
      <w:r>
        <w:rPr/>
        <w:t>平方米做为商场和</w:t>
      </w:r>
    </w:p>
    <w:p>
      <w:pPr>
        <w:pStyle w:val="BodyText"/>
        <w:spacing w:line="312" w:lineRule="exact" w:before="21"/>
        <w:ind w:left="812" w:right="34"/>
        <w:jc w:val="left"/>
      </w:pPr>
      <w:r>
        <w:rPr/>
        <w:t>办公用房，租赁期自</w:t>
      </w:r>
      <w:r>
        <w:rPr>
          <w:spacing w:val="-54"/>
        </w:rPr>
        <w:t> </w:t>
      </w:r>
      <w:r>
        <w:rPr>
          <w:rFonts w:ascii="Arial" w:hAnsi="Arial" w:cs="Arial" w:eastAsia="Arial" w:hint="default"/>
        </w:rPr>
        <w:t>2002</w:t>
      </w:r>
      <w:r>
        <w:rPr>
          <w:rFonts w:ascii="Arial" w:hAnsi="Arial" w:cs="Arial" w:eastAsia="Arial" w:hint="default"/>
          <w:spacing w:val="-1"/>
        </w:rPr>
        <w:t> </w:t>
      </w:r>
      <w:r>
        <w:rPr/>
        <w:t>年</w:t>
      </w:r>
      <w:r>
        <w:rPr>
          <w:spacing w:val="-54"/>
        </w:rPr>
        <w:t> </w:t>
      </w:r>
      <w:r>
        <w:rPr>
          <w:rFonts w:ascii="Arial" w:hAnsi="Arial" w:cs="Arial" w:eastAsia="Arial" w:hint="default"/>
        </w:rPr>
        <w:t>1 </w:t>
      </w:r>
      <w:r>
        <w:rPr/>
        <w:t>月</w:t>
      </w:r>
      <w:r>
        <w:rPr>
          <w:spacing w:val="-54"/>
        </w:rPr>
        <w:t> </w:t>
      </w:r>
      <w:r>
        <w:rPr>
          <w:rFonts w:ascii="Arial" w:hAnsi="Arial" w:cs="Arial" w:eastAsia="Arial" w:hint="default"/>
        </w:rPr>
        <w:t>1</w:t>
      </w:r>
      <w:r>
        <w:rPr>
          <w:rFonts w:ascii="Arial" w:hAnsi="Arial" w:cs="Arial" w:eastAsia="Arial" w:hint="default"/>
          <w:spacing w:val="-1"/>
        </w:rPr>
        <w:t> </w:t>
      </w:r>
      <w:r>
        <w:rPr/>
        <w:t>日起至</w:t>
      </w:r>
      <w:r>
        <w:rPr>
          <w:spacing w:val="-54"/>
        </w:rPr>
        <w:t> </w:t>
      </w:r>
      <w:r>
        <w:rPr>
          <w:rFonts w:ascii="Arial" w:hAnsi="Arial" w:cs="Arial" w:eastAsia="Arial" w:hint="default"/>
          <w:spacing w:val="-6"/>
        </w:rPr>
        <w:t>2011</w:t>
      </w:r>
      <w:r>
        <w:rPr>
          <w:rFonts w:ascii="Arial" w:hAnsi="Arial" w:cs="Arial" w:eastAsia="Arial" w:hint="default"/>
        </w:rPr>
        <w:t> </w:t>
      </w:r>
      <w:r>
        <w:rPr/>
        <w:t>年</w:t>
      </w:r>
      <w:r>
        <w:rPr>
          <w:spacing w:val="-53"/>
        </w:rPr>
        <w:t> </w:t>
      </w:r>
      <w:r>
        <w:rPr>
          <w:rFonts w:ascii="Arial" w:hAnsi="Arial" w:cs="Arial" w:eastAsia="Arial" w:hint="default"/>
        </w:rPr>
        <w:t>12</w:t>
      </w:r>
      <w:r>
        <w:rPr>
          <w:rFonts w:ascii="Arial" w:hAnsi="Arial" w:cs="Arial" w:eastAsia="Arial" w:hint="default"/>
          <w:spacing w:val="-1"/>
        </w:rPr>
        <w:t> </w:t>
      </w:r>
      <w:r>
        <w:rPr/>
        <w:t>月</w:t>
      </w:r>
      <w:r>
        <w:rPr>
          <w:spacing w:val="-54"/>
        </w:rPr>
        <w:t> </w:t>
      </w:r>
      <w:r>
        <w:rPr>
          <w:rFonts w:ascii="Arial" w:hAnsi="Arial" w:cs="Arial" w:eastAsia="Arial" w:hint="default"/>
        </w:rPr>
        <w:t>31</w:t>
      </w:r>
      <w:r>
        <w:rPr>
          <w:rFonts w:ascii="Arial" w:hAnsi="Arial" w:cs="Arial" w:eastAsia="Arial" w:hint="default"/>
          <w:spacing w:val="-1"/>
        </w:rPr>
        <w:t> </w:t>
      </w:r>
      <w:r>
        <w:rPr/>
        <w:t>日止，第一年租金为人民 币</w:t>
      </w:r>
      <w:r>
        <w:rPr>
          <w:spacing w:val="-62"/>
        </w:rPr>
        <w:t> </w:t>
      </w:r>
      <w:r>
        <w:rPr>
          <w:rFonts w:ascii="Arial" w:hAnsi="Arial" w:cs="Arial" w:eastAsia="Arial" w:hint="default"/>
        </w:rPr>
        <w:t>1,200</w:t>
      </w:r>
      <w:r>
        <w:rPr>
          <w:rFonts w:ascii="Arial" w:hAnsi="Arial" w:cs="Arial" w:eastAsia="Arial" w:hint="default"/>
          <w:spacing w:val="-9"/>
        </w:rPr>
        <w:t> </w:t>
      </w:r>
      <w:r>
        <w:rPr/>
        <w:t>万元，以后每年递增</w:t>
      </w:r>
      <w:r>
        <w:rPr>
          <w:spacing w:val="-62"/>
        </w:rPr>
        <w:t> </w:t>
      </w:r>
      <w:r>
        <w:rPr>
          <w:rFonts w:ascii="Arial" w:hAnsi="Arial" w:cs="Arial" w:eastAsia="Arial" w:hint="default"/>
        </w:rPr>
        <w:t>2%</w:t>
      </w:r>
      <w:r>
        <w:rPr/>
        <w:t>。</w:t>
      </w:r>
    </w:p>
    <w:p>
      <w:pPr>
        <w:spacing w:line="240" w:lineRule="auto" w:before="10"/>
        <w:rPr>
          <w:rFonts w:ascii="宋体" w:hAnsi="宋体" w:cs="宋体" w:eastAsia="宋体" w:hint="default"/>
          <w:sz w:val="18"/>
          <w:szCs w:val="18"/>
        </w:rPr>
      </w:pPr>
    </w:p>
    <w:p>
      <w:pPr>
        <w:pStyle w:val="BodyText"/>
        <w:spacing w:line="322" w:lineRule="exact"/>
        <w:ind w:left="812" w:right="34"/>
        <w:jc w:val="left"/>
      </w:pPr>
      <w:r>
        <w:rPr>
          <w:rFonts w:ascii="Arial" w:hAnsi="Arial" w:cs="Arial" w:eastAsia="Arial" w:hint="default"/>
        </w:rPr>
        <w:t>(2)</w:t>
      </w:r>
      <w:r>
        <w:rPr>
          <w:rFonts w:ascii="Arial" w:hAnsi="Arial" w:cs="Arial" w:eastAsia="Arial" w:hint="default"/>
          <w:spacing w:val="47"/>
        </w:rPr>
        <w:t> </w:t>
      </w:r>
      <w:r>
        <w:rPr/>
        <w:t>于</w:t>
      </w:r>
      <w:r>
        <w:rPr>
          <w:spacing w:val="-60"/>
        </w:rPr>
        <w:t> </w:t>
      </w:r>
      <w:r>
        <w:rPr>
          <w:rFonts w:ascii="Arial" w:hAnsi="Arial" w:cs="Arial" w:eastAsia="Arial" w:hint="default"/>
        </w:rPr>
        <w:t>2004</w:t>
      </w:r>
      <w:r>
        <w:rPr>
          <w:rFonts w:ascii="Arial" w:hAnsi="Arial" w:cs="Arial" w:eastAsia="Arial" w:hint="default"/>
          <w:spacing w:val="-7"/>
        </w:rPr>
        <w:t> </w:t>
      </w:r>
      <w:r>
        <w:rPr/>
        <w:t>年</w:t>
      </w:r>
      <w:r>
        <w:rPr>
          <w:spacing w:val="-60"/>
        </w:rPr>
        <w:t> </w:t>
      </w:r>
      <w:r>
        <w:rPr>
          <w:rFonts w:ascii="Arial" w:hAnsi="Arial" w:cs="Arial" w:eastAsia="Arial" w:hint="default"/>
        </w:rPr>
        <w:t>8</w:t>
      </w:r>
      <w:r>
        <w:rPr>
          <w:rFonts w:ascii="Arial" w:hAnsi="Arial" w:cs="Arial" w:eastAsia="Arial" w:hint="default"/>
          <w:spacing w:val="-7"/>
        </w:rPr>
        <w:t> </w:t>
      </w:r>
      <w:r>
        <w:rPr/>
        <w:t>月</w:t>
      </w:r>
      <w:r>
        <w:rPr>
          <w:spacing w:val="-60"/>
        </w:rPr>
        <w:t> </w:t>
      </w:r>
      <w:r>
        <w:rPr>
          <w:rFonts w:ascii="Arial" w:hAnsi="Arial" w:cs="Arial" w:eastAsia="Arial" w:hint="default"/>
        </w:rPr>
        <w:t>2</w:t>
      </w:r>
      <w:r>
        <w:rPr>
          <w:rFonts w:ascii="Arial" w:hAnsi="Arial" w:cs="Arial" w:eastAsia="Arial" w:hint="default"/>
          <w:spacing w:val="-6"/>
        </w:rPr>
        <w:t> </w:t>
      </w:r>
      <w:r>
        <w:rPr>
          <w:spacing w:val="-4"/>
        </w:rPr>
        <w:t>日，本公司与江苏苏宁电器集团有限公司签订了《房屋租赁补充协</w:t>
      </w:r>
    </w:p>
    <w:p>
      <w:pPr>
        <w:pStyle w:val="BodyText"/>
        <w:spacing w:line="312" w:lineRule="exact"/>
        <w:ind w:left="812" w:right="34"/>
        <w:jc w:val="left"/>
      </w:pPr>
      <w:r>
        <w:rPr/>
        <w:t>议</w:t>
      </w:r>
      <w:r>
        <w:rPr>
          <w:spacing w:val="-120"/>
        </w:rPr>
        <w:t>》</w:t>
      </w:r>
      <w:r>
        <w:rPr>
          <w:spacing w:val="-30"/>
        </w:rPr>
        <w:t>，</w:t>
      </w:r>
      <w:r>
        <w:rPr/>
        <w:t>增租苏宁电器大厦共计约</w:t>
      </w:r>
      <w:r>
        <w:rPr>
          <w:spacing w:val="-60"/>
        </w:rPr>
        <w:t> </w:t>
      </w:r>
      <w:r>
        <w:rPr>
          <w:rFonts w:ascii="Arial" w:hAnsi="Arial" w:cs="Arial" w:eastAsia="Arial" w:hint="default"/>
          <w:spacing w:val="-1"/>
          <w:w w:val="99"/>
        </w:rPr>
        <w:t>4,40</w:t>
      </w:r>
      <w:r>
        <w:rPr>
          <w:rFonts w:ascii="Arial" w:hAnsi="Arial" w:cs="Arial" w:eastAsia="Arial" w:hint="default"/>
          <w:w w:val="99"/>
        </w:rPr>
        <w:t>0</w:t>
      </w:r>
      <w:r>
        <w:rPr>
          <w:rFonts w:ascii="Arial" w:hAnsi="Arial" w:cs="Arial" w:eastAsia="Arial" w:hint="default"/>
          <w:spacing w:val="-7"/>
        </w:rPr>
        <w:t> </w:t>
      </w:r>
      <w:r>
        <w:rPr/>
        <w:t>平方米的建筑面积</w:t>
      </w:r>
      <w:r>
        <w:rPr>
          <w:spacing w:val="-30"/>
        </w:rPr>
        <w:t>，</w:t>
      </w:r>
      <w:r>
        <w:rPr/>
        <w:t>租赁期自</w:t>
      </w:r>
      <w:r>
        <w:rPr>
          <w:spacing w:val="-60"/>
        </w:rPr>
        <w:t> </w:t>
      </w:r>
      <w:r>
        <w:rPr>
          <w:rFonts w:ascii="Arial" w:hAnsi="Arial" w:cs="Arial" w:eastAsia="Arial" w:hint="default"/>
          <w:spacing w:val="-1"/>
          <w:w w:val="99"/>
        </w:rPr>
        <w:t>200</w:t>
      </w:r>
      <w:r>
        <w:rPr>
          <w:rFonts w:ascii="Arial" w:hAnsi="Arial" w:cs="Arial" w:eastAsia="Arial" w:hint="default"/>
          <w:w w:val="99"/>
        </w:rPr>
        <w:t>4</w:t>
      </w:r>
      <w:r>
        <w:rPr>
          <w:rFonts w:ascii="Arial" w:hAnsi="Arial" w:cs="Arial" w:eastAsia="Arial" w:hint="default"/>
          <w:spacing w:val="-7"/>
        </w:rPr>
        <w:t> </w:t>
      </w:r>
      <w:r>
        <w:rPr/>
        <w:t>年</w:t>
      </w:r>
      <w:r>
        <w:rPr>
          <w:spacing w:val="-59"/>
        </w:rPr>
        <w:t> </w:t>
      </w:r>
      <w:r>
        <w:rPr>
          <w:rFonts w:ascii="Arial" w:hAnsi="Arial" w:cs="Arial" w:eastAsia="Arial" w:hint="default"/>
          <w:w w:val="99"/>
        </w:rPr>
        <w:t>9</w:t>
      </w:r>
      <w:r>
        <w:rPr>
          <w:rFonts w:ascii="Arial" w:hAnsi="Arial" w:cs="Arial" w:eastAsia="Arial" w:hint="default"/>
          <w:spacing w:val="-7"/>
        </w:rPr>
        <w:t> </w:t>
      </w:r>
      <w:r>
        <w:rPr/>
        <w:t>月</w:t>
      </w:r>
      <w:r>
        <w:rPr>
          <w:spacing w:val="-60"/>
        </w:rPr>
        <w:t> </w:t>
      </w:r>
      <w:r>
        <w:rPr>
          <w:rFonts w:ascii="Arial" w:hAnsi="Arial" w:cs="Arial" w:eastAsia="Arial" w:hint="default"/>
          <w:w w:val="99"/>
        </w:rPr>
        <w:t>1</w:t>
      </w:r>
      <w:r>
        <w:rPr>
          <w:rFonts w:ascii="Arial" w:hAnsi="Arial" w:cs="Arial" w:eastAsia="Arial" w:hint="default"/>
          <w:spacing w:val="-7"/>
        </w:rPr>
        <w:t> </w:t>
      </w:r>
      <w:r>
        <w:rPr/>
        <w:t>日起</w:t>
      </w:r>
    </w:p>
    <w:p>
      <w:pPr>
        <w:pStyle w:val="BodyText"/>
        <w:spacing w:line="322" w:lineRule="exact"/>
        <w:ind w:left="812" w:right="34"/>
        <w:jc w:val="left"/>
      </w:pPr>
      <w:r>
        <w:rPr/>
        <w:t>至</w:t>
      </w:r>
      <w:r>
        <w:rPr>
          <w:spacing w:val="-61"/>
        </w:rPr>
        <w:t> </w:t>
      </w:r>
      <w:r>
        <w:rPr>
          <w:rFonts w:ascii="Arial" w:hAnsi="Arial" w:cs="Arial" w:eastAsia="Arial" w:hint="default"/>
          <w:spacing w:val="-6"/>
        </w:rPr>
        <w:t>2011</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日止，第一年租金总额人民币</w:t>
      </w:r>
      <w:r>
        <w:rPr>
          <w:spacing w:val="-61"/>
        </w:rPr>
        <w:t> </w:t>
      </w:r>
      <w:r>
        <w:rPr>
          <w:rFonts w:ascii="Arial" w:hAnsi="Arial" w:cs="Arial" w:eastAsia="Arial" w:hint="default"/>
        </w:rPr>
        <w:t>320</w:t>
      </w:r>
      <w:r>
        <w:rPr>
          <w:rFonts w:ascii="Arial" w:hAnsi="Arial" w:cs="Arial" w:eastAsia="Arial" w:hint="default"/>
          <w:spacing w:val="-7"/>
        </w:rPr>
        <w:t> </w:t>
      </w:r>
      <w:r>
        <w:rPr/>
        <w:t>万元，以后每年递增</w:t>
      </w:r>
      <w:r>
        <w:rPr>
          <w:spacing w:val="-61"/>
        </w:rPr>
        <w:t> </w:t>
      </w:r>
      <w:r>
        <w:rPr>
          <w:rFonts w:ascii="Arial" w:hAnsi="Arial" w:cs="Arial" w:eastAsia="Arial" w:hint="default"/>
        </w:rPr>
        <w:t>2%</w:t>
      </w:r>
      <w:r>
        <w:rPr/>
        <w:t>。</w:t>
      </w:r>
    </w:p>
    <w:p>
      <w:pPr>
        <w:spacing w:line="240" w:lineRule="auto" w:before="1"/>
        <w:rPr>
          <w:rFonts w:ascii="宋体" w:hAnsi="宋体" w:cs="宋体" w:eastAsia="宋体" w:hint="default"/>
          <w:sz w:val="17"/>
          <w:szCs w:val="17"/>
        </w:rPr>
      </w:pPr>
    </w:p>
    <w:p>
      <w:pPr>
        <w:pStyle w:val="BodyText"/>
        <w:spacing w:line="322" w:lineRule="exact"/>
        <w:ind w:left="811" w:right="34"/>
        <w:jc w:val="left"/>
      </w:pPr>
      <w:r>
        <w:rPr>
          <w:rFonts w:ascii="Arial" w:hAnsi="Arial" w:cs="Arial" w:eastAsia="Arial" w:hint="default"/>
          <w:w w:val="99"/>
        </w:rPr>
        <w:t>(3)</w:t>
      </w:r>
      <w:r>
        <w:rPr>
          <w:rFonts w:ascii="Arial" w:hAnsi="Arial" w:cs="Arial" w:eastAsia="Arial" w:hint="default"/>
        </w:rPr>
        <w:t> </w:t>
      </w:r>
      <w:r>
        <w:rPr>
          <w:rFonts w:ascii="Arial" w:hAnsi="Arial" w:cs="Arial" w:eastAsia="Arial" w:hint="default"/>
          <w:spacing w:val="-14"/>
        </w:rPr>
        <w:t> </w:t>
      </w:r>
      <w:r>
        <w:rPr/>
        <w:t>于</w:t>
      </w:r>
      <w:r>
        <w:rPr>
          <w:spacing w:val="-41"/>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2"/>
        </w:rPr>
        <w:t> </w:t>
      </w:r>
      <w:r>
        <w:rPr/>
        <w:t>年</w:t>
      </w:r>
      <w:r>
        <w:rPr>
          <w:spacing w:val="-41"/>
        </w:rPr>
        <w:t> </w:t>
      </w:r>
      <w:r>
        <w:rPr>
          <w:rFonts w:ascii="Arial" w:hAnsi="Arial" w:cs="Arial" w:eastAsia="Arial" w:hint="default"/>
          <w:w w:val="99"/>
        </w:rPr>
        <w:t>4</w:t>
      </w:r>
      <w:r>
        <w:rPr>
          <w:rFonts w:ascii="Arial" w:hAnsi="Arial" w:cs="Arial" w:eastAsia="Arial" w:hint="default"/>
          <w:spacing w:val="12"/>
        </w:rPr>
        <w:t> </w:t>
      </w:r>
      <w:r>
        <w:rPr/>
        <w:t>月</w:t>
      </w:r>
      <w:r>
        <w:rPr>
          <w:spacing w:val="-41"/>
        </w:rPr>
        <w:t> </w:t>
      </w:r>
      <w:r>
        <w:rPr>
          <w:rFonts w:ascii="Arial" w:hAnsi="Arial" w:cs="Arial" w:eastAsia="Arial" w:hint="default"/>
          <w:spacing w:val="-2"/>
          <w:w w:val="99"/>
        </w:rPr>
        <w:t>1</w:t>
      </w:r>
      <w:r>
        <w:rPr>
          <w:rFonts w:ascii="Arial" w:hAnsi="Arial" w:cs="Arial" w:eastAsia="Arial" w:hint="default"/>
          <w:w w:val="99"/>
        </w:rPr>
        <w:t>8</w:t>
      </w:r>
      <w:r>
        <w:rPr>
          <w:rFonts w:ascii="Arial" w:hAnsi="Arial" w:cs="Arial" w:eastAsia="Arial" w:hint="default"/>
          <w:spacing w:val="12"/>
        </w:rPr>
        <w:t> </w:t>
      </w:r>
      <w:r>
        <w:rPr/>
        <w:t>日，本公司与银河国际签订《房屋租赁合同</w:t>
      </w:r>
      <w:r>
        <w:rPr>
          <w:spacing w:val="-120"/>
        </w:rPr>
        <w:t>》</w:t>
      </w:r>
      <w:r>
        <w:rPr/>
        <w:t>，承租银河国际位</w:t>
      </w:r>
    </w:p>
    <w:p>
      <w:pPr>
        <w:pStyle w:val="BodyText"/>
        <w:spacing w:line="312" w:lineRule="exact"/>
        <w:ind w:left="812" w:right="34"/>
        <w:jc w:val="left"/>
      </w:pPr>
      <w:r>
        <w:rPr/>
        <w:t>于南京市中山南路 </w:t>
      </w:r>
      <w:r>
        <w:rPr>
          <w:rFonts w:ascii="Arial" w:hAnsi="Arial" w:cs="Arial" w:eastAsia="Arial" w:hint="default"/>
        </w:rPr>
        <w:t>49 </w:t>
      </w:r>
      <w:r>
        <w:rPr/>
        <w:t>号商茂世纪大厦地下一层以及地上一层，共约 </w:t>
      </w:r>
      <w:r>
        <w:rPr>
          <w:rFonts w:ascii="Arial" w:hAnsi="Arial" w:cs="Arial" w:eastAsia="Arial" w:hint="default"/>
        </w:rPr>
        <w:t>2,000</w:t>
      </w:r>
      <w:r>
        <w:rPr>
          <w:rFonts w:ascii="Arial" w:hAnsi="Arial" w:cs="Arial" w:eastAsia="Arial" w:hint="default"/>
          <w:spacing w:val="-29"/>
        </w:rPr>
        <w:t> </w:t>
      </w:r>
      <w:r>
        <w:rPr/>
        <w:t>平方米的面</w:t>
      </w:r>
    </w:p>
    <w:p>
      <w:pPr>
        <w:pStyle w:val="BodyText"/>
        <w:spacing w:line="312" w:lineRule="exact"/>
        <w:ind w:left="812" w:right="34"/>
        <w:jc w:val="left"/>
      </w:pPr>
      <w:r>
        <w:rPr/>
        <w:t>积，租赁期限自</w:t>
      </w:r>
      <w:r>
        <w:rPr>
          <w:spacing w:val="-55"/>
        </w:rPr>
        <w:t> </w:t>
      </w:r>
      <w:r>
        <w:rPr>
          <w:rFonts w:ascii="Arial" w:hAnsi="Arial" w:cs="Arial" w:eastAsia="Arial" w:hint="default"/>
        </w:rPr>
        <w:t>2007</w:t>
      </w:r>
      <w:r>
        <w:rPr>
          <w:rFonts w:ascii="Arial" w:hAnsi="Arial" w:cs="Arial" w:eastAsia="Arial" w:hint="default"/>
          <w:spacing w:val="-1"/>
        </w:rPr>
        <w:t> </w:t>
      </w:r>
      <w:r>
        <w:rPr/>
        <w:t>年</w:t>
      </w:r>
      <w:r>
        <w:rPr>
          <w:spacing w:val="-55"/>
        </w:rPr>
        <w:t> </w:t>
      </w:r>
      <w:r>
        <w:rPr>
          <w:rFonts w:ascii="Arial" w:hAnsi="Arial" w:cs="Arial" w:eastAsia="Arial" w:hint="default"/>
        </w:rPr>
        <w:t>4</w:t>
      </w:r>
      <w:r>
        <w:rPr>
          <w:rFonts w:ascii="Arial" w:hAnsi="Arial" w:cs="Arial" w:eastAsia="Arial" w:hint="default"/>
          <w:spacing w:val="-2"/>
        </w:rPr>
        <w:t> </w:t>
      </w:r>
      <w:r>
        <w:rPr/>
        <w:t>月</w:t>
      </w:r>
      <w:r>
        <w:rPr>
          <w:spacing w:val="-55"/>
        </w:rPr>
        <w:t> </w:t>
      </w:r>
      <w:r>
        <w:rPr>
          <w:rFonts w:ascii="Arial" w:hAnsi="Arial" w:cs="Arial" w:eastAsia="Arial" w:hint="default"/>
        </w:rPr>
        <w:t>1</w:t>
      </w:r>
      <w:r>
        <w:rPr>
          <w:rFonts w:ascii="Arial" w:hAnsi="Arial" w:cs="Arial" w:eastAsia="Arial" w:hint="default"/>
          <w:spacing w:val="-2"/>
        </w:rPr>
        <w:t> </w:t>
      </w:r>
      <w:r>
        <w:rPr/>
        <w:t>日起至</w:t>
      </w:r>
      <w:r>
        <w:rPr>
          <w:spacing w:val="-55"/>
        </w:rPr>
        <w:t> </w:t>
      </w:r>
      <w:r>
        <w:rPr>
          <w:rFonts w:ascii="Arial" w:hAnsi="Arial" w:cs="Arial" w:eastAsia="Arial" w:hint="default"/>
        </w:rPr>
        <w:t>2016</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22</w:t>
      </w:r>
      <w:r>
        <w:rPr>
          <w:rFonts w:ascii="Arial" w:hAnsi="Arial" w:cs="Arial" w:eastAsia="Arial" w:hint="default"/>
          <w:spacing w:val="-2"/>
        </w:rPr>
        <w:t> </w:t>
      </w:r>
      <w:r>
        <w:rPr/>
        <w:t>日止，租赁费用为前三年单价</w:t>
      </w:r>
    </w:p>
    <w:p>
      <w:pPr>
        <w:pStyle w:val="BodyText"/>
        <w:spacing w:line="312" w:lineRule="exact" w:before="21"/>
        <w:ind w:left="812" w:right="229"/>
        <w:jc w:val="left"/>
      </w:pPr>
      <w:r>
        <w:rPr/>
        <w:t>人民币</w:t>
      </w:r>
      <w:r>
        <w:rPr>
          <w:spacing w:val="-57"/>
        </w:rPr>
        <w:t> </w:t>
      </w:r>
      <w:r>
        <w:rPr>
          <w:rFonts w:ascii="Arial" w:hAnsi="Arial" w:cs="Arial" w:eastAsia="Arial" w:hint="default"/>
        </w:rPr>
        <w:t>85</w:t>
      </w:r>
      <w:r>
        <w:rPr>
          <w:rFonts w:ascii="Arial" w:hAnsi="Arial" w:cs="Arial" w:eastAsia="Arial" w:hint="default"/>
          <w:spacing w:val="-6"/>
        </w:rPr>
        <w:t> </w:t>
      </w:r>
      <w:r>
        <w:rPr/>
        <w:t>元</w:t>
      </w:r>
      <w:r>
        <w:rPr>
          <w:rFonts w:ascii="Arial" w:hAnsi="Arial" w:cs="Arial" w:eastAsia="Arial" w:hint="default"/>
        </w:rPr>
        <w:t>/</w:t>
      </w:r>
      <w:r>
        <w:rPr/>
        <w:t>平方米</w:t>
      </w:r>
      <w:r>
        <w:rPr>
          <w:rFonts w:ascii="Arial" w:hAnsi="Arial" w:cs="Arial" w:eastAsia="Arial" w:hint="default"/>
        </w:rPr>
        <w:t>/</w:t>
      </w:r>
      <w:r>
        <w:rPr/>
        <w:t>月至人民币</w:t>
      </w:r>
      <w:r>
        <w:rPr>
          <w:spacing w:val="-57"/>
        </w:rPr>
        <w:t> </w:t>
      </w:r>
      <w:r>
        <w:rPr>
          <w:rFonts w:ascii="Arial" w:hAnsi="Arial" w:cs="Arial" w:eastAsia="Arial" w:hint="default"/>
        </w:rPr>
        <w:t>300</w:t>
      </w:r>
      <w:r>
        <w:rPr>
          <w:rFonts w:ascii="Arial" w:hAnsi="Arial" w:cs="Arial" w:eastAsia="Arial" w:hint="default"/>
          <w:spacing w:val="-4"/>
        </w:rPr>
        <w:t> </w:t>
      </w:r>
      <w:r>
        <w:rPr/>
        <w:t>元</w:t>
      </w:r>
      <w:r>
        <w:rPr>
          <w:rFonts w:ascii="Arial" w:hAnsi="Arial" w:cs="Arial" w:eastAsia="Arial" w:hint="default"/>
        </w:rPr>
        <w:t>/</w:t>
      </w:r>
      <w:r>
        <w:rPr/>
        <w:t>平方米</w:t>
      </w:r>
      <w:r>
        <w:rPr>
          <w:rFonts w:ascii="Arial" w:hAnsi="Arial" w:cs="Arial" w:eastAsia="Arial" w:hint="default"/>
        </w:rPr>
        <w:t>/</w:t>
      </w:r>
      <w:r>
        <w:rPr/>
        <w:t>月不等，自第</w:t>
      </w:r>
      <w:r>
        <w:rPr>
          <w:spacing w:val="-57"/>
        </w:rPr>
        <w:t> </w:t>
      </w:r>
      <w:r>
        <w:rPr>
          <w:rFonts w:ascii="Arial" w:hAnsi="Arial" w:cs="Arial" w:eastAsia="Arial" w:hint="default"/>
        </w:rPr>
        <w:t>4</w:t>
      </w:r>
      <w:r>
        <w:rPr>
          <w:rFonts w:ascii="Arial" w:hAnsi="Arial" w:cs="Arial" w:eastAsia="Arial" w:hint="default"/>
          <w:spacing w:val="-4"/>
        </w:rPr>
        <w:t> </w:t>
      </w:r>
      <w:r>
        <w:rPr/>
        <w:t>年起每三年在前一个租</w:t>
      </w:r>
      <w:r>
        <w:rPr>
          <w:spacing w:val="-1"/>
        </w:rPr>
        <w:t> </w:t>
      </w:r>
      <w:r>
        <w:rPr/>
        <w:t>赁年度租金基础上递增</w:t>
      </w:r>
      <w:r>
        <w:rPr>
          <w:spacing w:val="-62"/>
        </w:rPr>
        <w:t> </w:t>
      </w:r>
      <w:r>
        <w:rPr>
          <w:rFonts w:ascii="Arial" w:hAnsi="Arial" w:cs="Arial" w:eastAsia="Arial" w:hint="default"/>
        </w:rPr>
        <w:t>5%</w:t>
      </w:r>
      <w:r>
        <w:rPr/>
        <w:t>。</w:t>
      </w:r>
    </w:p>
    <w:p>
      <w:pPr>
        <w:pStyle w:val="BodyText"/>
        <w:spacing w:line="322" w:lineRule="exact" w:before="210"/>
        <w:ind w:left="811" w:right="34"/>
        <w:jc w:val="left"/>
      </w:pPr>
      <w:r>
        <w:rPr>
          <w:rFonts w:ascii="Arial" w:hAnsi="Arial" w:cs="Arial" w:eastAsia="Arial" w:hint="default"/>
          <w:w w:val="99"/>
        </w:rPr>
        <w:t>(4)</w:t>
      </w:r>
      <w:r>
        <w:rPr>
          <w:rFonts w:ascii="Arial" w:hAnsi="Arial" w:cs="Arial" w:eastAsia="Arial" w:hint="default"/>
        </w:rPr>
        <w:t> </w:t>
      </w:r>
      <w:r>
        <w:rPr>
          <w:rFonts w:ascii="Arial" w:hAnsi="Arial" w:cs="Arial" w:eastAsia="Arial" w:hint="default"/>
          <w:spacing w:val="-14"/>
        </w:rPr>
        <w:t> </w:t>
      </w:r>
      <w:r>
        <w:rPr/>
        <w:t>于</w:t>
      </w:r>
      <w:r>
        <w:rPr>
          <w:spacing w:val="-41"/>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2"/>
        </w:rPr>
        <w:t> </w:t>
      </w:r>
      <w:r>
        <w:rPr/>
        <w:t>年</w:t>
      </w:r>
      <w:r>
        <w:rPr>
          <w:spacing w:val="-41"/>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2"/>
        </w:rPr>
        <w:t> </w:t>
      </w:r>
      <w:r>
        <w:rPr/>
        <w:t>月</w:t>
      </w:r>
      <w:r>
        <w:rPr>
          <w:spacing w:val="-42"/>
        </w:rPr>
        <w:t> </w:t>
      </w:r>
      <w:r>
        <w:rPr>
          <w:rFonts w:ascii="Arial" w:hAnsi="Arial" w:cs="Arial" w:eastAsia="Arial" w:hint="default"/>
          <w:w w:val="99"/>
        </w:rPr>
        <w:t>4</w:t>
      </w:r>
      <w:r>
        <w:rPr>
          <w:rFonts w:ascii="Arial" w:hAnsi="Arial" w:cs="Arial" w:eastAsia="Arial" w:hint="default"/>
          <w:spacing w:val="12"/>
        </w:rPr>
        <w:t> </w:t>
      </w:r>
      <w:r>
        <w:rPr/>
        <w:t>日，本公司与银河国际签订《备忘录</w:t>
      </w:r>
      <w:r>
        <w:rPr>
          <w:spacing w:val="-120"/>
        </w:rPr>
        <w:t>》</w:t>
      </w:r>
      <w:r>
        <w:rPr/>
        <w:t>，一致同意因经营需要提</w:t>
      </w:r>
    </w:p>
    <w:p>
      <w:pPr>
        <w:pStyle w:val="BodyText"/>
        <w:spacing w:line="312" w:lineRule="exact"/>
        <w:ind w:left="812" w:right="34"/>
        <w:jc w:val="left"/>
      </w:pPr>
      <w:r>
        <w:rPr/>
        <w:t>前解除</w:t>
      </w:r>
      <w:r>
        <w:rPr>
          <w:spacing w:val="-53"/>
        </w:rPr>
        <w:t> </w:t>
      </w:r>
      <w:r>
        <w:rPr>
          <w:rFonts w:ascii="Arial" w:hAnsi="Arial" w:cs="Arial" w:eastAsia="Arial" w:hint="default"/>
          <w:w w:val="99"/>
        </w:rPr>
        <w:t>2007</w:t>
      </w:r>
      <w:r>
        <w:rPr>
          <w:rFonts w:ascii="Arial" w:hAnsi="Arial" w:cs="Arial" w:eastAsia="Arial" w:hint="default"/>
        </w:rPr>
        <w:t> </w:t>
      </w:r>
      <w:r>
        <w:rPr/>
        <w:t>年</w:t>
      </w:r>
      <w:r>
        <w:rPr>
          <w:spacing w:val="-52"/>
        </w:rPr>
        <w:t> </w:t>
      </w:r>
      <w:r>
        <w:rPr>
          <w:rFonts w:ascii="Arial" w:hAnsi="Arial" w:cs="Arial" w:eastAsia="Arial" w:hint="default"/>
          <w:w w:val="99"/>
        </w:rPr>
        <w:t>4</w:t>
      </w:r>
      <w:r>
        <w:rPr>
          <w:rFonts w:ascii="Arial" w:hAnsi="Arial" w:cs="Arial" w:eastAsia="Arial" w:hint="default"/>
        </w:rPr>
        <w:t> </w:t>
      </w:r>
      <w:r>
        <w:rPr/>
        <w:t>月</w:t>
      </w:r>
      <w:r>
        <w:rPr>
          <w:spacing w:val="-53"/>
        </w:rPr>
        <w:t> </w:t>
      </w:r>
      <w:r>
        <w:rPr>
          <w:rFonts w:ascii="Arial" w:hAnsi="Arial" w:cs="Arial" w:eastAsia="Arial" w:hint="default"/>
          <w:w w:val="99"/>
        </w:rPr>
        <w:t>18</w:t>
      </w:r>
      <w:r>
        <w:rPr>
          <w:rFonts w:ascii="Arial" w:hAnsi="Arial" w:cs="Arial" w:eastAsia="Arial" w:hint="default"/>
        </w:rPr>
        <w:t> </w:t>
      </w:r>
      <w:r>
        <w:rPr/>
        <w:t>日签订的《房屋租赁合同</w:t>
      </w:r>
      <w:r>
        <w:rPr>
          <w:spacing w:val="-120"/>
        </w:rPr>
        <w:t>》</w:t>
      </w:r>
      <w:r>
        <w:rPr/>
        <w:t>。此外，双方另行签订了新的《房屋</w:t>
      </w:r>
    </w:p>
    <w:p>
      <w:pPr>
        <w:pStyle w:val="BodyText"/>
        <w:spacing w:line="312" w:lineRule="exact"/>
        <w:ind w:left="812" w:right="34"/>
        <w:jc w:val="left"/>
      </w:pPr>
      <w:r>
        <w:rPr>
          <w:spacing w:val="3"/>
        </w:rPr>
        <w:t>租赁合同</w:t>
      </w:r>
      <w:r>
        <w:rPr>
          <w:spacing w:val="-118"/>
        </w:rPr>
        <w:t>》</w:t>
      </w:r>
      <w:r>
        <w:rPr>
          <w:spacing w:val="3"/>
        </w:rPr>
        <w:t>，承租银河国际位于南京市中山南</w:t>
      </w:r>
      <w:r>
        <w:rPr/>
        <w:t>路</w:t>
      </w:r>
      <w:r>
        <w:rPr>
          <w:spacing w:val="3"/>
        </w:rPr>
        <w:t> </w:t>
      </w:r>
      <w:r>
        <w:rPr>
          <w:rFonts w:ascii="Arial" w:hAnsi="Arial" w:cs="Arial" w:eastAsia="Arial" w:hint="default"/>
          <w:spacing w:val="-1"/>
          <w:w w:val="99"/>
        </w:rPr>
        <w:t>4</w:t>
      </w:r>
      <w:r>
        <w:rPr>
          <w:rFonts w:ascii="Arial" w:hAnsi="Arial" w:cs="Arial" w:eastAsia="Arial" w:hint="default"/>
          <w:w w:val="99"/>
        </w:rPr>
        <w:t>9</w:t>
      </w:r>
      <w:r>
        <w:rPr>
          <w:rFonts w:ascii="Arial" w:hAnsi="Arial" w:cs="Arial" w:eastAsia="Arial" w:hint="default"/>
        </w:rPr>
        <w:t> </w:t>
      </w:r>
      <w:r>
        <w:rPr>
          <w:rFonts w:ascii="Arial" w:hAnsi="Arial" w:cs="Arial" w:eastAsia="Arial" w:hint="default"/>
          <w:spacing w:val="-10"/>
        </w:rPr>
        <w:t> </w:t>
      </w:r>
      <w:r>
        <w:rPr>
          <w:spacing w:val="3"/>
        </w:rPr>
        <w:t>号商茂世纪大厦一层至五层，共约</w:t>
      </w:r>
      <w:r>
        <w:rPr/>
      </w:r>
    </w:p>
    <w:p>
      <w:pPr>
        <w:pStyle w:val="BodyText"/>
        <w:spacing w:line="312" w:lineRule="exact"/>
        <w:ind w:left="812" w:right="34"/>
        <w:jc w:val="left"/>
      </w:pPr>
      <w:r>
        <w:rPr>
          <w:rFonts w:ascii="Arial" w:hAnsi="Arial" w:cs="Arial" w:eastAsia="Arial" w:hint="default"/>
        </w:rPr>
        <w:t>17,600</w:t>
      </w:r>
      <w:r>
        <w:rPr>
          <w:rFonts w:ascii="Arial" w:hAnsi="Arial" w:cs="Arial" w:eastAsia="Arial" w:hint="default"/>
          <w:spacing w:val="-10"/>
        </w:rPr>
        <w:t> </w:t>
      </w:r>
      <w:r>
        <w:rPr/>
        <w:t>平方米的面积，租赁期限自</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23</w:t>
      </w:r>
      <w:r>
        <w:rPr>
          <w:rFonts w:ascii="Arial" w:hAnsi="Arial" w:cs="Arial" w:eastAsia="Arial" w:hint="default"/>
          <w:spacing w:val="-10"/>
        </w:rPr>
        <w:t> </w:t>
      </w:r>
      <w:r>
        <w:rPr/>
        <w:t>日起至</w:t>
      </w:r>
      <w:r>
        <w:rPr>
          <w:spacing w:val="-63"/>
        </w:rPr>
        <w:t> </w:t>
      </w:r>
      <w:r>
        <w:rPr>
          <w:rFonts w:ascii="Arial" w:hAnsi="Arial" w:cs="Arial" w:eastAsia="Arial" w:hint="default"/>
        </w:rPr>
        <w:t>2013</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22</w:t>
      </w:r>
      <w:r>
        <w:rPr>
          <w:rFonts w:ascii="Arial" w:hAnsi="Arial" w:cs="Arial" w:eastAsia="Arial" w:hint="default"/>
          <w:spacing w:val="-10"/>
        </w:rPr>
        <w:t> </w:t>
      </w:r>
      <w:r>
        <w:rPr>
          <w:spacing w:val="-4"/>
        </w:rPr>
        <w:t>日止，租</w:t>
      </w:r>
    </w:p>
    <w:p>
      <w:pPr>
        <w:pStyle w:val="BodyText"/>
        <w:spacing w:line="322" w:lineRule="exact"/>
        <w:ind w:left="812" w:right="34"/>
        <w:jc w:val="left"/>
      </w:pPr>
      <w:r>
        <w:rPr/>
        <w:t>赁费用为首年单价人民币</w:t>
      </w:r>
      <w:r>
        <w:rPr>
          <w:spacing w:val="-59"/>
        </w:rPr>
        <w:t> </w:t>
      </w:r>
      <w:r>
        <w:rPr>
          <w:rFonts w:ascii="Arial" w:hAnsi="Arial" w:cs="Arial" w:eastAsia="Arial" w:hint="default"/>
          <w:spacing w:val="-5"/>
        </w:rPr>
        <w:t>3.11</w:t>
      </w:r>
      <w:r>
        <w:rPr>
          <w:rFonts w:ascii="Arial" w:hAnsi="Arial" w:cs="Arial" w:eastAsia="Arial" w:hint="default"/>
          <w:spacing w:val="-6"/>
        </w:rPr>
        <w:t> </w:t>
      </w:r>
      <w:r>
        <w:rPr>
          <w:spacing w:val="-5"/>
        </w:rPr>
        <w:t>元</w:t>
      </w:r>
      <w:r>
        <w:rPr>
          <w:rFonts w:ascii="Arial" w:hAnsi="Arial" w:cs="Arial" w:eastAsia="Arial" w:hint="default"/>
          <w:spacing w:val="-5"/>
        </w:rPr>
        <w:t>/</w:t>
      </w:r>
      <w:r>
        <w:rPr>
          <w:spacing w:val="-5"/>
        </w:rPr>
        <w:t>平米</w:t>
      </w:r>
      <w:r>
        <w:rPr>
          <w:rFonts w:ascii="Arial" w:hAnsi="Arial" w:cs="Arial" w:eastAsia="Arial" w:hint="default"/>
          <w:spacing w:val="-5"/>
        </w:rPr>
        <w:t>/</w:t>
      </w:r>
      <w:r>
        <w:rPr>
          <w:spacing w:val="-5"/>
        </w:rPr>
        <w:t>天，自第</w:t>
      </w:r>
      <w:r>
        <w:rPr>
          <w:spacing w:val="-59"/>
        </w:rPr>
        <w:t> </w:t>
      </w:r>
      <w:r>
        <w:rPr>
          <w:rFonts w:ascii="Arial" w:hAnsi="Arial" w:cs="Arial" w:eastAsia="Arial" w:hint="default"/>
        </w:rPr>
        <w:t>2</w:t>
      </w:r>
      <w:r>
        <w:rPr>
          <w:rFonts w:ascii="Arial" w:hAnsi="Arial" w:cs="Arial" w:eastAsia="Arial" w:hint="default"/>
          <w:spacing w:val="-6"/>
        </w:rPr>
        <w:t> </w:t>
      </w:r>
      <w:r>
        <w:rPr/>
        <w:t>年起每</w:t>
      </w:r>
      <w:r>
        <w:rPr>
          <w:spacing w:val="-59"/>
        </w:rPr>
        <w:t> </w:t>
      </w:r>
      <w:r>
        <w:rPr>
          <w:rFonts w:ascii="Arial" w:hAnsi="Arial" w:cs="Arial" w:eastAsia="Arial" w:hint="default"/>
        </w:rPr>
        <w:t>3</w:t>
      </w:r>
      <w:r>
        <w:rPr>
          <w:rFonts w:ascii="Arial" w:hAnsi="Arial" w:cs="Arial" w:eastAsia="Arial" w:hint="default"/>
          <w:spacing w:val="-6"/>
        </w:rPr>
        <w:t> </w:t>
      </w:r>
      <w:r>
        <w:rPr/>
        <w:t>年在上一年基础上递增</w:t>
      </w:r>
      <w:r>
        <w:rPr>
          <w:spacing w:val="-59"/>
        </w:rPr>
        <w:t> </w:t>
      </w:r>
      <w:r>
        <w:rPr>
          <w:rFonts w:ascii="Arial" w:hAnsi="Arial" w:cs="Arial" w:eastAsia="Arial" w:hint="default"/>
        </w:rPr>
        <w:t>5%</w:t>
      </w:r>
      <w:r>
        <w:rPr/>
        <w:t>。</w:t>
      </w:r>
    </w:p>
    <w:p>
      <w:pPr>
        <w:spacing w:after="0" w:line="322" w:lineRule="exact"/>
        <w:jc w:val="left"/>
        <w:sectPr>
          <w:type w:val="continuous"/>
          <w:pgSz w:w="11910" w:h="16840"/>
          <w:pgMar w:top="1600" w:bottom="280" w:left="940" w:right="780"/>
        </w:sectPr>
      </w:pPr>
    </w:p>
    <w:p>
      <w:pPr>
        <w:spacing w:line="240" w:lineRule="auto" w:before="0"/>
        <w:rPr>
          <w:rFonts w:ascii="宋体" w:hAnsi="宋体" w:cs="宋体" w:eastAsia="宋体" w:hint="default"/>
          <w:sz w:val="20"/>
          <w:szCs w:val="20"/>
        </w:rPr>
      </w:pPr>
    </w:p>
    <w:p>
      <w:pPr>
        <w:pStyle w:val="Heading2"/>
        <w:tabs>
          <w:tab w:pos="811" w:val="left" w:leader="none"/>
        </w:tabs>
        <w:spacing w:line="240" w:lineRule="auto" w:before="158"/>
        <w:ind w:right="34"/>
        <w:jc w:val="left"/>
        <w:rPr>
          <w:rFonts w:ascii="Arial" w:hAnsi="Arial" w:cs="Arial" w:eastAsia="Arial" w:hint="default"/>
          <w:b w:val="0"/>
          <w:bCs w:val="0"/>
        </w:rPr>
      </w:pPr>
      <w:r>
        <w:rPr>
          <w:w w:val="95"/>
        </w:rPr>
        <w:t>八</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1" w:val="left" w:leader="none"/>
        </w:tabs>
        <w:spacing w:before="0"/>
        <w:ind w:left="102" w:right="34" w:firstLine="0"/>
        <w:jc w:val="left"/>
        <w:rPr>
          <w:rFonts w:ascii="Arial" w:hAnsi="Arial" w:cs="Arial" w:eastAsia="Arial"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2"/>
        <w:rPr>
          <w:rFonts w:ascii="Arial" w:hAnsi="Arial" w:cs="Arial" w:eastAsia="Arial" w:hint="default"/>
          <w:b/>
          <w:bCs/>
          <w:sz w:val="22"/>
          <w:szCs w:val="22"/>
        </w:rPr>
      </w:pPr>
    </w:p>
    <w:p>
      <w:pPr>
        <w:pStyle w:val="BodyText"/>
        <w:tabs>
          <w:tab w:pos="811" w:val="left" w:leader="none"/>
        </w:tabs>
        <w:spacing w:line="240" w:lineRule="auto"/>
        <w:ind w:left="102" w:right="34"/>
        <w:jc w:val="left"/>
        <w:rPr>
          <w:rFonts w:ascii="Arial" w:hAnsi="Arial" w:cs="Arial" w:eastAsia="Arial" w:hint="default"/>
        </w:rPr>
      </w:pPr>
      <w:r>
        <w:rPr>
          <w:rFonts w:ascii="Arial" w:hAnsi="Arial" w:cs="Arial" w:eastAsia="Arial" w:hint="default"/>
          <w:w w:val="95"/>
        </w:rPr>
        <w:t>(a)</w:t>
        <w:tab/>
      </w:r>
      <w:r>
        <w:rPr>
          <w:position w:val="2"/>
        </w:rPr>
        <w:t>租赁协议</w:t>
      </w:r>
      <w:r>
        <w:rPr>
          <w:rFonts w:ascii="Arial" w:hAnsi="Arial" w:cs="Arial" w:eastAsia="Arial" w:hint="default"/>
          <w:position w:val="2"/>
        </w:rPr>
        <w:t>(</w:t>
      </w:r>
      <w:r>
        <w:rPr>
          <w:position w:val="2"/>
        </w:rPr>
        <w:t>续</w:t>
      </w:r>
      <w:r>
        <w:rPr>
          <w:rFonts w:ascii="Arial" w:hAnsi="Arial" w:cs="Arial" w:eastAsia="Arial" w:hint="default"/>
          <w:position w:val="2"/>
        </w:rPr>
        <w:t>)</w:t>
      </w:r>
      <w:r>
        <w:rPr>
          <w:rFonts w:ascii="Arial" w:hAnsi="Arial" w:cs="Arial" w:eastAsia="Arial" w:hint="default"/>
        </w:rPr>
      </w:r>
    </w:p>
    <w:p>
      <w:pPr>
        <w:spacing w:line="240" w:lineRule="auto" w:before="9"/>
        <w:rPr>
          <w:rFonts w:ascii="Arial" w:hAnsi="Arial" w:cs="Arial" w:eastAsia="Arial" w:hint="default"/>
          <w:sz w:val="20"/>
          <w:szCs w:val="20"/>
        </w:rPr>
      </w:pPr>
    </w:p>
    <w:p>
      <w:pPr>
        <w:pStyle w:val="BodyText"/>
        <w:spacing w:line="322" w:lineRule="exact"/>
        <w:ind w:left="812" w:right="34"/>
        <w:jc w:val="left"/>
      </w:pPr>
      <w:r>
        <w:rPr>
          <w:rFonts w:ascii="Arial" w:hAnsi="Arial" w:cs="Arial" w:eastAsia="Arial" w:hint="default"/>
          <w:w w:val="99"/>
        </w:rPr>
        <w:t>(5)</w:t>
      </w:r>
      <w:r>
        <w:rPr>
          <w:rFonts w:ascii="Arial" w:hAnsi="Arial" w:cs="Arial" w:eastAsia="Arial" w:hint="default"/>
        </w:rPr>
        <w:t> </w:t>
      </w:r>
      <w:r>
        <w:rPr>
          <w:rFonts w:ascii="Arial" w:hAnsi="Arial" w:cs="Arial" w:eastAsia="Arial" w:hint="default"/>
          <w:spacing w:val="-28"/>
        </w:rPr>
        <w:t> </w:t>
      </w:r>
      <w:r>
        <w:rPr/>
        <w:t>于</w:t>
      </w:r>
      <w:r>
        <w:rPr>
          <w:spacing w:val="-60"/>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7"/>
        </w:rPr>
        <w:t> </w:t>
      </w:r>
      <w:r>
        <w:rPr/>
        <w:t>年</w:t>
      </w:r>
      <w:r>
        <w:rPr>
          <w:spacing w:val="-60"/>
        </w:rPr>
        <w:t> </w:t>
      </w:r>
      <w:r>
        <w:rPr>
          <w:rFonts w:ascii="Arial" w:hAnsi="Arial" w:cs="Arial" w:eastAsia="Arial" w:hint="default"/>
          <w:w w:val="99"/>
        </w:rPr>
        <w:t>6</w:t>
      </w:r>
      <w:r>
        <w:rPr>
          <w:rFonts w:ascii="Arial" w:hAnsi="Arial" w:cs="Arial" w:eastAsia="Arial" w:hint="default"/>
          <w:spacing w:val="-7"/>
        </w:rPr>
        <w:t> </w:t>
      </w:r>
      <w:r>
        <w:rPr/>
        <w:t>月</w:t>
      </w:r>
      <w:r>
        <w:rPr>
          <w:spacing w:val="-60"/>
        </w:rPr>
        <w:t> </w:t>
      </w:r>
      <w:r>
        <w:rPr>
          <w:rFonts w:ascii="Arial" w:hAnsi="Arial" w:cs="Arial" w:eastAsia="Arial" w:hint="default"/>
          <w:w w:val="99"/>
        </w:rPr>
        <w:t>19</w:t>
      </w:r>
      <w:r>
        <w:rPr>
          <w:rFonts w:ascii="Arial" w:hAnsi="Arial" w:cs="Arial" w:eastAsia="Arial" w:hint="default"/>
          <w:spacing w:val="-7"/>
        </w:rPr>
        <w:t> </w:t>
      </w:r>
      <w:r>
        <w:rPr/>
        <w:t>日</w:t>
      </w:r>
      <w:r>
        <w:rPr>
          <w:spacing w:val="-117"/>
        </w:rPr>
        <w:t>，</w:t>
      </w:r>
      <w:r>
        <w:rPr/>
        <w:t>本公司与江苏苏宁电器集团有限公司签署</w:t>
      </w:r>
      <w:r>
        <w:rPr>
          <w:spacing w:val="-117"/>
        </w:rPr>
        <w:t>了</w:t>
      </w:r>
      <w:r>
        <w:rPr/>
        <w:t>《房屋租赁协议</w:t>
      </w:r>
      <w:r>
        <w:rPr>
          <w:spacing w:val="-120"/>
        </w:rPr>
        <w:t>》</w:t>
      </w:r>
      <w:r>
        <w:rPr/>
        <w:t>，</w:t>
      </w:r>
    </w:p>
    <w:p>
      <w:pPr>
        <w:pStyle w:val="BodyText"/>
        <w:spacing w:line="312" w:lineRule="exact"/>
        <w:ind w:left="811" w:right="34"/>
        <w:jc w:val="left"/>
        <w:rPr>
          <w:rFonts w:ascii="Arial" w:hAnsi="Arial" w:cs="Arial" w:eastAsia="Arial" w:hint="default"/>
        </w:rPr>
      </w:pPr>
      <w:r>
        <w:rPr/>
        <w:t>租赁苏宁电器大厦建筑面积共计约</w:t>
      </w:r>
      <w:r>
        <w:rPr>
          <w:spacing w:val="-61"/>
        </w:rPr>
        <w:t> </w:t>
      </w:r>
      <w:r>
        <w:rPr>
          <w:rFonts w:ascii="Arial" w:hAnsi="Arial" w:cs="Arial" w:eastAsia="Arial" w:hint="default"/>
        </w:rPr>
        <w:t>1,300</w:t>
      </w:r>
      <w:r>
        <w:rPr>
          <w:rFonts w:ascii="Arial" w:hAnsi="Arial" w:cs="Arial" w:eastAsia="Arial" w:hint="default"/>
          <w:spacing w:val="-8"/>
        </w:rPr>
        <w:t> </w:t>
      </w:r>
      <w:r>
        <w:rPr>
          <w:spacing w:val="-5"/>
        </w:rPr>
        <w:t>平方米，租赁期自</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7</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日起至</w:t>
      </w:r>
      <w:r>
        <w:rPr>
          <w:spacing w:val="-61"/>
        </w:rPr>
        <w:t> </w:t>
      </w:r>
      <w:r>
        <w:rPr>
          <w:rFonts w:ascii="Arial" w:hAnsi="Arial" w:cs="Arial" w:eastAsia="Arial" w:hint="default"/>
          <w:spacing w:val="-6"/>
        </w:rPr>
        <w:t>2011</w:t>
      </w:r>
    </w:p>
    <w:p>
      <w:pPr>
        <w:pStyle w:val="BodyText"/>
        <w:spacing w:line="322" w:lineRule="exact"/>
        <w:ind w:left="812" w:right="34"/>
        <w:jc w:val="left"/>
      </w:pP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日止，第一年租金总额为</w:t>
      </w:r>
      <w:r>
        <w:rPr>
          <w:spacing w:val="-61"/>
        </w:rPr>
        <w:t> </w:t>
      </w:r>
      <w:r>
        <w:rPr>
          <w:rFonts w:ascii="Arial" w:hAnsi="Arial" w:cs="Arial" w:eastAsia="Arial" w:hint="default"/>
          <w:spacing w:val="-7"/>
        </w:rPr>
        <w:t>110</w:t>
      </w:r>
      <w:r>
        <w:rPr>
          <w:rFonts w:ascii="Arial" w:hAnsi="Arial" w:cs="Arial" w:eastAsia="Arial" w:hint="default"/>
          <w:spacing w:val="-8"/>
        </w:rPr>
        <w:t> </w:t>
      </w:r>
      <w:r>
        <w:rPr/>
        <w:t>万元，以后每年递增</w:t>
      </w:r>
      <w:r>
        <w:rPr>
          <w:spacing w:val="-61"/>
        </w:rPr>
        <w:t> </w:t>
      </w:r>
      <w:r>
        <w:rPr>
          <w:rFonts w:ascii="Arial" w:hAnsi="Arial" w:cs="Arial" w:eastAsia="Arial" w:hint="default"/>
        </w:rPr>
        <w:t>2%</w:t>
      </w:r>
      <w:r>
        <w:rPr/>
        <w:t>。</w:t>
      </w:r>
    </w:p>
    <w:p>
      <w:pPr>
        <w:spacing w:line="240" w:lineRule="auto" w:before="8"/>
        <w:rPr>
          <w:rFonts w:ascii="宋体" w:hAnsi="宋体" w:cs="宋体" w:eastAsia="宋体" w:hint="default"/>
          <w:sz w:val="19"/>
          <w:szCs w:val="19"/>
        </w:rPr>
      </w:pPr>
    </w:p>
    <w:p>
      <w:pPr>
        <w:pStyle w:val="BodyText"/>
        <w:spacing w:line="240" w:lineRule="auto"/>
        <w:ind w:left="811" w:right="34"/>
        <w:jc w:val="left"/>
      </w:pPr>
      <w:r>
        <w:rPr>
          <w:rFonts w:ascii="Arial" w:hAnsi="Arial" w:cs="Arial" w:eastAsia="Arial" w:hint="default"/>
        </w:rPr>
        <w:t>(6)</w:t>
      </w:r>
      <w:r>
        <w:rPr>
          <w:rFonts w:ascii="Arial" w:hAnsi="Arial" w:cs="Arial" w:eastAsia="Arial" w:hint="default"/>
          <w:spacing w:val="19"/>
        </w:rPr>
        <w:t> </w:t>
      </w:r>
      <w:r>
        <w:rPr/>
        <w:t>根据上述租赁协议，本集团向关联方支付的租赁费、物业管理费情况如下：</w:t>
      </w:r>
    </w:p>
    <w:p>
      <w:pPr>
        <w:spacing w:line="240" w:lineRule="auto" w:before="8"/>
        <w:rPr>
          <w:rFonts w:ascii="宋体" w:hAnsi="宋体" w:cs="宋体" w:eastAsia="宋体" w:hint="default"/>
          <w:sz w:val="19"/>
          <w:szCs w:val="19"/>
        </w:rPr>
      </w:pPr>
    </w:p>
    <w:p>
      <w:pPr>
        <w:pStyle w:val="BodyText"/>
        <w:tabs>
          <w:tab w:pos="8645" w:val="left" w:leader="none"/>
        </w:tabs>
        <w:spacing w:line="322" w:lineRule="exact"/>
        <w:ind w:left="5664"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8515" w:val="left" w:leader="none"/>
        </w:tabs>
        <w:spacing w:line="322" w:lineRule="exact"/>
        <w:ind w:left="5533"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776" w:type="dxa"/>
        <w:tblLayout w:type="fixed"/>
        <w:tblCellMar>
          <w:top w:w="0" w:type="dxa"/>
          <w:left w:w="0" w:type="dxa"/>
          <w:bottom w:w="0" w:type="dxa"/>
          <w:right w:w="0" w:type="dxa"/>
        </w:tblCellMar>
        <w:tblLook w:val="01E0"/>
      </w:tblPr>
      <w:tblGrid>
        <w:gridCol w:w="4035"/>
        <w:gridCol w:w="2261"/>
        <w:gridCol w:w="540"/>
        <w:gridCol w:w="2441"/>
      </w:tblGrid>
      <w:tr>
        <w:trPr>
          <w:trHeight w:val="379" w:hRule="exact"/>
        </w:trPr>
        <w:tc>
          <w:tcPr>
            <w:tcW w:w="403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江苏苏宁电器集团有限公司</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Arial" w:hAnsi="Arial" w:cs="Arial" w:eastAsia="Arial" w:hint="default"/>
                <w:sz w:val="24"/>
                <w:szCs w:val="24"/>
              </w:rPr>
            </w:pPr>
            <w:r>
              <w:rPr>
                <w:rFonts w:ascii="Arial"/>
                <w:spacing w:val="-1"/>
                <w:w w:val="95"/>
                <w:sz w:val="24"/>
              </w:rPr>
              <w:t>17,403</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1"/>
              <w:jc w:val="right"/>
              <w:rPr>
                <w:rFonts w:ascii="Arial" w:hAnsi="Arial" w:cs="Arial" w:eastAsia="Arial" w:hint="default"/>
                <w:sz w:val="24"/>
                <w:szCs w:val="24"/>
              </w:rPr>
            </w:pPr>
            <w:r>
              <w:rPr>
                <w:rFonts w:ascii="Arial"/>
                <w:spacing w:val="-1"/>
                <w:w w:val="95"/>
                <w:sz w:val="24"/>
              </w:rPr>
              <w:t>16,549</w:t>
            </w:r>
            <w:r>
              <w:rPr>
                <w:rFonts w:ascii="Arial"/>
                <w:sz w:val="24"/>
              </w:rPr>
            </w:r>
          </w:p>
        </w:tc>
      </w:tr>
      <w:tr>
        <w:trPr>
          <w:trHeight w:val="321" w:hRule="exact"/>
        </w:trPr>
        <w:tc>
          <w:tcPr>
            <w:tcW w:w="4035"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银河国际</w:t>
            </w: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18,357</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Arial" w:hAnsi="Arial" w:cs="Arial" w:eastAsia="Arial" w:hint="default"/>
                <w:sz w:val="24"/>
                <w:szCs w:val="24"/>
              </w:rPr>
            </w:pPr>
            <w:r>
              <w:rPr>
                <w:rFonts w:ascii="Arial"/>
                <w:spacing w:val="-1"/>
                <w:w w:val="95"/>
                <w:sz w:val="24"/>
              </w:rPr>
              <w:t>6,683</w:t>
            </w:r>
            <w:r>
              <w:rPr>
                <w:rFonts w:ascii="Arial"/>
                <w:sz w:val="24"/>
              </w:rPr>
            </w:r>
          </w:p>
        </w:tc>
      </w:tr>
      <w:tr>
        <w:trPr>
          <w:trHeight w:val="297" w:hRule="exact"/>
        </w:trPr>
        <w:tc>
          <w:tcPr>
            <w:tcW w:w="4035"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35,760</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1"/>
              <w:jc w:val="right"/>
              <w:rPr>
                <w:rFonts w:ascii="Arial" w:hAnsi="Arial" w:cs="Arial" w:eastAsia="Arial" w:hint="default"/>
                <w:sz w:val="24"/>
                <w:szCs w:val="24"/>
              </w:rPr>
            </w:pPr>
            <w:r>
              <w:rPr>
                <w:rFonts w:ascii="Arial"/>
                <w:spacing w:val="-1"/>
                <w:w w:val="95"/>
                <w:sz w:val="24"/>
              </w:rPr>
              <w:t>23,232</w:t>
            </w:r>
            <w:r>
              <w:rPr>
                <w:rFonts w:ascii="Arial"/>
                <w:sz w:val="24"/>
              </w:rPr>
            </w:r>
          </w:p>
        </w:tc>
      </w:tr>
    </w:tbl>
    <w:p>
      <w:pPr>
        <w:spacing w:line="240" w:lineRule="auto" w:before="0"/>
        <w:rPr>
          <w:rFonts w:ascii="Arial" w:hAnsi="Arial" w:cs="Arial" w:eastAsia="Arial" w:hint="default"/>
          <w:sz w:val="17"/>
          <w:szCs w:val="17"/>
        </w:rPr>
      </w:pPr>
    </w:p>
    <w:p>
      <w:pPr>
        <w:pStyle w:val="BodyText"/>
        <w:spacing w:line="240" w:lineRule="auto" w:before="26"/>
        <w:ind w:left="811" w:right="0"/>
        <w:jc w:val="both"/>
      </w:pPr>
      <w:r>
        <w:rPr>
          <w:rFonts w:ascii="Arial" w:hAnsi="Arial" w:cs="Arial" w:eastAsia="Arial" w:hint="default"/>
        </w:rPr>
        <w:t>2008</w:t>
      </w:r>
      <w:r>
        <w:rPr>
          <w:rFonts w:ascii="Arial" w:hAnsi="Arial" w:cs="Arial" w:eastAsia="Arial" w:hint="default"/>
          <w:spacing w:val="-12"/>
        </w:rPr>
        <w:t> </w:t>
      </w:r>
      <w:r>
        <w:rPr/>
        <w:t>年度本集团向关联方支付租赁费占租赁费总额的</w:t>
      </w:r>
      <w:r>
        <w:rPr>
          <w:spacing w:val="-65"/>
        </w:rPr>
        <w:t> </w:t>
      </w:r>
      <w:r>
        <w:rPr>
          <w:rFonts w:ascii="Arial" w:hAnsi="Arial" w:cs="Arial" w:eastAsia="Arial" w:hint="default"/>
        </w:rPr>
        <w:t>1.87%(2007</w:t>
      </w:r>
      <w:r>
        <w:rPr>
          <w:rFonts w:ascii="Arial" w:hAnsi="Arial" w:cs="Arial" w:eastAsia="Arial" w:hint="default"/>
          <w:spacing w:val="-11"/>
        </w:rPr>
        <w:t> </w:t>
      </w:r>
      <w:r>
        <w:rPr/>
        <w:t>年度：</w:t>
      </w:r>
      <w:r>
        <w:rPr>
          <w:rFonts w:ascii="Arial" w:hAnsi="Arial" w:cs="Arial" w:eastAsia="Arial" w:hint="default"/>
        </w:rPr>
        <w:t>2.26%)</w:t>
      </w:r>
      <w:r>
        <w:rPr/>
        <w:t>。</w:t>
      </w:r>
    </w:p>
    <w:p>
      <w:pPr>
        <w:spacing w:line="240" w:lineRule="auto" w:before="11"/>
        <w:rPr>
          <w:rFonts w:ascii="宋体" w:hAnsi="宋体" w:cs="宋体" w:eastAsia="宋体" w:hint="default"/>
          <w:sz w:val="16"/>
          <w:szCs w:val="16"/>
        </w:rPr>
      </w:pPr>
    </w:p>
    <w:p>
      <w:pPr>
        <w:pStyle w:val="BodyText"/>
        <w:tabs>
          <w:tab w:pos="811" w:val="left" w:leader="none"/>
        </w:tabs>
        <w:spacing w:line="240" w:lineRule="auto"/>
        <w:ind w:left="102" w:right="34"/>
        <w:jc w:val="left"/>
      </w:pPr>
      <w:r>
        <w:rPr>
          <w:rFonts w:ascii="Arial" w:hAnsi="Arial" w:cs="Arial" w:eastAsia="Arial" w:hint="default"/>
          <w:w w:val="95"/>
        </w:rPr>
        <w:t>(b)</w:t>
        <w:tab/>
      </w:r>
      <w:r>
        <w:rPr>
          <w:position w:val="2"/>
        </w:rPr>
        <w:t>合作协议</w:t>
      </w:r>
      <w:r>
        <w:rPr/>
      </w:r>
    </w:p>
    <w:p>
      <w:pPr>
        <w:spacing w:line="240" w:lineRule="auto" w:before="8"/>
        <w:rPr>
          <w:rFonts w:ascii="宋体" w:hAnsi="宋体" w:cs="宋体" w:eastAsia="宋体" w:hint="default"/>
          <w:sz w:val="20"/>
          <w:szCs w:val="20"/>
        </w:rPr>
      </w:pPr>
    </w:p>
    <w:p>
      <w:pPr>
        <w:pStyle w:val="BodyText"/>
        <w:spacing w:line="312" w:lineRule="exact"/>
        <w:ind w:left="812" w:right="129"/>
        <w:jc w:val="both"/>
      </w:pPr>
      <w:r>
        <w:rPr>
          <w:spacing w:val="-4"/>
        </w:rPr>
        <w:t>根据本公司与银河国际签订的《合作协议》，本公司组织南京地区连锁店联合银河国际共</w:t>
      </w:r>
      <w:r>
        <w:rPr>
          <w:spacing w:val="-84"/>
        </w:rPr>
        <w:t> </w:t>
      </w:r>
      <w:r>
        <w:rPr>
          <w:spacing w:val="-84"/>
        </w:rPr>
      </w:r>
      <w:r>
        <w:rPr>
          <w:spacing w:val="-1"/>
        </w:rPr>
        <w:t>同举办</w:t>
      </w:r>
      <w:r>
        <w:rPr>
          <w:rFonts w:ascii="Arial" w:hAnsi="Arial" w:cs="Arial" w:eastAsia="Arial" w:hint="default"/>
          <w:spacing w:val="-1"/>
        </w:rPr>
        <w:t>“</w:t>
      </w:r>
      <w:r>
        <w:rPr>
          <w:spacing w:val="-1"/>
        </w:rPr>
        <w:t>满就送购物券</w:t>
      </w:r>
      <w:r>
        <w:rPr>
          <w:rFonts w:ascii="Arial" w:hAnsi="Arial" w:cs="Arial" w:eastAsia="Arial" w:hint="default"/>
          <w:spacing w:val="-1"/>
        </w:rPr>
        <w:t>”</w:t>
      </w:r>
      <w:r>
        <w:rPr>
          <w:spacing w:val="-1"/>
        </w:rPr>
        <w:t>的促销活动，顾客在双方购物所获赠的购物券均可充当同等金额的</w:t>
      </w:r>
      <w:r>
        <w:rPr/>
        <w:t> 现金，可在本公司南京地区各连锁店及银河国际消费时通用，双方于每月</w:t>
      </w:r>
      <w:r>
        <w:rPr>
          <w:spacing w:val="-74"/>
        </w:rPr>
        <w:t> </w:t>
      </w:r>
      <w:r>
        <w:rPr>
          <w:rFonts w:ascii="Arial" w:hAnsi="Arial" w:cs="Arial" w:eastAsia="Arial" w:hint="default"/>
        </w:rPr>
        <w:t>25</w:t>
      </w:r>
      <w:r>
        <w:rPr>
          <w:rFonts w:ascii="Arial" w:hAnsi="Arial" w:cs="Arial" w:eastAsia="Arial" w:hint="default"/>
          <w:spacing w:val="-21"/>
        </w:rPr>
        <w:t> </w:t>
      </w:r>
      <w:r>
        <w:rPr/>
        <w:t>日定期进行 购物券的核对结算并开具相应票据。</w:t>
      </w:r>
    </w:p>
    <w:p>
      <w:pPr>
        <w:spacing w:line="240" w:lineRule="auto" w:before="10"/>
        <w:rPr>
          <w:rFonts w:ascii="宋体" w:hAnsi="宋体" w:cs="宋体" w:eastAsia="宋体" w:hint="default"/>
          <w:sz w:val="18"/>
          <w:szCs w:val="18"/>
        </w:rPr>
      </w:pPr>
    </w:p>
    <w:p>
      <w:pPr>
        <w:pStyle w:val="BodyText"/>
        <w:spacing w:line="322" w:lineRule="exact"/>
        <w:ind w:left="812" w:right="0"/>
        <w:jc w:val="both"/>
        <w:rPr>
          <w:rFonts w:ascii="Arial" w:hAnsi="Arial" w:cs="Arial" w:eastAsia="Arial" w:hint="default"/>
        </w:rPr>
      </w:pPr>
      <w:r>
        <w:rPr/>
        <w:t>于</w:t>
      </w:r>
      <w:r>
        <w:rPr>
          <w:spacing w:val="-60"/>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7"/>
        </w:rPr>
        <w:t> </w:t>
      </w:r>
      <w:r>
        <w:rPr/>
        <w:t>年度</w:t>
      </w:r>
      <w:r>
        <w:rPr>
          <w:spacing w:val="-107"/>
        </w:rPr>
        <w:t>，</w:t>
      </w:r>
      <w:r>
        <w:rPr/>
        <w:t>顾客所持本公司购物券在银河国际使用的金额约为人民币</w:t>
      </w:r>
      <w:r>
        <w:rPr>
          <w:spacing w:val="-60"/>
        </w:rPr>
        <w:t> </w:t>
      </w:r>
      <w:r>
        <w:rPr>
          <w:rFonts w:ascii="Arial" w:hAnsi="Arial" w:cs="Arial" w:eastAsia="Arial" w:hint="default"/>
          <w:spacing w:val="-1"/>
          <w:w w:val="99"/>
        </w:rPr>
        <w:t>10</w:t>
      </w:r>
      <w:r>
        <w:rPr>
          <w:rFonts w:ascii="Arial" w:hAnsi="Arial" w:cs="Arial" w:eastAsia="Arial" w:hint="default"/>
          <w:w w:val="99"/>
        </w:rPr>
        <w:t>1</w:t>
      </w:r>
      <w:r>
        <w:rPr>
          <w:rFonts w:ascii="Arial" w:hAnsi="Arial" w:cs="Arial" w:eastAsia="Arial" w:hint="default"/>
          <w:spacing w:val="-6"/>
        </w:rPr>
        <w:t> </w:t>
      </w:r>
      <w:r>
        <w:rPr/>
        <w:t>万元 </w:t>
      </w:r>
      <w:r>
        <w:rPr>
          <w:rFonts w:ascii="Arial" w:hAnsi="Arial" w:cs="Arial" w:eastAsia="Arial" w:hint="default"/>
          <w:spacing w:val="-1"/>
          <w:w w:val="99"/>
        </w:rPr>
        <w:t>(2007</w:t>
      </w:r>
      <w:r>
        <w:rPr>
          <w:rFonts w:ascii="Arial" w:hAnsi="Arial" w:cs="Arial" w:eastAsia="Arial" w:hint="default"/>
        </w:rPr>
      </w:r>
    </w:p>
    <w:p>
      <w:pPr>
        <w:pStyle w:val="BodyText"/>
        <w:spacing w:line="322" w:lineRule="exact"/>
        <w:ind w:left="811" w:right="0"/>
        <w:jc w:val="both"/>
      </w:pPr>
      <w:r>
        <w:rPr/>
        <w:t>年度：约人民币</w:t>
      </w:r>
      <w:r>
        <w:rPr>
          <w:spacing w:val="-61"/>
        </w:rPr>
        <w:t> </w:t>
      </w:r>
      <w:r>
        <w:rPr>
          <w:rFonts w:ascii="Arial" w:hAnsi="Arial" w:cs="Arial" w:eastAsia="Arial" w:hint="default"/>
        </w:rPr>
        <w:t>26</w:t>
      </w:r>
      <w:r>
        <w:rPr>
          <w:rFonts w:ascii="Arial" w:hAnsi="Arial" w:cs="Arial" w:eastAsia="Arial" w:hint="default"/>
          <w:spacing w:val="-8"/>
        </w:rPr>
        <w:t> </w:t>
      </w:r>
      <w:r>
        <w:rPr/>
        <w:t>万元</w:t>
      </w:r>
      <w:r>
        <w:rPr>
          <w:rFonts w:ascii="Arial" w:hAnsi="Arial" w:cs="Arial" w:eastAsia="Arial" w:hint="default"/>
        </w:rPr>
        <w:t>)</w:t>
      </w:r>
      <w:r>
        <w:rPr/>
        <w:t>。</w:t>
      </w:r>
    </w:p>
    <w:p>
      <w:pPr>
        <w:spacing w:after="0" w:line="322" w:lineRule="exact"/>
        <w:jc w:val="both"/>
        <w:sectPr>
          <w:pgSz w:w="11910" w:h="16840"/>
          <w:pgMar w:header="752" w:footer="707" w:top="1020" w:bottom="900" w:left="940" w:right="780"/>
        </w:sectPr>
      </w:pPr>
    </w:p>
    <w:p>
      <w:pPr>
        <w:spacing w:line="240" w:lineRule="auto" w:before="0"/>
        <w:rPr>
          <w:rFonts w:ascii="宋体" w:hAnsi="宋体" w:cs="宋体" w:eastAsia="宋体" w:hint="default"/>
          <w:sz w:val="20"/>
          <w:szCs w:val="20"/>
        </w:rPr>
      </w:pPr>
    </w:p>
    <w:p>
      <w:pPr>
        <w:pStyle w:val="Heading2"/>
        <w:tabs>
          <w:tab w:pos="811" w:val="left" w:leader="none"/>
        </w:tabs>
        <w:spacing w:line="240" w:lineRule="auto" w:before="158"/>
        <w:ind w:right="104"/>
        <w:jc w:val="left"/>
        <w:rPr>
          <w:rFonts w:ascii="Arial" w:hAnsi="Arial" w:cs="Arial" w:eastAsia="Arial" w:hint="default"/>
          <w:b w:val="0"/>
          <w:bCs w:val="0"/>
        </w:rPr>
      </w:pPr>
      <w:r>
        <w:rPr>
          <w:w w:val="95"/>
        </w:rPr>
        <w:t>八</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1" w:val="left" w:leader="none"/>
        </w:tabs>
        <w:spacing w:before="0"/>
        <w:ind w:left="102" w:right="104" w:firstLine="0"/>
        <w:jc w:val="left"/>
        <w:rPr>
          <w:rFonts w:ascii="Arial" w:hAnsi="Arial" w:cs="Arial" w:eastAsia="Arial"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1" w:val="left" w:leader="none"/>
        </w:tabs>
        <w:spacing w:line="240" w:lineRule="auto"/>
        <w:ind w:left="102" w:right="104"/>
        <w:jc w:val="left"/>
      </w:pPr>
      <w:r>
        <w:rPr>
          <w:rFonts w:ascii="Arial" w:hAnsi="Arial" w:cs="Arial" w:eastAsia="Arial" w:hint="default"/>
          <w:position w:val="2"/>
        </w:rPr>
        <w:t>(c)</w:t>
        <w:tab/>
      </w:r>
      <w:r>
        <w:rPr/>
        <w:t>商标使用许可协议</w:t>
      </w:r>
    </w:p>
    <w:p>
      <w:pPr>
        <w:spacing w:line="240" w:lineRule="auto" w:before="4"/>
        <w:rPr>
          <w:rFonts w:ascii="宋体" w:hAnsi="宋体" w:cs="宋体" w:eastAsia="宋体" w:hint="default"/>
          <w:sz w:val="23"/>
          <w:szCs w:val="23"/>
        </w:rPr>
      </w:pPr>
    </w:p>
    <w:p>
      <w:pPr>
        <w:pStyle w:val="BodyText"/>
        <w:spacing w:line="312" w:lineRule="exact"/>
        <w:ind w:left="811" w:right="104"/>
        <w:jc w:val="left"/>
      </w:pPr>
      <w:r>
        <w:rPr>
          <w:rFonts w:ascii="Arial" w:hAnsi="Arial" w:cs="Arial" w:eastAsia="Arial" w:hint="default"/>
          <w:w w:val="99"/>
        </w:rPr>
        <w:t>(1)</w:t>
      </w:r>
      <w:r>
        <w:rPr>
          <w:rFonts w:ascii="Arial" w:hAnsi="Arial" w:cs="Arial" w:eastAsia="Arial" w:hint="default"/>
          <w:spacing w:val="49"/>
          <w:w w:val="99"/>
        </w:rPr>
        <w:t> </w:t>
      </w:r>
      <w:r>
        <w:rPr/>
        <w:t>于</w:t>
      </w:r>
      <w:r>
        <w:rPr>
          <w:spacing w:val="-59"/>
        </w:rPr>
        <w:t> </w:t>
      </w:r>
      <w:r>
        <w:rPr>
          <w:rFonts w:ascii="Arial" w:hAnsi="Arial" w:cs="Arial" w:eastAsia="Arial" w:hint="default"/>
          <w:spacing w:val="-1"/>
          <w:w w:val="99"/>
        </w:rPr>
        <w:t>2002</w:t>
      </w:r>
      <w:r>
        <w:rPr>
          <w:rFonts w:ascii="Arial" w:hAnsi="Arial" w:cs="Arial" w:eastAsia="Arial" w:hint="default"/>
          <w:spacing w:val="-6"/>
          <w:w w:val="99"/>
        </w:rPr>
        <w:t> </w:t>
      </w:r>
      <w:r>
        <w:rPr/>
        <w:t>年</w:t>
      </w:r>
      <w:r>
        <w:rPr>
          <w:spacing w:val="-59"/>
        </w:rPr>
        <w:t> </w:t>
      </w:r>
      <w:r>
        <w:rPr>
          <w:rFonts w:ascii="Arial" w:hAnsi="Arial" w:cs="Arial" w:eastAsia="Arial" w:hint="default"/>
          <w:w w:val="99"/>
        </w:rPr>
        <w:t>4</w:t>
      </w:r>
      <w:r>
        <w:rPr>
          <w:rFonts w:ascii="Arial" w:hAnsi="Arial" w:cs="Arial" w:eastAsia="Arial" w:hint="default"/>
          <w:spacing w:val="-6"/>
          <w:w w:val="99"/>
        </w:rPr>
        <w:t> </w:t>
      </w:r>
      <w:r>
        <w:rPr/>
        <w:t>月</w:t>
      </w:r>
      <w:r>
        <w:rPr>
          <w:spacing w:val="-59"/>
        </w:rPr>
        <w:t> </w:t>
      </w:r>
      <w:r>
        <w:rPr>
          <w:rFonts w:ascii="Arial" w:hAnsi="Arial" w:cs="Arial" w:eastAsia="Arial" w:hint="default"/>
          <w:w w:val="99"/>
        </w:rPr>
        <w:t>20</w:t>
      </w:r>
      <w:r>
        <w:rPr>
          <w:rFonts w:ascii="Arial" w:hAnsi="Arial" w:cs="Arial" w:eastAsia="Arial" w:hint="default"/>
          <w:spacing w:val="-6"/>
          <w:w w:val="99"/>
        </w:rPr>
        <w:t> </w:t>
      </w:r>
      <w:r>
        <w:rPr>
          <w:spacing w:val="-17"/>
        </w:rPr>
        <w:t>日，经本公司</w:t>
      </w:r>
      <w:r>
        <w:rPr>
          <w:spacing w:val="-59"/>
        </w:rPr>
        <w:t> </w:t>
      </w:r>
      <w:r>
        <w:rPr>
          <w:rFonts w:ascii="Arial" w:hAnsi="Arial" w:cs="Arial" w:eastAsia="Arial" w:hint="default"/>
          <w:spacing w:val="-1"/>
          <w:w w:val="99"/>
        </w:rPr>
        <w:t>2001</w:t>
      </w:r>
      <w:r>
        <w:rPr>
          <w:rFonts w:ascii="Arial" w:hAnsi="Arial" w:cs="Arial" w:eastAsia="Arial" w:hint="default"/>
          <w:spacing w:val="-5"/>
          <w:w w:val="99"/>
        </w:rPr>
        <w:t> </w:t>
      </w:r>
      <w:r>
        <w:rPr>
          <w:spacing w:val="-5"/>
        </w:rPr>
        <w:t>年年度股东大会批准，同意环球集团及其全资、</w:t>
      </w:r>
      <w:r>
        <w:rPr/>
        <w:t> </w:t>
      </w:r>
      <w:r>
        <w:rPr>
          <w:spacing w:val="-3"/>
        </w:rPr>
        <w:t>控股公司和具有实际控制权的公司在规定的投资行业中，无偿使用</w:t>
      </w:r>
      <w:r>
        <w:rPr>
          <w:rFonts w:ascii="Arial" w:hAnsi="Arial" w:cs="Arial" w:eastAsia="Arial" w:hint="default"/>
          <w:spacing w:val="-3"/>
        </w:rPr>
        <w:t>“</w:t>
      </w:r>
      <w:r>
        <w:rPr>
          <w:spacing w:val="-3"/>
        </w:rPr>
        <w:t>蘇寧</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苏宁</w:t>
      </w:r>
      <w:r>
        <w:rPr>
          <w:rFonts w:ascii="Arial" w:hAnsi="Arial" w:cs="Arial" w:eastAsia="Arial" w:hint="default"/>
          <w:spacing w:val="-3"/>
        </w:rPr>
        <w:t>”</w:t>
      </w:r>
      <w:r>
        <w:rPr>
          <w:spacing w:val="-3"/>
        </w:rPr>
        <w:t>及</w:t>
      </w:r>
      <w:r>
        <w:rPr/>
        <w:t> </w:t>
      </w:r>
      <w:r>
        <w:rPr>
          <w:rFonts w:ascii="Arial" w:hAnsi="Arial" w:cs="Arial" w:eastAsia="Arial" w:hint="default"/>
          <w:spacing w:val="-1"/>
        </w:rPr>
        <w:t>“NS”</w:t>
      </w:r>
      <w:r>
        <w:rPr>
          <w:rFonts w:ascii="Arial" w:hAnsi="Arial" w:cs="Arial" w:eastAsia="Arial" w:hint="default"/>
          <w:spacing w:val="-44"/>
        </w:rPr>
        <w:t> </w:t>
      </w:r>
      <w:r>
        <w:rPr/>
        <w:t>组合的系列注册商标。</w:t>
      </w:r>
    </w:p>
    <w:p>
      <w:pPr>
        <w:spacing w:line="240" w:lineRule="auto" w:before="1"/>
        <w:rPr>
          <w:rFonts w:ascii="宋体" w:hAnsi="宋体" w:cs="宋体" w:eastAsia="宋体" w:hint="default"/>
          <w:sz w:val="21"/>
          <w:szCs w:val="21"/>
        </w:rPr>
      </w:pPr>
    </w:p>
    <w:p>
      <w:pPr>
        <w:pStyle w:val="BodyText"/>
        <w:spacing w:line="312" w:lineRule="exact"/>
        <w:ind w:left="811" w:right="223"/>
        <w:jc w:val="both"/>
      </w:pPr>
      <w:r>
        <w:rPr>
          <w:rFonts w:ascii="Arial" w:hAnsi="Arial" w:cs="Arial" w:eastAsia="Arial" w:hint="default"/>
        </w:rPr>
        <w:t>(2)</w:t>
      </w:r>
      <w:r>
        <w:rPr>
          <w:rFonts w:ascii="Arial" w:hAnsi="Arial" w:cs="Arial" w:eastAsia="Arial" w:hint="default"/>
          <w:spacing w:val="45"/>
        </w:rPr>
        <w:t> </w:t>
      </w:r>
      <w:r>
        <w:rPr/>
        <w:t>于</w:t>
      </w:r>
      <w:r>
        <w:rPr>
          <w:spacing w:val="-65"/>
        </w:rPr>
        <w:t> </w:t>
      </w:r>
      <w:r>
        <w:rPr>
          <w:rFonts w:ascii="Arial" w:hAnsi="Arial" w:cs="Arial" w:eastAsia="Arial" w:hint="default"/>
        </w:rPr>
        <w:t>2008</w:t>
      </w:r>
      <w:r>
        <w:rPr>
          <w:rFonts w:ascii="Arial" w:hAnsi="Arial" w:cs="Arial" w:eastAsia="Arial" w:hint="default"/>
          <w:spacing w:val="-12"/>
        </w:rPr>
        <w:t> </w:t>
      </w:r>
      <w:r>
        <w:rPr/>
        <w:t>年</w:t>
      </w:r>
      <w:r>
        <w:rPr>
          <w:spacing w:val="-65"/>
        </w:rPr>
        <w:t> </w:t>
      </w:r>
      <w:r>
        <w:rPr>
          <w:rFonts w:ascii="Arial" w:hAnsi="Arial" w:cs="Arial" w:eastAsia="Arial" w:hint="default"/>
        </w:rPr>
        <w:t>3</w:t>
      </w:r>
      <w:r>
        <w:rPr>
          <w:rFonts w:ascii="Arial" w:hAnsi="Arial" w:cs="Arial" w:eastAsia="Arial" w:hint="default"/>
          <w:spacing w:val="-12"/>
        </w:rPr>
        <w:t> </w:t>
      </w:r>
      <w:r>
        <w:rPr/>
        <w:t>月</w:t>
      </w:r>
      <w:r>
        <w:rPr>
          <w:spacing w:val="-65"/>
        </w:rPr>
        <w:t> </w:t>
      </w:r>
      <w:r>
        <w:rPr>
          <w:rFonts w:ascii="Arial" w:hAnsi="Arial" w:cs="Arial" w:eastAsia="Arial" w:hint="default"/>
        </w:rPr>
        <w:t>20</w:t>
      </w:r>
      <w:r>
        <w:rPr>
          <w:rFonts w:ascii="Arial" w:hAnsi="Arial" w:cs="Arial" w:eastAsia="Arial" w:hint="default"/>
          <w:spacing w:val="-12"/>
        </w:rPr>
        <w:t> </w:t>
      </w:r>
      <w:r>
        <w:rPr>
          <w:spacing w:val="-7"/>
        </w:rPr>
        <w:t>日，经本公司</w:t>
      </w:r>
      <w:r>
        <w:rPr>
          <w:spacing w:val="-65"/>
        </w:rPr>
        <w:t> </w:t>
      </w:r>
      <w:r>
        <w:rPr>
          <w:rFonts w:ascii="Arial" w:hAnsi="Arial" w:cs="Arial" w:eastAsia="Arial" w:hint="default"/>
        </w:rPr>
        <w:t>2007</w:t>
      </w:r>
      <w:r>
        <w:rPr>
          <w:rFonts w:ascii="Arial" w:hAnsi="Arial" w:cs="Arial" w:eastAsia="Arial" w:hint="default"/>
          <w:spacing w:val="-11"/>
        </w:rPr>
        <w:t> </w:t>
      </w:r>
      <w:r>
        <w:rPr/>
        <w:t>年年度股东大会批准，同意许可江苏苏宁电器 </w:t>
      </w:r>
      <w:r>
        <w:rPr>
          <w:spacing w:val="2"/>
        </w:rPr>
        <w:t>集团有限公司及其全资、控股子公司和具有实际控制权的公司使用本公司已注册的部分</w:t>
      </w:r>
      <w:r>
        <w:rPr>
          <w:spacing w:val="-84"/>
        </w:rPr>
        <w:t> </w:t>
      </w:r>
      <w:r>
        <w:rPr>
          <w:spacing w:val="-84"/>
        </w:rPr>
      </w:r>
      <w:r>
        <w:rPr>
          <w:rFonts w:ascii="Arial" w:hAnsi="Arial" w:cs="Arial" w:eastAsia="Arial" w:hint="default"/>
        </w:rPr>
        <w:t>“</w:t>
      </w:r>
      <w:r>
        <w:rPr/>
        <w:t>蘇寧</w:t>
      </w:r>
      <w:r>
        <w:rPr>
          <w:rFonts w:ascii="Arial" w:hAnsi="Arial" w:cs="Arial" w:eastAsia="Arial" w:hint="default"/>
        </w:rPr>
        <w:t>”</w:t>
      </w:r>
      <w:r>
        <w:rPr/>
        <w:t>系列注册商标以及部分</w:t>
      </w:r>
      <w:r>
        <w:rPr>
          <w:rFonts w:ascii="Arial" w:hAnsi="Arial" w:cs="Arial" w:eastAsia="Arial" w:hint="default"/>
        </w:rPr>
        <w:t>“</w:t>
      </w:r>
      <w:r>
        <w:rPr/>
        <w:t>苏宁</w:t>
      </w:r>
      <w:r>
        <w:rPr>
          <w:rFonts w:ascii="Arial" w:hAnsi="Arial" w:cs="Arial" w:eastAsia="Arial" w:hint="default"/>
        </w:rPr>
        <w:t>”</w:t>
      </w:r>
      <w:r>
        <w:rPr/>
        <w:t>及</w:t>
      </w:r>
      <w:r>
        <w:rPr>
          <w:spacing w:val="-13"/>
        </w:rPr>
        <w:t> </w:t>
      </w:r>
      <w:r>
        <w:rPr>
          <w:rFonts w:ascii="Arial" w:hAnsi="Arial" w:cs="Arial" w:eastAsia="Arial" w:hint="default"/>
        </w:rPr>
        <w:t>“NS”</w:t>
      </w:r>
      <w:r>
        <w:rPr/>
        <w:t>组合的系列注册商标。</w:t>
      </w:r>
    </w:p>
    <w:p>
      <w:pPr>
        <w:spacing w:line="240" w:lineRule="auto" w:before="10"/>
        <w:rPr>
          <w:rFonts w:ascii="宋体" w:hAnsi="宋体" w:cs="宋体" w:eastAsia="宋体" w:hint="default"/>
          <w:sz w:val="18"/>
          <w:szCs w:val="18"/>
        </w:rPr>
      </w:pPr>
    </w:p>
    <w:p>
      <w:pPr>
        <w:pStyle w:val="BodyText"/>
        <w:spacing w:line="322" w:lineRule="exact"/>
        <w:ind w:left="811" w:right="0"/>
        <w:jc w:val="both"/>
      </w:pPr>
      <w:r>
        <w:rPr/>
        <w:t>于</w:t>
      </w:r>
      <w:r>
        <w:rPr>
          <w:spacing w:val="-60"/>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7"/>
        </w:rPr>
        <w:t> </w:t>
      </w:r>
      <w:r>
        <w:rPr/>
        <w:t>年</w:t>
      </w:r>
      <w:r>
        <w:rPr>
          <w:spacing w:val="-59"/>
        </w:rPr>
        <w:t> </w:t>
      </w:r>
      <w:r>
        <w:rPr>
          <w:rFonts w:ascii="Arial" w:hAnsi="Arial" w:cs="Arial" w:eastAsia="Arial" w:hint="default"/>
          <w:w w:val="99"/>
        </w:rPr>
        <w:t>5</w:t>
      </w:r>
      <w:r>
        <w:rPr>
          <w:rFonts w:ascii="Arial" w:hAnsi="Arial" w:cs="Arial" w:eastAsia="Arial" w:hint="default"/>
          <w:spacing w:val="-7"/>
        </w:rPr>
        <w:t> </w:t>
      </w:r>
      <w:r>
        <w:rPr/>
        <w:t>月</w:t>
      </w:r>
      <w:r>
        <w:rPr>
          <w:spacing w:val="-60"/>
        </w:rPr>
        <w:t> </w:t>
      </w: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spacing w:val="-7"/>
        </w:rPr>
        <w:t> </w:t>
      </w:r>
      <w:r>
        <w:rPr/>
        <w:t>日，本公司与江苏苏宁电器集团有限公司签订《商标使用许可协议</w:t>
      </w:r>
      <w:r>
        <w:rPr>
          <w:spacing w:val="-121"/>
        </w:rPr>
        <w:t>》</w:t>
      </w:r>
      <w:r>
        <w:rPr/>
        <w:t>，</w:t>
      </w:r>
    </w:p>
    <w:p>
      <w:pPr>
        <w:pStyle w:val="BodyText"/>
        <w:spacing w:line="312" w:lineRule="exact" w:before="21"/>
        <w:ind w:left="811" w:right="229"/>
        <w:jc w:val="both"/>
      </w:pPr>
      <w:r>
        <w:rPr/>
        <w:t>约定自</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6</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日起，苏宁电器股份有限公司在其拥有</w:t>
      </w:r>
      <w:r>
        <w:rPr>
          <w:rFonts w:ascii="Arial" w:hAnsi="Arial" w:cs="Arial" w:eastAsia="Arial" w:hint="default"/>
        </w:rPr>
        <w:t>“</w:t>
      </w:r>
      <w:r>
        <w:rPr/>
        <w:t>苏宁</w:t>
      </w:r>
      <w:r>
        <w:rPr>
          <w:rFonts w:ascii="Arial" w:hAnsi="Arial" w:cs="Arial" w:eastAsia="Arial" w:hint="default"/>
        </w:rPr>
        <w:t>”</w:t>
      </w:r>
      <w:r>
        <w:rPr/>
        <w:t>系列注册商标的专用 </w:t>
      </w:r>
      <w:r>
        <w:rPr>
          <w:spacing w:val="-4"/>
        </w:rPr>
        <w:t>权期限内，许可江苏苏宁电器集团有限公司无限期有偿使用部分注册商标，江苏苏宁电器</w:t>
      </w:r>
      <w:r>
        <w:rPr>
          <w:spacing w:val="-84"/>
        </w:rPr>
        <w:t> </w:t>
      </w:r>
      <w:r>
        <w:rPr>
          <w:spacing w:val="-84"/>
        </w:rPr>
      </w:r>
      <w:r>
        <w:rPr/>
        <w:t>集团有限公司每年支付本公司商标使用费人民币</w:t>
      </w:r>
      <w:r>
        <w:rPr>
          <w:spacing w:val="-62"/>
        </w:rPr>
        <w:t> </w:t>
      </w:r>
      <w:r>
        <w:rPr>
          <w:rFonts w:ascii="Arial" w:hAnsi="Arial" w:cs="Arial" w:eastAsia="Arial" w:hint="default"/>
        </w:rPr>
        <w:t>100</w:t>
      </w:r>
      <w:r>
        <w:rPr>
          <w:rFonts w:ascii="Arial" w:hAnsi="Arial" w:cs="Arial" w:eastAsia="Arial" w:hint="default"/>
          <w:spacing w:val="-9"/>
        </w:rPr>
        <w:t> </w:t>
      </w:r>
      <w:r>
        <w:rPr/>
        <w:t>万元。</w:t>
      </w:r>
    </w:p>
    <w:p>
      <w:pPr>
        <w:spacing w:line="240" w:lineRule="auto" w:before="10"/>
        <w:rPr>
          <w:rFonts w:ascii="宋体" w:hAnsi="宋体" w:cs="宋体" w:eastAsia="宋体" w:hint="default"/>
          <w:sz w:val="18"/>
          <w:szCs w:val="18"/>
        </w:rPr>
      </w:pPr>
    </w:p>
    <w:p>
      <w:pPr>
        <w:pStyle w:val="BodyText"/>
        <w:tabs>
          <w:tab w:pos="811" w:val="left" w:leader="none"/>
        </w:tabs>
        <w:spacing w:line="448" w:lineRule="auto"/>
        <w:ind w:left="811" w:right="3950" w:hanging="710"/>
        <w:jc w:val="left"/>
      </w:pPr>
      <w:r>
        <w:rPr>
          <w:rFonts w:ascii="Arial" w:hAnsi="Arial" w:cs="Arial" w:eastAsia="Arial" w:hint="default"/>
          <w:w w:val="95"/>
          <w:position w:val="2"/>
        </w:rPr>
        <w:t>(d)</w:t>
        <w:tab/>
      </w:r>
      <w:r>
        <w:rPr/>
        <w:t>担保事项 江苏苏宁电器集团有限公司为本集团提供如下担保：</w:t>
      </w:r>
    </w:p>
    <w:p>
      <w:pPr>
        <w:spacing w:line="240" w:lineRule="auto" w:before="13"/>
        <w:rPr>
          <w:rFonts w:ascii="宋体" w:hAnsi="宋体" w:cs="宋体" w:eastAsia="宋体" w:hint="default"/>
          <w:sz w:val="2"/>
          <w:szCs w:val="2"/>
        </w:rPr>
      </w:pPr>
    </w:p>
    <w:tbl>
      <w:tblPr>
        <w:tblW w:w="0" w:type="auto"/>
        <w:jc w:val="left"/>
        <w:tblInd w:w="776" w:type="dxa"/>
        <w:tblLayout w:type="fixed"/>
        <w:tblCellMar>
          <w:top w:w="0" w:type="dxa"/>
          <w:left w:w="0" w:type="dxa"/>
          <w:bottom w:w="0" w:type="dxa"/>
          <w:right w:w="0" w:type="dxa"/>
        </w:tblCellMar>
        <w:tblLook w:val="01E0"/>
      </w:tblPr>
      <w:tblGrid>
        <w:gridCol w:w="3815"/>
        <w:gridCol w:w="2484"/>
        <w:gridCol w:w="535"/>
        <w:gridCol w:w="2543"/>
      </w:tblGrid>
      <w:tr>
        <w:trPr>
          <w:trHeight w:val="829" w:hRule="exact"/>
        </w:trPr>
        <w:tc>
          <w:tcPr>
            <w:tcW w:w="3815"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296" w:right="0"/>
              <w:jc w:val="lef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322" w:lineRule="exact"/>
              <w:ind w:left="108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355"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322" w:lineRule="exact"/>
              <w:ind w:left="1142"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0"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Arial" w:hAnsi="Arial" w:cs="Arial" w:eastAsia="Arial" w:hint="default"/>
                <w:sz w:val="24"/>
                <w:szCs w:val="24"/>
              </w:rPr>
            </w:pPr>
            <w:r>
              <w:rPr>
                <w:rFonts w:ascii="宋体" w:hAnsi="宋体" w:cs="宋体" w:eastAsia="宋体" w:hint="default"/>
                <w:sz w:val="24"/>
                <w:szCs w:val="24"/>
              </w:rPr>
              <w:t>短期借款</w:t>
            </w:r>
            <w:r>
              <w:rPr>
                <w:rFonts w:ascii="Arial" w:hAnsi="Arial" w:cs="Arial" w:eastAsia="Arial" w:hint="default"/>
                <w:sz w:val="24"/>
                <w:szCs w:val="24"/>
              </w:rPr>
              <w:t>(</w:t>
            </w:r>
            <w:r>
              <w:rPr>
                <w:rFonts w:ascii="宋体" w:hAnsi="宋体" w:cs="宋体" w:eastAsia="宋体" w:hint="default"/>
                <w:sz w:val="24"/>
                <w:szCs w:val="24"/>
              </w:rPr>
              <w:t>附注七</w:t>
            </w:r>
            <w:r>
              <w:rPr>
                <w:rFonts w:ascii="Arial" w:hAnsi="Arial" w:cs="Arial" w:eastAsia="Arial" w:hint="default"/>
                <w:sz w:val="24"/>
                <w:szCs w:val="24"/>
              </w:rPr>
              <w:t>(13))</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40,000</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80,000</w:t>
            </w:r>
            <w:r>
              <w:rPr>
                <w:rFonts w:ascii="Arial"/>
                <w:sz w:val="24"/>
              </w:rPr>
            </w:r>
          </w:p>
        </w:tc>
      </w:tr>
      <w:tr>
        <w:trPr>
          <w:trHeight w:val="315"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Arial" w:hAnsi="Arial" w:cs="Arial" w:eastAsia="Arial" w:hint="default"/>
                <w:sz w:val="24"/>
                <w:szCs w:val="24"/>
              </w:rPr>
            </w:pPr>
            <w:r>
              <w:rPr>
                <w:rFonts w:ascii="宋体" w:hAnsi="宋体" w:cs="宋体" w:eastAsia="宋体" w:hint="default"/>
                <w:sz w:val="24"/>
                <w:szCs w:val="24"/>
              </w:rPr>
              <w:t>应付票据</w:t>
            </w:r>
            <w:r>
              <w:rPr>
                <w:rFonts w:ascii="Arial" w:hAnsi="Arial" w:cs="Arial" w:eastAsia="Arial" w:hint="default"/>
                <w:sz w:val="24"/>
                <w:szCs w:val="24"/>
              </w:rPr>
              <w:t>(</w:t>
            </w:r>
            <w:r>
              <w:rPr>
                <w:rFonts w:ascii="宋体" w:hAnsi="宋体" w:cs="宋体" w:eastAsia="宋体" w:hint="default"/>
                <w:sz w:val="24"/>
                <w:szCs w:val="24"/>
              </w:rPr>
              <w:t>附注七</w:t>
            </w:r>
            <w:r>
              <w:rPr>
                <w:rFonts w:ascii="Arial" w:hAnsi="Arial" w:cs="Arial" w:eastAsia="Arial" w:hint="default"/>
                <w:sz w:val="24"/>
                <w:szCs w:val="24"/>
              </w:rPr>
              <w:t>(14))</w:t>
            </w:r>
          </w:p>
        </w:tc>
        <w:tc>
          <w:tcPr>
            <w:tcW w:w="2484" w:type="dxa"/>
            <w:tcBorders>
              <w:top w:val="nil" w:sz="6" w:space="0" w:color="auto"/>
              <w:left w:val="nil" w:sz="6" w:space="0" w:color="auto"/>
              <w:bottom w:val="single" w:sz="4" w:space="0" w:color="000000"/>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w w:val="95"/>
                <w:sz w:val="24"/>
              </w:rPr>
              <w:t>409,097</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single" w:sz="4" w:space="0" w:color="000000"/>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w w:val="95"/>
                <w:sz w:val="24"/>
              </w:rPr>
              <w:t>135,700</w:t>
            </w:r>
            <w:r>
              <w:rPr>
                <w:rFonts w:ascii="Arial"/>
                <w:sz w:val="24"/>
              </w:rPr>
            </w:r>
          </w:p>
        </w:tc>
      </w:tr>
      <w:tr>
        <w:trPr>
          <w:trHeight w:val="297" w:hRule="exact"/>
        </w:trPr>
        <w:tc>
          <w:tcPr>
            <w:tcW w:w="3815" w:type="dxa"/>
            <w:tcBorders>
              <w:top w:val="nil" w:sz="6" w:space="0" w:color="auto"/>
              <w:left w:val="nil" w:sz="6" w:space="0" w:color="auto"/>
              <w:bottom w:val="nil" w:sz="6" w:space="0" w:color="auto"/>
              <w:right w:val="nil" w:sz="6" w:space="0" w:color="auto"/>
            </w:tcBorders>
          </w:tcPr>
          <w:p>
            <w:pPr/>
          </w:p>
        </w:tc>
        <w:tc>
          <w:tcPr>
            <w:tcW w:w="248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449,097</w:t>
            </w:r>
            <w:r>
              <w:rPr>
                <w:rFonts w:ascii="Arial"/>
                <w:sz w:val="24"/>
              </w:rPr>
            </w:r>
          </w:p>
        </w:tc>
        <w:tc>
          <w:tcPr>
            <w:tcW w:w="535" w:type="dxa"/>
            <w:tcBorders>
              <w:top w:val="nil" w:sz="6" w:space="0" w:color="auto"/>
              <w:left w:val="nil" w:sz="6" w:space="0" w:color="auto"/>
              <w:bottom w:val="nil" w:sz="6" w:space="0" w:color="auto"/>
              <w:right w:val="nil" w:sz="6" w:space="0" w:color="auto"/>
            </w:tcBorders>
          </w:tcPr>
          <w:p>
            <w:pPr/>
          </w:p>
        </w:tc>
        <w:tc>
          <w:tcPr>
            <w:tcW w:w="254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215,700</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52" w:footer="707" w:top="1020" w:bottom="900" w:left="940" w:right="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535"/>
        <w:gridCol w:w="3985"/>
        <w:gridCol w:w="2486"/>
        <w:gridCol w:w="538"/>
        <w:gridCol w:w="2441"/>
      </w:tblGrid>
      <w:tr>
        <w:trPr>
          <w:trHeight w:val="108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tc>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7"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7" w:right="0"/>
              <w:jc w:val="left"/>
              <w:rPr>
                <w:rFonts w:ascii="Arial" w:hAnsi="Arial" w:cs="Arial" w:eastAsia="Arial" w:hint="default"/>
                <w:sz w:val="24"/>
                <w:szCs w:val="24"/>
              </w:rPr>
            </w:pP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465" w:type="dxa"/>
            <w:gridSpan w:val="3"/>
            <w:vMerge w:val="restart"/>
            <w:tcBorders>
              <w:top w:val="nil" w:sz="6" w:space="0" w:color="auto"/>
              <w:left w:val="nil" w:sz="6" w:space="0" w:color="auto"/>
              <w:right w:val="nil" w:sz="6" w:space="0" w:color="auto"/>
            </w:tcBorders>
          </w:tcPr>
          <w:p>
            <w:pPr/>
          </w:p>
        </w:tc>
      </w:tr>
      <w:tr>
        <w:trPr>
          <w:trHeight w:val="568"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Arial" w:hAnsi="Arial" w:cs="Arial" w:eastAsia="Arial" w:hint="default"/>
                <w:sz w:val="24"/>
                <w:szCs w:val="24"/>
              </w:rPr>
            </w:pPr>
            <w:r>
              <w:rPr>
                <w:rFonts w:ascii="Arial"/>
                <w:sz w:val="24"/>
              </w:rPr>
              <w:t>(e)</w:t>
            </w:r>
          </w:p>
        </w:tc>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6" w:right="0"/>
              <w:jc w:val="left"/>
              <w:rPr>
                <w:rFonts w:ascii="宋体" w:hAnsi="宋体" w:cs="宋体" w:eastAsia="宋体" w:hint="default"/>
                <w:sz w:val="24"/>
                <w:szCs w:val="24"/>
              </w:rPr>
            </w:pPr>
            <w:r>
              <w:rPr>
                <w:rFonts w:ascii="宋体" w:hAnsi="宋体" w:cs="宋体" w:eastAsia="宋体" w:hint="default"/>
                <w:sz w:val="24"/>
                <w:szCs w:val="24"/>
              </w:rPr>
              <w:t>接受劳务和购买礼品</w:t>
            </w:r>
          </w:p>
        </w:tc>
        <w:tc>
          <w:tcPr>
            <w:tcW w:w="5465" w:type="dxa"/>
            <w:gridSpan w:val="3"/>
            <w:vMerge/>
            <w:tcBorders>
              <w:left w:val="nil" w:sz="6" w:space="0" w:color="auto"/>
              <w:bottom w:val="nil" w:sz="6" w:space="0" w:color="auto"/>
              <w:right w:val="nil" w:sz="6" w:space="0" w:color="auto"/>
            </w:tcBorders>
          </w:tcPr>
          <w:p>
            <w:pPr/>
          </w:p>
        </w:tc>
      </w:tr>
      <w:tr>
        <w:trPr>
          <w:trHeight w:val="512"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03"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r>
      <w:tr>
        <w:trPr>
          <w:trHeight w:val="444"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24"/>
                <w:szCs w:val="24"/>
              </w:rPr>
            </w:pPr>
            <w:r>
              <w:rPr>
                <w:rFonts w:ascii="宋体" w:hAnsi="宋体" w:cs="宋体" w:eastAsia="宋体" w:hint="default"/>
                <w:sz w:val="24"/>
                <w:szCs w:val="24"/>
              </w:rPr>
              <w:t>江苏苏宁电器集团有限公司</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2"/>
              <w:jc w:val="right"/>
              <w:rPr>
                <w:rFonts w:ascii="Arial" w:hAnsi="Arial" w:cs="Arial" w:eastAsia="Arial" w:hint="default"/>
                <w:sz w:val="24"/>
                <w:szCs w:val="24"/>
              </w:rPr>
            </w:pPr>
            <w:r>
              <w:rPr>
                <w:rFonts w:ascii="Arial"/>
                <w:spacing w:val="-1"/>
                <w:w w:val="95"/>
                <w:sz w:val="24"/>
              </w:rPr>
              <w:t>6,195</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银河酒店管理</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2"/>
              <w:jc w:val="right"/>
              <w:rPr>
                <w:rFonts w:ascii="Arial" w:hAnsi="Arial" w:cs="Arial" w:eastAsia="Arial" w:hint="default"/>
                <w:sz w:val="24"/>
                <w:szCs w:val="24"/>
              </w:rPr>
            </w:pPr>
            <w:r>
              <w:rPr>
                <w:rFonts w:ascii="Arial"/>
                <w:spacing w:val="-1"/>
                <w:w w:val="95"/>
                <w:sz w:val="24"/>
              </w:rPr>
              <w:t>917</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907</w:t>
            </w:r>
            <w:r>
              <w:rPr>
                <w:rFonts w:ascii="Arial"/>
                <w:sz w:val="24"/>
              </w:rPr>
            </w:r>
          </w:p>
        </w:tc>
      </w:tr>
      <w:tr>
        <w:trPr>
          <w:trHeight w:val="312"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索菲特酒店</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2"/>
              <w:jc w:val="right"/>
              <w:rPr>
                <w:rFonts w:ascii="Arial" w:hAnsi="Arial" w:cs="Arial" w:eastAsia="Arial" w:hint="default"/>
                <w:sz w:val="24"/>
                <w:szCs w:val="24"/>
              </w:rPr>
            </w:pPr>
            <w:r>
              <w:rPr>
                <w:rFonts w:ascii="Arial"/>
                <w:spacing w:val="-1"/>
                <w:w w:val="95"/>
                <w:sz w:val="24"/>
              </w:rPr>
              <w:t>233</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21"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银河国际</w:t>
            </w:r>
          </w:p>
        </w:tc>
        <w:tc>
          <w:tcPr>
            <w:tcW w:w="248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2"/>
              <w:jc w:val="right"/>
              <w:rPr>
                <w:rFonts w:ascii="Arial" w:hAnsi="Arial" w:cs="Arial" w:eastAsia="Arial" w:hint="default"/>
                <w:sz w:val="24"/>
                <w:szCs w:val="24"/>
              </w:rPr>
            </w:pPr>
            <w:r>
              <w:rPr>
                <w:rFonts w:ascii="Arial"/>
                <w:spacing w:val="-1"/>
                <w:w w:val="95"/>
                <w:sz w:val="24"/>
              </w:rPr>
              <w:t>130</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296" w:hRule="exact"/>
        </w:trPr>
        <w:tc>
          <w:tcPr>
            <w:tcW w:w="535" w:type="dxa"/>
            <w:tcBorders>
              <w:top w:val="nil" w:sz="6" w:space="0" w:color="auto"/>
              <w:left w:val="nil" w:sz="6" w:space="0" w:color="auto"/>
              <w:bottom w:val="nil" w:sz="6" w:space="0" w:color="auto"/>
              <w:right w:val="nil" w:sz="6" w:space="0" w:color="auto"/>
            </w:tcBorders>
          </w:tcPr>
          <w:p>
            <w:pPr/>
          </w:p>
        </w:tc>
        <w:tc>
          <w:tcPr>
            <w:tcW w:w="3985" w:type="dxa"/>
            <w:tcBorders>
              <w:top w:val="nil" w:sz="6" w:space="0" w:color="auto"/>
              <w:left w:val="nil" w:sz="6" w:space="0" w:color="auto"/>
              <w:bottom w:val="nil" w:sz="6" w:space="0" w:color="auto"/>
              <w:right w:val="nil" w:sz="6" w:space="0" w:color="auto"/>
            </w:tcBorders>
          </w:tcPr>
          <w:p>
            <w:pPr/>
          </w:p>
        </w:tc>
        <w:tc>
          <w:tcPr>
            <w:tcW w:w="248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8"/>
              <w:jc w:val="right"/>
              <w:rPr>
                <w:rFonts w:ascii="Arial" w:hAnsi="Arial" w:cs="Arial" w:eastAsia="Arial" w:hint="default"/>
                <w:sz w:val="24"/>
                <w:szCs w:val="24"/>
              </w:rPr>
            </w:pPr>
            <w:r>
              <w:rPr>
                <w:rFonts w:ascii="Arial"/>
                <w:spacing w:val="-1"/>
                <w:w w:val="95"/>
                <w:sz w:val="24"/>
              </w:rPr>
              <w:t>7,475</w:t>
            </w:r>
            <w:r>
              <w:rPr>
                <w:rFonts w:ascii="Arial"/>
                <w:sz w:val="24"/>
              </w:rPr>
            </w:r>
          </w:p>
        </w:tc>
        <w:tc>
          <w:tcPr>
            <w:tcW w:w="538"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907</w:t>
            </w:r>
            <w:r>
              <w:rPr>
                <w:rFonts w:ascii="Arial"/>
                <w:sz w:val="24"/>
              </w:rPr>
            </w:r>
          </w:p>
        </w:tc>
      </w:tr>
    </w:tbl>
    <w:p>
      <w:pPr>
        <w:spacing w:line="240" w:lineRule="auto" w:before="13"/>
        <w:rPr>
          <w:rFonts w:ascii="宋体" w:hAnsi="宋体" w:cs="宋体" w:eastAsia="宋体" w:hint="default"/>
          <w:sz w:val="14"/>
          <w:szCs w:val="14"/>
        </w:rPr>
      </w:pPr>
    </w:p>
    <w:p>
      <w:pPr>
        <w:pStyle w:val="BodyText"/>
        <w:spacing w:line="240" w:lineRule="auto" w:before="26"/>
        <w:ind w:left="849" w:right="0"/>
        <w:jc w:val="left"/>
      </w:pPr>
      <w:r>
        <w:rPr/>
        <w:t>江苏苏宁电器集团有限公司、银河酒店管理及索菲特酒店主要为本集团提供餐饮服务。</w:t>
      </w:r>
    </w:p>
    <w:p>
      <w:pPr>
        <w:spacing w:line="240" w:lineRule="auto" w:before="12"/>
        <w:rPr>
          <w:rFonts w:ascii="宋体" w:hAnsi="宋体" w:cs="宋体" w:eastAsia="宋体" w:hint="default"/>
          <w:sz w:val="20"/>
          <w:szCs w:val="20"/>
        </w:rPr>
      </w:pPr>
    </w:p>
    <w:p>
      <w:pPr>
        <w:pStyle w:val="BodyText"/>
        <w:tabs>
          <w:tab w:pos="849" w:val="left" w:leader="none"/>
        </w:tabs>
        <w:spacing w:line="240" w:lineRule="auto"/>
        <w:ind w:left="142" w:right="0"/>
        <w:jc w:val="left"/>
      </w:pPr>
      <w:r>
        <w:rPr>
          <w:rFonts w:ascii="Arial" w:hAnsi="Arial" w:cs="Arial" w:eastAsia="Arial" w:hint="default"/>
          <w:position w:val="2"/>
        </w:rPr>
        <w:t>(f)</w:t>
        <w:tab/>
      </w:r>
      <w:r>
        <w:rPr/>
        <w:t>关键管理人员薪酬</w:t>
      </w:r>
    </w:p>
    <w:p>
      <w:pPr>
        <w:spacing w:line="240" w:lineRule="auto" w:before="12"/>
        <w:rPr>
          <w:rFonts w:ascii="宋体" w:hAnsi="宋体" w:cs="宋体" w:eastAsia="宋体" w:hint="default"/>
          <w:sz w:val="20"/>
          <w:szCs w:val="20"/>
        </w:rPr>
      </w:pPr>
    </w:p>
    <w:p>
      <w:pPr>
        <w:pStyle w:val="BodyText"/>
        <w:tabs>
          <w:tab w:pos="8685" w:val="left" w:leader="none"/>
        </w:tabs>
        <w:spacing w:line="322" w:lineRule="exact"/>
        <w:ind w:left="5703"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8555" w:val="left" w:leader="none"/>
        </w:tabs>
        <w:spacing w:line="322" w:lineRule="exact"/>
        <w:ind w:left="5558"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410" w:val="left" w:leader="none"/>
          <w:tab w:pos="9392" w:val="left" w:leader="none"/>
        </w:tabs>
        <w:spacing w:line="240" w:lineRule="auto"/>
        <w:ind w:left="849" w:right="0"/>
        <w:jc w:val="left"/>
        <w:rPr>
          <w:rFonts w:ascii="Arial" w:hAnsi="Arial" w:cs="Arial" w:eastAsia="Arial" w:hint="default"/>
        </w:rPr>
      </w:pPr>
      <w:r>
        <w:rPr/>
        <w:t>关键管理人员薪酬</w:t>
        <w:tab/>
      </w:r>
      <w:r>
        <w:rPr>
          <w:rFonts w:ascii="Arial" w:hAnsi="Arial" w:cs="Arial" w:eastAsia="Arial" w:hint="default"/>
          <w:spacing w:val="-1"/>
          <w:position w:val="2"/>
        </w:rPr>
        <w:t>4,520</w:t>
        <w:tab/>
        <w:t>4,374</w:t>
      </w:r>
      <w:r>
        <w:rPr>
          <w:rFonts w:ascii="Arial" w:hAnsi="Arial" w:cs="Arial" w:eastAsia="Arial" w:hint="default"/>
        </w:rPr>
      </w:r>
    </w:p>
    <w:p>
      <w:pPr>
        <w:spacing w:line="240" w:lineRule="auto" w:before="3"/>
        <w:rPr>
          <w:rFonts w:ascii="Arial" w:hAnsi="Arial" w:cs="Arial" w:eastAsia="Arial" w:hint="default"/>
          <w:sz w:val="3"/>
          <w:szCs w:val="3"/>
        </w:rPr>
      </w:pPr>
    </w:p>
    <w:p>
      <w:pPr>
        <w:tabs>
          <w:tab w:pos="7637" w:val="left" w:leader="none"/>
        </w:tabs>
        <w:spacing w:line="30" w:lineRule="exact"/>
        <w:ind w:left="4613" w:right="0" w:firstLine="0"/>
        <w:rPr>
          <w:rFonts w:ascii="Arial" w:hAnsi="Arial" w:cs="Arial" w:eastAsia="Arial" w:hint="default"/>
          <w:sz w:val="3"/>
          <w:szCs w:val="3"/>
        </w:rPr>
      </w:pPr>
      <w:r>
        <w:rPr>
          <w:rFonts w:ascii="Arial"/>
          <w:position w:val="0"/>
          <w:sz w:val="3"/>
        </w:rPr>
        <w:pict>
          <v:group style="width:125.7pt;height:1.5pt;mso-position-horizontal-relative:char;mso-position-vertical-relative:line" coordorigin="0,0" coordsize="2514,30">
            <v:group style="position:absolute;left:15;top:15;width:2484;height:2" coordorigin="15,15" coordsize="2484,2">
              <v:shape style="position:absolute;left:15;top:15;width:2484;height:2" coordorigin="15,15" coordsize="2484,0" path="m15,15l2499,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3.55pt;height:1.5pt;mso-position-horizontal-relative:char;mso-position-vertical-relative:line" coordorigin="0,0" coordsize="2471,30">
            <v:group style="position:absolute;left:15;top:15;width:2441;height:2" coordorigin="15,15" coordsize="2441,2">
              <v:shape style="position:absolute;left:15;top:15;width:2441;height:2" coordorigin="15,15" coordsize="2441,0" path="m15,15l2456,15e" filled="false" stroked="true" strokeweight="1.5pt" strokecolor="#000000">
                <v:path arrowok="t"/>
              </v:shape>
            </v:group>
          </v:group>
        </w:pict>
      </w:r>
      <w:r>
        <w:rPr>
          <w:rFonts w:ascii="Arial"/>
          <w:position w:val="0"/>
          <w:sz w:val="3"/>
        </w:rPr>
      </w:r>
    </w:p>
    <w:p>
      <w:pPr>
        <w:spacing w:line="240" w:lineRule="auto" w:before="9"/>
        <w:rPr>
          <w:rFonts w:ascii="Arial" w:hAnsi="Arial" w:cs="Arial" w:eastAsia="Arial" w:hint="default"/>
          <w:sz w:val="17"/>
          <w:szCs w:val="17"/>
        </w:rPr>
      </w:pPr>
    </w:p>
    <w:p>
      <w:pPr>
        <w:tabs>
          <w:tab w:pos="849" w:val="left" w:leader="none"/>
        </w:tabs>
        <w:spacing w:before="32"/>
        <w:ind w:left="14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关联方应收、应付款项余额</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240" w:lineRule="auto"/>
        <w:ind w:left="849" w:right="0"/>
        <w:jc w:val="left"/>
      </w:pPr>
      <w:r>
        <w:rPr/>
        <w:t>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日，无应收或应付关联方款项余额。</w:t>
      </w:r>
    </w:p>
    <w:p>
      <w:pPr>
        <w:spacing w:after="0" w:line="240" w:lineRule="auto"/>
        <w:jc w:val="left"/>
        <w:sectPr>
          <w:pgSz w:w="11910" w:h="16840"/>
          <w:pgMar w:header="752" w:footer="707" w:top="1020" w:bottom="900" w:left="900" w:right="780"/>
        </w:sectPr>
      </w:pPr>
    </w:p>
    <w:p>
      <w:pPr>
        <w:spacing w:line="240" w:lineRule="auto" w:before="0"/>
        <w:rPr>
          <w:rFonts w:ascii="宋体" w:hAnsi="宋体" w:cs="宋体" w:eastAsia="宋体" w:hint="default"/>
          <w:sz w:val="20"/>
          <w:szCs w:val="20"/>
        </w:rPr>
      </w:pPr>
    </w:p>
    <w:p>
      <w:pPr>
        <w:pStyle w:val="Heading2"/>
        <w:tabs>
          <w:tab w:pos="802" w:val="left" w:leader="none"/>
        </w:tabs>
        <w:spacing w:line="240" w:lineRule="auto" w:before="158"/>
        <w:ind w:right="741"/>
        <w:jc w:val="left"/>
        <w:rPr>
          <w:b w:val="0"/>
          <w:bCs w:val="0"/>
        </w:rPr>
      </w:pPr>
      <w:r>
        <w:rPr>
          <w:w w:val="95"/>
        </w:rPr>
        <w:t>九</w:t>
        <w:tab/>
      </w:r>
      <w:r>
        <w:rPr/>
        <w:t>承诺事项</w:t>
      </w:r>
      <w:r>
        <w:rPr>
          <w:b w:val="0"/>
          <w:bCs w:val="0"/>
        </w:rPr>
      </w:r>
    </w:p>
    <w:p>
      <w:pPr>
        <w:spacing w:line="240" w:lineRule="auto" w:before="4"/>
        <w:rPr>
          <w:rFonts w:ascii="宋体" w:hAnsi="宋体" w:cs="宋体" w:eastAsia="宋体" w:hint="default"/>
          <w:b/>
          <w:bCs/>
          <w:sz w:val="18"/>
          <w:szCs w:val="18"/>
        </w:rPr>
      </w:pPr>
    </w:p>
    <w:p>
      <w:pPr>
        <w:pStyle w:val="BodyText"/>
        <w:tabs>
          <w:tab w:pos="802" w:val="left" w:leader="none"/>
        </w:tabs>
        <w:spacing w:line="448" w:lineRule="auto"/>
        <w:ind w:left="802" w:right="161" w:hanging="700"/>
        <w:jc w:val="left"/>
      </w:pPr>
      <w:r>
        <w:rPr>
          <w:rFonts w:ascii="Arial" w:hAnsi="Arial" w:cs="Arial" w:eastAsia="Arial" w:hint="default"/>
          <w:w w:val="95"/>
          <w:position w:val="2"/>
        </w:rPr>
        <w:t>(1)</w:t>
        <w:tab/>
      </w:r>
      <w:r>
        <w:rPr/>
        <w:t>资本性承诺事项 以下本集团为于资产负债表日，已签约而尚不必在资产负债表上列示的资本性支出承诺：</w:t>
      </w:r>
    </w:p>
    <w:p>
      <w:pPr>
        <w:pStyle w:val="BodyText"/>
        <w:tabs>
          <w:tab w:pos="8001" w:val="left" w:leader="none"/>
        </w:tabs>
        <w:spacing w:line="322" w:lineRule="exact" w:before="65"/>
        <w:ind w:left="5028"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782" w:val="left" w:leader="none"/>
        </w:tabs>
        <w:spacing w:line="322" w:lineRule="exact"/>
        <w:ind w:left="5796"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202" w:val="left" w:leader="none"/>
          <w:tab w:pos="9038" w:val="left" w:leader="none"/>
        </w:tabs>
        <w:spacing w:line="240" w:lineRule="auto"/>
        <w:ind w:left="802" w:right="0"/>
        <w:jc w:val="left"/>
        <w:rPr>
          <w:rFonts w:ascii="Arial" w:hAnsi="Arial" w:cs="Arial" w:eastAsia="Arial" w:hint="default"/>
        </w:rPr>
      </w:pPr>
      <w:r>
        <w:rPr/>
        <w:t>房屋、建筑物及机器设备</w:t>
        <w:tab/>
      </w:r>
      <w:r>
        <w:rPr>
          <w:rFonts w:ascii="Arial" w:hAnsi="Arial" w:cs="Arial" w:eastAsia="Arial" w:hint="default"/>
          <w:spacing w:val="-4"/>
          <w:position w:val="2"/>
        </w:rPr>
        <w:t>112,356</w:t>
        <w:tab/>
      </w:r>
      <w:r>
        <w:rPr>
          <w:rFonts w:ascii="Arial" w:hAnsi="Arial" w:cs="Arial" w:eastAsia="Arial" w:hint="default"/>
          <w:position w:val="2"/>
        </w:rPr>
        <w:t>262,709</w:t>
      </w:r>
      <w:r>
        <w:rPr>
          <w:rFonts w:ascii="Arial" w:hAnsi="Arial" w:cs="Arial" w:eastAsia="Arial" w:hint="default"/>
        </w:rPr>
      </w:r>
    </w:p>
    <w:p>
      <w:pPr>
        <w:spacing w:line="240" w:lineRule="auto" w:before="3"/>
        <w:rPr>
          <w:rFonts w:ascii="Arial" w:hAnsi="Arial" w:cs="Arial" w:eastAsia="Arial" w:hint="default"/>
          <w:sz w:val="3"/>
          <w:szCs w:val="3"/>
        </w:rPr>
      </w:pPr>
    </w:p>
    <w:p>
      <w:pPr>
        <w:tabs>
          <w:tab w:pos="7627" w:val="left" w:leader="none"/>
        </w:tabs>
        <w:spacing w:line="30" w:lineRule="exact"/>
        <w:ind w:left="4429" w:right="0" w:firstLine="0"/>
        <w:rPr>
          <w:rFonts w:ascii="Arial" w:hAnsi="Arial" w:cs="Arial" w:eastAsia="Arial" w:hint="default"/>
          <w:sz w:val="3"/>
          <w:szCs w:val="3"/>
        </w:rPr>
      </w:pPr>
      <w:r>
        <w:rPr>
          <w:rFonts w:ascii="Arial"/>
          <w:position w:val="0"/>
          <w:sz w:val="3"/>
        </w:rPr>
        <w:pict>
          <v:group style="width:140.1pt;height:1.5pt;mso-position-horizontal-relative:char;mso-position-vertical-relative:line" coordorigin="0,0" coordsize="2802,30">
            <v:group style="position:absolute;left:15;top:15;width:2772;height:2" coordorigin="15,15" coordsize="2772,2">
              <v:shape style="position:absolute;left:15;top:15;width:2772;height:2" coordorigin="15,15" coordsize="2772,0" path="m15,15l278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8.8pt;height:1.5pt;mso-position-horizontal-relative:char;mso-position-vertical-relative:line" coordorigin="0,0" coordsize="2576,30">
            <v:group style="position:absolute;left:15;top:15;width:2546;height:2" coordorigin="15,15" coordsize="2546,2">
              <v:shape style="position:absolute;left:15;top:15;width:2546;height:2" coordorigin="15,15" coordsize="2546,0" path="m15,15l2560,15e" filled="false" stroked="true" strokeweight="1.5pt" strokecolor="#000000">
                <v:path arrowok="t"/>
              </v:shape>
            </v:group>
          </v:group>
        </w:pict>
      </w:r>
      <w:r>
        <w:rPr>
          <w:rFonts w:ascii="Arial"/>
          <w:position w:val="0"/>
          <w:sz w:val="3"/>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pStyle w:val="BodyText"/>
        <w:tabs>
          <w:tab w:pos="802" w:val="left" w:leader="none"/>
        </w:tabs>
        <w:spacing w:line="448" w:lineRule="auto" w:before="32"/>
        <w:ind w:left="802" w:right="2081" w:hanging="700"/>
        <w:jc w:val="left"/>
      </w:pPr>
      <w:r>
        <w:rPr>
          <w:rFonts w:ascii="Arial" w:hAnsi="Arial" w:cs="Arial" w:eastAsia="Arial" w:hint="default"/>
          <w:w w:val="95"/>
          <w:position w:val="2"/>
        </w:rPr>
        <w:t>(2)</w:t>
        <w:tab/>
      </w:r>
      <w:r>
        <w:rPr/>
        <w:t>经营租赁承诺事项 根据已签订的经营性租赁合同，本集团未来最低应支付租金汇总如下：</w:t>
      </w:r>
    </w:p>
    <w:p>
      <w:pPr>
        <w:pStyle w:val="BodyText"/>
        <w:tabs>
          <w:tab w:pos="8001" w:val="left" w:leader="none"/>
        </w:tabs>
        <w:spacing w:line="322" w:lineRule="exact" w:before="65"/>
        <w:ind w:left="5028"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8600" w:val="left" w:leader="none"/>
        </w:tabs>
        <w:spacing w:line="322" w:lineRule="exact"/>
        <w:ind w:left="5615"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6047" w:val="left" w:leader="none"/>
          <w:tab w:pos="9019" w:val="left" w:leader="none"/>
        </w:tabs>
        <w:spacing w:line="313" w:lineRule="exact"/>
        <w:ind w:left="802" w:right="0"/>
        <w:jc w:val="left"/>
        <w:rPr>
          <w:rFonts w:ascii="Arial" w:hAnsi="Arial" w:cs="Arial" w:eastAsia="Arial" w:hint="default"/>
        </w:rPr>
      </w:pPr>
      <w:r>
        <w:rPr/>
        <w:t>一年以内</w:t>
        <w:tab/>
      </w:r>
      <w:r>
        <w:rPr>
          <w:rFonts w:ascii="Arial" w:hAnsi="Arial" w:cs="Arial" w:eastAsia="Arial" w:hint="default"/>
          <w:spacing w:val="-1"/>
          <w:position w:val="2"/>
        </w:rPr>
        <w:t>1,848,651</w:t>
        <w:tab/>
        <w:t>1,559,540</w:t>
      </w:r>
      <w:r>
        <w:rPr>
          <w:rFonts w:ascii="Arial" w:hAnsi="Arial" w:cs="Arial" w:eastAsia="Arial" w:hint="default"/>
        </w:rPr>
      </w:r>
    </w:p>
    <w:p>
      <w:pPr>
        <w:pStyle w:val="BodyText"/>
        <w:tabs>
          <w:tab w:pos="6047" w:val="left" w:leader="none"/>
          <w:tab w:pos="9019" w:val="left" w:leader="none"/>
        </w:tabs>
        <w:spacing w:line="312" w:lineRule="exact"/>
        <w:ind w:left="802" w:right="0"/>
        <w:jc w:val="left"/>
        <w:rPr>
          <w:rFonts w:ascii="Arial" w:hAnsi="Arial" w:cs="Arial" w:eastAsia="Arial" w:hint="default"/>
        </w:rPr>
      </w:pPr>
      <w:r>
        <w:rPr/>
        <w:t>一年至二年以内</w:t>
        <w:tab/>
      </w:r>
      <w:r>
        <w:rPr>
          <w:rFonts w:ascii="Arial" w:hAnsi="Arial" w:cs="Arial" w:eastAsia="Arial" w:hint="default"/>
          <w:spacing w:val="-1"/>
          <w:position w:val="2"/>
        </w:rPr>
        <w:t>1,533,015</w:t>
        <w:tab/>
        <w:t>1,602,360</w:t>
      </w:r>
      <w:r>
        <w:rPr>
          <w:rFonts w:ascii="Arial" w:hAnsi="Arial" w:cs="Arial" w:eastAsia="Arial" w:hint="default"/>
        </w:rPr>
      </w:r>
    </w:p>
    <w:p>
      <w:pPr>
        <w:pStyle w:val="BodyText"/>
        <w:tabs>
          <w:tab w:pos="6065" w:val="left" w:leader="none"/>
          <w:tab w:pos="9019" w:val="left" w:leader="none"/>
        </w:tabs>
        <w:spacing w:line="312" w:lineRule="exact"/>
        <w:ind w:left="802" w:right="0"/>
        <w:jc w:val="left"/>
        <w:rPr>
          <w:rFonts w:ascii="Arial" w:hAnsi="Arial" w:cs="Arial" w:eastAsia="Arial" w:hint="default"/>
        </w:rPr>
      </w:pPr>
      <w:r>
        <w:rPr/>
        <w:t>二年至三年以内</w:t>
        <w:tab/>
      </w:r>
      <w:r>
        <w:rPr>
          <w:rFonts w:ascii="Arial" w:hAnsi="Arial" w:cs="Arial" w:eastAsia="Arial" w:hint="default"/>
          <w:spacing w:val="-3"/>
          <w:position w:val="2"/>
        </w:rPr>
        <w:t>1,591,112</w:t>
        <w:tab/>
      </w:r>
      <w:r>
        <w:rPr>
          <w:rFonts w:ascii="Arial" w:hAnsi="Arial" w:cs="Arial" w:eastAsia="Arial" w:hint="default"/>
          <w:position w:val="2"/>
        </w:rPr>
        <w:t>1,639,043</w:t>
      </w:r>
      <w:r>
        <w:rPr>
          <w:rFonts w:ascii="Arial" w:hAnsi="Arial" w:cs="Arial" w:eastAsia="Arial" w:hint="default"/>
        </w:rPr>
      </w:r>
    </w:p>
    <w:p>
      <w:pPr>
        <w:pStyle w:val="BodyText"/>
        <w:tabs>
          <w:tab w:pos="6047" w:val="left" w:leader="none"/>
          <w:tab w:pos="9019" w:val="left" w:leader="none"/>
        </w:tabs>
        <w:spacing w:line="313" w:lineRule="exact"/>
        <w:ind w:left="802" w:right="0"/>
        <w:jc w:val="left"/>
        <w:rPr>
          <w:rFonts w:ascii="Arial" w:hAnsi="Arial" w:cs="Arial" w:eastAsia="Arial" w:hint="default"/>
        </w:rPr>
      </w:pPr>
      <w:r>
        <w:rPr/>
        <w:t>三年以上</w:t>
        <w:tab/>
      </w:r>
      <w:r>
        <w:rPr>
          <w:rFonts w:ascii="Arial" w:hAnsi="Arial" w:cs="Arial" w:eastAsia="Arial" w:hint="default"/>
          <w:spacing w:val="-1"/>
          <w:position w:val="2"/>
        </w:rPr>
        <w:t>9,199,838</w:t>
        <w:tab/>
        <w:t>7,647,255</w:t>
      </w:r>
      <w:r>
        <w:rPr>
          <w:rFonts w:ascii="Arial" w:hAnsi="Arial" w:cs="Arial" w:eastAsia="Arial" w:hint="default"/>
        </w:rPr>
      </w:r>
    </w:p>
    <w:p>
      <w:pPr>
        <w:spacing w:line="240" w:lineRule="auto" w:before="3"/>
        <w:rPr>
          <w:rFonts w:ascii="Arial" w:hAnsi="Arial" w:cs="Arial" w:eastAsia="Arial" w:hint="default"/>
          <w:sz w:val="3"/>
          <w:szCs w:val="3"/>
        </w:rPr>
      </w:pPr>
    </w:p>
    <w:p>
      <w:pPr>
        <w:tabs>
          <w:tab w:pos="7637" w:val="left" w:leader="none"/>
        </w:tabs>
        <w:spacing w:line="20" w:lineRule="exact"/>
        <w:ind w:left="4448" w:right="0" w:firstLine="0"/>
        <w:rPr>
          <w:rFonts w:ascii="Arial" w:hAnsi="Arial" w:cs="Arial" w:eastAsia="Arial" w:hint="default"/>
          <w:sz w:val="2"/>
          <w:szCs w:val="2"/>
        </w:rPr>
      </w:pPr>
      <w:r>
        <w:rPr>
          <w:rFonts w:ascii="Arial"/>
          <w:sz w:val="2"/>
        </w:rPr>
        <w:pict>
          <v:group style="width:138.7pt;height:.5pt;mso-position-horizontal-relative:char;mso-position-vertical-relative:line" coordorigin="0,0" coordsize="2774,10">
            <v:group style="position:absolute;left:5;top:5;width:2764;height:2" coordorigin="5,5" coordsize="2764,2">
              <v:shape style="position:absolute;left:5;top:5;width:2764;height:2" coordorigin="5,5" coordsize="2764,0" path="m5,5l2768,5e" filled="false" stroked="true" strokeweight=".48001pt" strokecolor="#000000">
                <v:path arrowok="t"/>
              </v:shape>
            </v:group>
          </v:group>
        </w:pict>
      </w:r>
      <w:r>
        <w:rPr>
          <w:rFonts w:ascii="Arial"/>
          <w:sz w:val="2"/>
        </w:rPr>
      </w:r>
      <w:r>
        <w:rPr>
          <w:rFonts w:ascii="Arial"/>
          <w:sz w:val="2"/>
        </w:rPr>
        <w:tab/>
      </w:r>
      <w:r>
        <w:rPr>
          <w:rFonts w:ascii="Arial"/>
          <w:sz w:val="2"/>
        </w:rPr>
        <w:pict>
          <v:group style="width:127.75pt;height:.5pt;mso-position-horizontal-relative:char;mso-position-vertical-relative:line" coordorigin="0,0" coordsize="2555,10">
            <v:group style="position:absolute;left:5;top:5;width:2546;height:2" coordorigin="5,5" coordsize="2546,2">
              <v:shape style="position:absolute;left:5;top:5;width:2546;height:2" coordorigin="5,5" coordsize="2546,0" path="m5,5l2550,5e" filled="false" stroked="true" strokeweight=".48pt" strokecolor="#000000">
                <v:path arrowok="t"/>
              </v:shape>
            </v:group>
          </v:group>
        </w:pict>
      </w:r>
      <w:r>
        <w:rPr>
          <w:rFonts w:ascii="Arial"/>
          <w:sz w:val="2"/>
        </w:rPr>
      </w:r>
    </w:p>
    <w:p>
      <w:pPr>
        <w:pStyle w:val="BodyText"/>
        <w:tabs>
          <w:tab w:pos="8649" w:val="left" w:leader="none"/>
        </w:tabs>
        <w:spacing w:line="240" w:lineRule="auto"/>
        <w:ind w:left="5676" w:right="0"/>
        <w:jc w:val="center"/>
        <w:rPr>
          <w:rFonts w:ascii="Arial" w:hAnsi="Arial" w:cs="Arial" w:eastAsia="Arial" w:hint="default"/>
        </w:rPr>
      </w:pPr>
      <w:r>
        <w:rPr>
          <w:rFonts w:ascii="Arial"/>
          <w:spacing w:val="-1"/>
        </w:rPr>
        <w:t>14,172,616</w:t>
        <w:tab/>
        <w:t>12,448,198</w:t>
      </w:r>
      <w:r>
        <w:rPr>
          <w:rFonts w:ascii="Arial"/>
        </w:rPr>
      </w:r>
    </w:p>
    <w:p>
      <w:pPr>
        <w:tabs>
          <w:tab w:pos="7620" w:val="left" w:leader="none"/>
        </w:tabs>
        <w:spacing w:line="30" w:lineRule="exact"/>
        <w:ind w:left="4430" w:right="0" w:firstLine="0"/>
        <w:rPr>
          <w:rFonts w:ascii="Arial" w:hAnsi="Arial" w:cs="Arial" w:eastAsia="Arial" w:hint="default"/>
          <w:sz w:val="3"/>
          <w:szCs w:val="3"/>
        </w:rPr>
      </w:pPr>
      <w:r>
        <w:rPr>
          <w:rFonts w:ascii="Arial"/>
          <w:position w:val="0"/>
          <w:sz w:val="3"/>
        </w:rPr>
        <w:pict>
          <v:group style="width:140.4pt;height:1.5pt;mso-position-horizontal-relative:char;mso-position-vertical-relative:line" coordorigin="0,0" coordsize="2808,30">
            <v:group style="position:absolute;left:15;top:15;width:2778;height:2" coordorigin="15,15" coordsize="2778,2">
              <v:shape style="position:absolute;left:15;top:15;width:2778;height:2" coordorigin="15,15" coordsize="2778,0" path="m15,15l2793,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29.5pt;height:1.5pt;mso-position-horizontal-relative:char;mso-position-vertical-relative:line" coordorigin="0,0" coordsize="2590,30">
            <v:group style="position:absolute;left:15;top:15;width:2560;height:2" coordorigin="15,15" coordsize="2560,2">
              <v:shape style="position:absolute;left:15;top:15;width:2560;height:2" coordorigin="15,15" coordsize="2560,0" path="m15,15l2575,15e" filled="false" stroked="true" strokeweight="1.5pt" strokecolor="#000000">
                <v:path arrowok="t"/>
              </v:shape>
            </v:group>
          </v:group>
        </w:pict>
      </w:r>
      <w:r>
        <w:rPr>
          <w:rFonts w:ascii="Arial"/>
          <w:position w:val="0"/>
          <w:sz w:val="3"/>
        </w:rPr>
      </w:r>
    </w:p>
    <w:p>
      <w:pPr>
        <w:spacing w:line="240" w:lineRule="auto" w:before="7"/>
        <w:rPr>
          <w:rFonts w:ascii="Arial" w:hAnsi="Arial" w:cs="Arial" w:eastAsia="Arial" w:hint="default"/>
          <w:sz w:val="15"/>
          <w:szCs w:val="15"/>
        </w:rPr>
      </w:pPr>
    </w:p>
    <w:p>
      <w:pPr>
        <w:pStyle w:val="Heading2"/>
        <w:tabs>
          <w:tab w:pos="802" w:val="left" w:leader="none"/>
        </w:tabs>
        <w:spacing w:line="240" w:lineRule="auto"/>
        <w:ind w:right="741"/>
        <w:jc w:val="left"/>
        <w:rPr>
          <w:b w:val="0"/>
          <w:bCs w:val="0"/>
        </w:rPr>
      </w:pPr>
      <w:r>
        <w:rPr>
          <w:w w:val="95"/>
        </w:rPr>
        <w:t>十</w:t>
        <w:tab/>
      </w:r>
      <w:r>
        <w:rPr/>
        <w:t>或有事项</w:t>
      </w:r>
      <w:r>
        <w:rPr>
          <w:b w:val="0"/>
          <w:bCs w:val="0"/>
        </w:rPr>
      </w:r>
    </w:p>
    <w:p>
      <w:pPr>
        <w:spacing w:line="240" w:lineRule="auto" w:before="12"/>
        <w:rPr>
          <w:rFonts w:ascii="宋体" w:hAnsi="宋体" w:cs="宋体" w:eastAsia="宋体" w:hint="default"/>
          <w:b/>
          <w:bCs/>
          <w:sz w:val="20"/>
          <w:szCs w:val="20"/>
        </w:rPr>
      </w:pPr>
    </w:p>
    <w:p>
      <w:pPr>
        <w:tabs>
          <w:tab w:pos="802" w:val="left" w:leader="none"/>
        </w:tabs>
        <w:spacing w:line="400" w:lineRule="auto" w:before="0"/>
        <w:ind w:left="102" w:right="4251" w:firstLine="69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2008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日，本集团无重大或有事项。 </w:t>
      </w:r>
      <w:r>
        <w:rPr>
          <w:rFonts w:ascii="宋体" w:hAnsi="宋体" w:cs="宋体" w:eastAsia="宋体" w:hint="default"/>
          <w:b/>
          <w:bCs/>
          <w:w w:val="95"/>
          <w:sz w:val="24"/>
          <w:szCs w:val="24"/>
        </w:rPr>
        <w:t>十一</w:t>
        <w:tab/>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pStyle w:val="BodyText"/>
        <w:spacing w:line="322" w:lineRule="exact" w:before="113"/>
        <w:ind w:left="802" w:right="0"/>
        <w:jc w:val="left"/>
        <w:rPr>
          <w:rFonts w:ascii="Arial" w:hAnsi="Arial" w:cs="Arial" w:eastAsia="Arial" w:hint="default"/>
        </w:rPr>
      </w:pPr>
      <w:r>
        <w:rPr/>
        <w:t>根据</w:t>
      </w:r>
      <w:r>
        <w:rPr>
          <w:spacing w:val="-64"/>
        </w:rPr>
        <w:t> </w:t>
      </w:r>
      <w:r>
        <w:rPr>
          <w:rFonts w:ascii="Arial" w:hAnsi="Arial" w:cs="Arial" w:eastAsia="Arial" w:hint="default"/>
        </w:rPr>
        <w:t>2009</w:t>
      </w:r>
      <w:r>
        <w:rPr>
          <w:rFonts w:ascii="Arial" w:hAnsi="Arial" w:cs="Arial" w:eastAsia="Arial" w:hint="default"/>
          <w:spacing w:val="-10"/>
        </w:rPr>
        <w:t> </w:t>
      </w:r>
      <w:r>
        <w:rPr/>
        <w:t>年</w:t>
      </w:r>
      <w:r>
        <w:rPr>
          <w:spacing w:val="-64"/>
        </w:rPr>
        <w:t> </w:t>
      </w:r>
      <w:r>
        <w:rPr>
          <w:rFonts w:ascii="Arial" w:hAnsi="Arial" w:cs="Arial" w:eastAsia="Arial" w:hint="default"/>
        </w:rPr>
        <w:t>2</w:t>
      </w:r>
      <w:r>
        <w:rPr>
          <w:rFonts w:ascii="Arial" w:hAnsi="Arial" w:cs="Arial" w:eastAsia="Arial" w:hint="default"/>
          <w:spacing w:val="-11"/>
        </w:rPr>
        <w:t> </w:t>
      </w:r>
      <w:r>
        <w:rPr/>
        <w:t>月</w:t>
      </w:r>
      <w:r>
        <w:rPr>
          <w:spacing w:val="-64"/>
        </w:rPr>
        <w:t> </w:t>
      </w:r>
      <w:r>
        <w:rPr>
          <w:rFonts w:ascii="Arial" w:hAnsi="Arial" w:cs="Arial" w:eastAsia="Arial" w:hint="default"/>
        </w:rPr>
        <w:t>27</w:t>
      </w:r>
      <w:r>
        <w:rPr>
          <w:rFonts w:ascii="Arial" w:hAnsi="Arial" w:cs="Arial" w:eastAsia="Arial" w:hint="default"/>
          <w:spacing w:val="-10"/>
        </w:rPr>
        <w:t> </w:t>
      </w:r>
      <w:r>
        <w:rPr/>
        <w:t>日董事会决议，董事会提议本公司向全体股东派发股票股利，每</w:t>
      </w:r>
      <w:r>
        <w:rPr>
          <w:spacing w:val="-64"/>
        </w:rPr>
        <w:t> </w:t>
      </w:r>
      <w:r>
        <w:rPr>
          <w:rFonts w:ascii="Arial" w:hAnsi="Arial" w:cs="Arial" w:eastAsia="Arial" w:hint="default"/>
        </w:rPr>
        <w:t>10</w:t>
      </w:r>
    </w:p>
    <w:p>
      <w:pPr>
        <w:pStyle w:val="BodyText"/>
        <w:spacing w:line="312" w:lineRule="exact"/>
        <w:ind w:left="802" w:right="0"/>
        <w:jc w:val="left"/>
        <w:rPr>
          <w:rFonts w:ascii="Arial" w:hAnsi="Arial" w:cs="Arial" w:eastAsia="Arial" w:hint="default"/>
        </w:rPr>
      </w:pPr>
      <w:r>
        <w:rPr/>
        <w:t>股送红股</w:t>
      </w:r>
      <w:r>
        <w:rPr>
          <w:spacing w:val="-83"/>
        </w:rPr>
        <w:t> </w:t>
      </w:r>
      <w:r>
        <w:rPr>
          <w:rFonts w:ascii="Arial" w:hAnsi="Arial" w:cs="Arial" w:eastAsia="Arial" w:hint="default"/>
          <w:w w:val="99"/>
        </w:rPr>
        <w:t>2</w:t>
      </w:r>
      <w:r>
        <w:rPr>
          <w:rFonts w:ascii="Arial" w:hAnsi="Arial" w:cs="Arial" w:eastAsia="Arial" w:hint="default"/>
          <w:spacing w:val="-31"/>
        </w:rPr>
        <w:t> </w:t>
      </w:r>
      <w:r>
        <w:rPr/>
        <w:t>股</w:t>
      </w:r>
      <w:r>
        <w:rPr>
          <w:spacing w:val="-120"/>
        </w:rPr>
        <w:t>，</w:t>
      </w:r>
      <w:r>
        <w:rPr/>
        <w:t>并派发现金股利</w:t>
      </w:r>
      <w:r>
        <w:rPr>
          <w:spacing w:val="-120"/>
        </w:rPr>
        <w:t>，</w:t>
      </w:r>
      <w:r>
        <w:rPr/>
        <w:t>每</w:t>
      </w:r>
      <w:r>
        <w:rPr>
          <w:spacing w:val="-83"/>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30"/>
        </w:rPr>
        <w:t> </w:t>
      </w:r>
      <w:r>
        <w:rPr>
          <w:spacing w:val="-1"/>
        </w:rPr>
        <w:t>股人民</w:t>
      </w:r>
      <w:r>
        <w:rPr/>
        <w:t>币</w:t>
      </w:r>
      <w:r>
        <w:rPr>
          <w:spacing w:val="-84"/>
        </w:rPr>
        <w:t> </w:t>
      </w:r>
      <w:r>
        <w:rPr>
          <w:rFonts w:ascii="Arial" w:hAnsi="Arial" w:cs="Arial" w:eastAsia="Arial" w:hint="default"/>
        </w:rPr>
        <w:t>0.3</w:t>
      </w:r>
      <w:r>
        <w:rPr>
          <w:rFonts w:ascii="Arial" w:hAnsi="Arial" w:cs="Arial" w:eastAsia="Arial" w:hint="default"/>
          <w:spacing w:val="-30"/>
        </w:rPr>
        <w:t> </w:t>
      </w:r>
      <w:r>
        <w:rPr/>
        <w:t>元</w:t>
      </w:r>
      <w:r>
        <w:rPr>
          <w:rFonts w:ascii="Arial" w:hAnsi="Arial" w:cs="Arial" w:eastAsia="Arial" w:hint="default"/>
          <w:spacing w:val="-1"/>
        </w:rPr>
        <w:t>(</w:t>
      </w:r>
      <w:r>
        <w:rPr/>
        <w:t>含税</w:t>
      </w:r>
      <w:r>
        <w:rPr>
          <w:rFonts w:ascii="Arial" w:hAnsi="Arial" w:cs="Arial" w:eastAsia="Arial" w:hint="default"/>
        </w:rPr>
        <w:t>)</w:t>
      </w:r>
      <w:r>
        <w:rPr>
          <w:spacing w:val="-120"/>
        </w:rPr>
        <w:t>，</w:t>
      </w:r>
      <w:r>
        <w:rPr/>
        <w:t>按已发行股份</w:t>
      </w:r>
      <w:r>
        <w:rPr>
          <w:spacing w:val="-83"/>
        </w:rPr>
        <w:t> </w:t>
      </w:r>
      <w:r>
        <w:rPr>
          <w:rFonts w:ascii="Arial" w:hAnsi="Arial" w:cs="Arial" w:eastAsia="Arial" w:hint="default"/>
          <w:w w:val="99"/>
        </w:rPr>
        <w:t>2,991,008,000</w:t>
      </w:r>
      <w:r>
        <w:rPr>
          <w:rFonts w:ascii="Arial" w:hAnsi="Arial" w:cs="Arial" w:eastAsia="Arial" w:hint="default"/>
        </w:rPr>
      </w:r>
    </w:p>
    <w:p>
      <w:pPr>
        <w:pStyle w:val="BodyText"/>
        <w:spacing w:line="312" w:lineRule="exact"/>
        <w:ind w:left="802" w:right="0"/>
        <w:jc w:val="left"/>
      </w:pPr>
      <w:r>
        <w:rPr/>
        <w:t>股为基数，拟派发现金股利共计约人民币</w:t>
      </w:r>
      <w:r>
        <w:rPr>
          <w:spacing w:val="-75"/>
        </w:rPr>
        <w:t> </w:t>
      </w:r>
      <w:r>
        <w:rPr>
          <w:rFonts w:ascii="Arial" w:hAnsi="Arial" w:cs="Arial" w:eastAsia="Arial" w:hint="default"/>
        </w:rPr>
        <w:t>8,973</w:t>
      </w:r>
      <w:r>
        <w:rPr>
          <w:rFonts w:ascii="Arial" w:hAnsi="Arial" w:cs="Arial" w:eastAsia="Arial" w:hint="default"/>
          <w:spacing w:val="-21"/>
        </w:rPr>
        <w:t> </w:t>
      </w:r>
      <w:r>
        <w:rPr>
          <w:spacing w:val="-3"/>
        </w:rPr>
        <w:t>万元，同时，以资本公积转增股本的方式</w:t>
      </w:r>
    </w:p>
    <w:p>
      <w:pPr>
        <w:pStyle w:val="BodyText"/>
        <w:spacing w:line="322" w:lineRule="exact"/>
        <w:ind w:left="802" w:right="741"/>
        <w:jc w:val="left"/>
      </w:pPr>
      <w:r>
        <w:rPr/>
        <w:t>每</w:t>
      </w:r>
      <w:r>
        <w:rPr>
          <w:spacing w:val="-61"/>
        </w:rPr>
        <w:t> </w:t>
      </w:r>
      <w:r>
        <w:rPr>
          <w:rFonts w:ascii="Arial" w:hAnsi="Arial" w:cs="Arial" w:eastAsia="Arial" w:hint="default"/>
        </w:rPr>
        <w:t>10</w:t>
      </w:r>
      <w:r>
        <w:rPr>
          <w:rFonts w:ascii="Arial" w:hAnsi="Arial" w:cs="Arial" w:eastAsia="Arial" w:hint="default"/>
          <w:spacing w:val="-8"/>
        </w:rPr>
        <w:t> </w:t>
      </w:r>
      <w:r>
        <w:rPr/>
        <w:t>股转增</w:t>
      </w:r>
      <w:r>
        <w:rPr>
          <w:spacing w:val="-61"/>
        </w:rPr>
        <w:t> </w:t>
      </w:r>
      <w:r>
        <w:rPr>
          <w:rFonts w:ascii="Arial" w:hAnsi="Arial" w:cs="Arial" w:eastAsia="Arial" w:hint="default"/>
        </w:rPr>
        <w:t>3</w:t>
      </w:r>
      <w:r>
        <w:rPr>
          <w:rFonts w:ascii="Arial" w:hAnsi="Arial" w:cs="Arial" w:eastAsia="Arial" w:hint="default"/>
          <w:spacing w:val="-8"/>
        </w:rPr>
        <w:t> </w:t>
      </w:r>
      <w:r>
        <w:rPr/>
        <w:t>股，上述提议尚待股东大会批准。</w:t>
      </w:r>
    </w:p>
    <w:p>
      <w:pPr>
        <w:spacing w:after="0" w:line="322" w:lineRule="exact"/>
        <w:jc w:val="left"/>
        <w:sectPr>
          <w:pgSz w:w="11910" w:h="16840"/>
          <w:pgMar w:header="752" w:footer="707" w:top="1020" w:bottom="900" w:left="940" w:right="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625"/>
        <w:gridCol w:w="5252"/>
        <w:gridCol w:w="1933"/>
        <w:gridCol w:w="241"/>
        <w:gridCol w:w="2076"/>
      </w:tblGrid>
      <w:tr>
        <w:trPr>
          <w:trHeight w:val="970"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十二</w:t>
            </w:r>
            <w:r>
              <w:rPr>
                <w:rFonts w:ascii="宋体" w:hAnsi="宋体" w:cs="宋体" w:eastAsia="宋体" w:hint="default"/>
                <w:sz w:val="24"/>
                <w:szCs w:val="24"/>
              </w:rPr>
            </w:r>
          </w:p>
        </w:tc>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9" w:right="0"/>
              <w:jc w:val="left"/>
              <w:rPr>
                <w:rFonts w:ascii="宋体" w:hAnsi="宋体" w:cs="宋体" w:eastAsia="宋体" w:hint="default"/>
                <w:sz w:val="24"/>
                <w:szCs w:val="24"/>
              </w:rPr>
            </w:pPr>
            <w:r>
              <w:rPr>
                <w:rFonts w:ascii="宋体" w:hAnsi="宋体" w:cs="宋体" w:eastAsia="宋体" w:hint="default"/>
                <w:b/>
                <w:bCs/>
                <w:sz w:val="24"/>
                <w:szCs w:val="24"/>
              </w:rPr>
              <w:t>扣除非经常性损益后的净利润</w:t>
            </w:r>
            <w:r>
              <w:rPr>
                <w:rFonts w:ascii="宋体" w:hAnsi="宋体" w:cs="宋体" w:eastAsia="宋体" w:hint="default"/>
                <w:sz w:val="24"/>
                <w:szCs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02" w:right="0"/>
              <w:jc w:val="left"/>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0"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87" w:lineRule="exact"/>
              <w:ind w:right="29"/>
              <w:jc w:val="right"/>
              <w:rPr>
                <w:rFonts w:ascii="Arial" w:hAnsi="Arial" w:cs="Arial" w:eastAsia="Arial" w:hint="default"/>
                <w:sz w:val="24"/>
                <w:szCs w:val="24"/>
              </w:rPr>
            </w:pPr>
            <w:r>
              <w:rPr>
                <w:rFonts w:ascii="Arial" w:hAnsi="Arial" w:cs="Arial" w:eastAsia="Arial" w:hint="default"/>
                <w:w w:val="95"/>
                <w:sz w:val="24"/>
                <w:szCs w:val="24"/>
              </w:rPr>
              <w:t>(</w:t>
            </w:r>
            <w:r>
              <w:rPr>
                <w:rFonts w:ascii="宋体" w:hAnsi="宋体" w:cs="宋体" w:eastAsia="宋体" w:hint="default"/>
                <w:w w:val="95"/>
                <w:sz w:val="24"/>
                <w:szCs w:val="24"/>
              </w:rPr>
              <w:t>人民币千元</w:t>
            </w:r>
            <w:r>
              <w:rPr>
                <w:rFonts w:ascii="Arial" w:hAnsi="Arial" w:cs="Arial" w:eastAsia="Arial" w:hint="default"/>
                <w:w w:val="95"/>
                <w:sz w:val="24"/>
                <w:szCs w:val="24"/>
              </w:rPr>
              <w:t>)</w:t>
            </w:r>
            <w:r>
              <w:rPr>
                <w:rFonts w:ascii="Arial" w:hAnsi="Arial" w:cs="Arial" w:eastAsia="Arial" w:hint="default"/>
                <w:sz w:val="24"/>
                <w:szCs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87" w:lineRule="exact"/>
              <w:ind w:left="675"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9"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85"/>
              <w:jc w:val="right"/>
              <w:rPr>
                <w:rFonts w:ascii="Arial" w:hAnsi="Arial" w:cs="Arial" w:eastAsia="Arial" w:hint="default"/>
                <w:sz w:val="24"/>
                <w:szCs w:val="24"/>
              </w:rPr>
            </w:pPr>
            <w:r>
              <w:rPr>
                <w:rFonts w:ascii="Arial"/>
                <w:spacing w:val="-1"/>
                <w:w w:val="95"/>
                <w:sz w:val="24"/>
              </w:rPr>
              <w:t>2,259,928</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873" w:right="0"/>
              <w:jc w:val="left"/>
              <w:rPr>
                <w:rFonts w:ascii="Arial" w:hAnsi="Arial" w:cs="Arial" w:eastAsia="Arial" w:hint="default"/>
                <w:sz w:val="24"/>
                <w:szCs w:val="24"/>
              </w:rPr>
            </w:pPr>
            <w:r>
              <w:rPr>
                <w:rFonts w:ascii="Arial"/>
                <w:sz w:val="24"/>
              </w:rPr>
              <w:t>1,523,168</w:t>
            </w:r>
          </w:p>
        </w:tc>
      </w:tr>
      <w:tr>
        <w:trPr>
          <w:trHeight w:val="312"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78" w:lineRule="exact"/>
              <w:ind w:left="109" w:right="0"/>
              <w:jc w:val="left"/>
              <w:rPr>
                <w:rFonts w:ascii="宋体" w:hAnsi="宋体" w:cs="宋体" w:eastAsia="宋体" w:hint="default"/>
                <w:sz w:val="24"/>
                <w:szCs w:val="24"/>
              </w:rPr>
            </w:pPr>
            <w:r>
              <w:rPr>
                <w:rFonts w:ascii="宋体" w:hAnsi="宋体" w:cs="宋体" w:eastAsia="宋体" w:hint="default"/>
                <w:sz w:val="24"/>
                <w:szCs w:val="24"/>
              </w:rPr>
              <w:t>加</w:t>
            </w:r>
            <w:r>
              <w:rPr>
                <w:rFonts w:ascii="Arial" w:hAnsi="Arial" w:cs="Arial" w:eastAsia="Arial" w:hint="default"/>
                <w:sz w:val="24"/>
                <w:szCs w:val="24"/>
              </w:rPr>
              <w:t>/(</w:t>
            </w:r>
            <w:r>
              <w:rPr>
                <w:rFonts w:ascii="宋体" w:hAnsi="宋体" w:cs="宋体" w:eastAsia="宋体" w:hint="default"/>
                <w:sz w:val="24"/>
                <w:szCs w:val="24"/>
              </w:rPr>
              <w:t>减</w:t>
            </w:r>
            <w:r>
              <w:rPr>
                <w:rFonts w:ascii="Arial" w:hAnsi="Arial" w:cs="Arial" w:eastAsia="Arial" w:hint="default"/>
                <w:sz w:val="24"/>
                <w:szCs w:val="24"/>
              </w:rPr>
              <w:t>)</w:t>
            </w:r>
            <w:r>
              <w:rPr>
                <w:rFonts w:ascii="宋体" w:hAnsi="宋体" w:cs="宋体" w:eastAsia="宋体" w:hint="default"/>
                <w:sz w:val="24"/>
                <w:szCs w:val="24"/>
              </w:rPr>
              <w:t>：处置非流动资产损失</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4"/>
                <w:szCs w:val="24"/>
              </w:rPr>
            </w:pPr>
            <w:r>
              <w:rPr>
                <w:rFonts w:ascii="Arial"/>
                <w:spacing w:val="-1"/>
                <w:w w:val="95"/>
                <w:sz w:val="24"/>
              </w:rPr>
              <w:t>912</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pacing w:val="-1"/>
                <w:w w:val="95"/>
                <w:sz w:val="24"/>
              </w:rPr>
              <w:t>(109)</w:t>
            </w:r>
            <w:r>
              <w:rPr>
                <w:rFonts w:ascii="Arial"/>
                <w:sz w:val="24"/>
              </w:rPr>
            </w:r>
          </w:p>
        </w:tc>
      </w:tr>
      <w:tr>
        <w:trPr>
          <w:trHeight w:val="615"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60" w:lineRule="exact"/>
              <w:ind w:left="1019" w:right="0"/>
              <w:jc w:val="left"/>
              <w:rPr>
                <w:rFonts w:ascii="宋体" w:hAnsi="宋体" w:cs="宋体" w:eastAsia="宋体" w:hint="default"/>
                <w:sz w:val="24"/>
                <w:szCs w:val="24"/>
              </w:rPr>
            </w:pPr>
            <w:r>
              <w:rPr>
                <w:rFonts w:ascii="宋体" w:hAnsi="宋体" w:cs="宋体" w:eastAsia="宋体" w:hint="default"/>
                <w:sz w:val="24"/>
                <w:szCs w:val="24"/>
              </w:rPr>
              <w:t>所得税税率变动的影响</w:t>
            </w:r>
          </w:p>
          <w:p>
            <w:pPr>
              <w:pStyle w:val="TableParagraph"/>
              <w:spacing w:line="330" w:lineRule="exact"/>
              <w:ind w:left="1033" w:right="0"/>
              <w:jc w:val="left"/>
              <w:rPr>
                <w:rFonts w:ascii="宋体" w:hAnsi="宋体" w:cs="宋体" w:eastAsia="宋体" w:hint="default"/>
                <w:sz w:val="24"/>
                <w:szCs w:val="24"/>
              </w:rPr>
            </w:pPr>
            <w:r>
              <w:rPr>
                <w:rFonts w:ascii="宋体" w:hAnsi="宋体" w:cs="宋体" w:eastAsia="宋体" w:hint="default"/>
                <w:spacing w:val="12"/>
                <w:sz w:val="24"/>
                <w:szCs w:val="24"/>
              </w:rPr>
              <w:t>计入当期损益的政府补助</w:t>
            </w:r>
            <w:r>
              <w:rPr>
                <w:rFonts w:ascii="Arial" w:hAnsi="Arial" w:cs="Arial" w:eastAsia="Arial" w:hint="default"/>
                <w:spacing w:val="12"/>
                <w:sz w:val="24"/>
                <w:szCs w:val="24"/>
              </w:rPr>
              <w:t>(</w:t>
            </w:r>
            <w:r>
              <w:rPr>
                <w:rFonts w:ascii="宋体" w:hAnsi="宋体" w:cs="宋体" w:eastAsia="宋体" w:hint="default"/>
                <w:spacing w:val="12"/>
                <w:sz w:val="24"/>
                <w:szCs w:val="24"/>
              </w:rPr>
              <w:t>与本集团正</w:t>
            </w:r>
            <w:r>
              <w:rPr>
                <w:rFonts w:ascii="宋体" w:hAnsi="宋体" w:cs="宋体" w:eastAsia="宋体" w:hint="default"/>
                <w:sz w:val="24"/>
                <w:szCs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4"/>
                <w:szCs w:val="24"/>
              </w:rPr>
            </w:pPr>
            <w:r>
              <w:rPr>
                <w:rFonts w:ascii="Arial"/>
                <w:w w:val="99"/>
                <w:sz w:val="24"/>
              </w:rPr>
              <w:t>-</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09" w:right="0"/>
              <w:jc w:val="left"/>
              <w:rPr>
                <w:rFonts w:ascii="Arial" w:hAnsi="Arial" w:cs="Arial" w:eastAsia="Arial" w:hint="default"/>
                <w:sz w:val="24"/>
                <w:szCs w:val="24"/>
              </w:rPr>
            </w:pPr>
            <w:r>
              <w:rPr>
                <w:rFonts w:ascii="Arial"/>
                <w:sz w:val="24"/>
              </w:rPr>
              <w:t>20,789</w:t>
            </w:r>
          </w:p>
        </w:tc>
      </w:tr>
      <w:tr>
        <w:trPr>
          <w:trHeight w:val="306"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70" w:lineRule="exact"/>
              <w:ind w:right="97"/>
              <w:jc w:val="right"/>
              <w:rPr>
                <w:rFonts w:ascii="宋体" w:hAnsi="宋体" w:cs="宋体" w:eastAsia="宋体" w:hint="default"/>
                <w:sz w:val="24"/>
                <w:szCs w:val="24"/>
              </w:rPr>
            </w:pPr>
            <w:r>
              <w:rPr>
                <w:rFonts w:ascii="宋体" w:hAnsi="宋体" w:cs="宋体" w:eastAsia="宋体" w:hint="default"/>
                <w:sz w:val="24"/>
                <w:szCs w:val="24"/>
              </w:rPr>
              <w:t>常经营业务密切相关，符合国家政策</w:t>
            </w:r>
          </w:p>
        </w:tc>
        <w:tc>
          <w:tcPr>
            <w:tcW w:w="1933"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312"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76" w:lineRule="exact"/>
              <w:ind w:right="97"/>
              <w:jc w:val="right"/>
              <w:rPr>
                <w:rFonts w:ascii="宋体" w:hAnsi="宋体" w:cs="宋体" w:eastAsia="宋体" w:hint="default"/>
                <w:sz w:val="24"/>
                <w:szCs w:val="24"/>
              </w:rPr>
            </w:pPr>
            <w:r>
              <w:rPr>
                <w:rFonts w:ascii="宋体" w:hAnsi="宋体" w:cs="宋体" w:eastAsia="宋体" w:hint="default"/>
                <w:sz w:val="24"/>
                <w:szCs w:val="24"/>
              </w:rPr>
              <w:t>规定、按照一定标准定额或定量持续</w:t>
            </w:r>
          </w:p>
        </w:tc>
        <w:tc>
          <w:tcPr>
            <w:tcW w:w="1933"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r>
      <w:tr>
        <w:trPr>
          <w:trHeight w:val="327"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93" w:lineRule="exact"/>
              <w:ind w:left="1277" w:right="0"/>
              <w:jc w:val="left"/>
              <w:rPr>
                <w:rFonts w:ascii="Arial" w:hAnsi="Arial" w:cs="Arial" w:eastAsia="Arial" w:hint="default"/>
                <w:sz w:val="24"/>
                <w:szCs w:val="24"/>
              </w:rPr>
            </w:pPr>
            <w:r>
              <w:rPr>
                <w:rFonts w:ascii="宋体" w:hAnsi="宋体" w:cs="宋体" w:eastAsia="宋体" w:hint="default"/>
                <w:sz w:val="24"/>
                <w:szCs w:val="24"/>
              </w:rPr>
              <w:t>享受的政府补助除外</w:t>
            </w:r>
            <w:r>
              <w:rPr>
                <w:rFonts w:ascii="Arial" w:hAnsi="Arial" w:cs="Arial" w:eastAsia="Arial" w:hint="default"/>
                <w:sz w:val="24"/>
                <w:szCs w:val="24"/>
              </w:rPr>
              <w:t>)</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24"/>
                <w:szCs w:val="24"/>
              </w:rPr>
            </w:pPr>
            <w:r>
              <w:rPr>
                <w:rFonts w:ascii="Arial"/>
                <w:w w:val="95"/>
                <w:sz w:val="24"/>
              </w:rPr>
              <w:t>(22,833)</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15" w:right="0"/>
              <w:jc w:val="left"/>
              <w:rPr>
                <w:rFonts w:ascii="Arial" w:hAnsi="Arial" w:cs="Arial" w:eastAsia="Arial" w:hint="default"/>
                <w:sz w:val="24"/>
                <w:szCs w:val="24"/>
              </w:rPr>
            </w:pPr>
            <w:r>
              <w:rPr>
                <w:rFonts w:ascii="Arial"/>
                <w:sz w:val="24"/>
              </w:rPr>
              <w:t>(8,442)</w:t>
            </w:r>
          </w:p>
        </w:tc>
      </w:tr>
      <w:tr>
        <w:trPr>
          <w:trHeight w:val="312"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61" w:lineRule="exact"/>
              <w:ind w:left="1048" w:right="0"/>
              <w:jc w:val="left"/>
              <w:rPr>
                <w:rFonts w:ascii="宋体" w:hAnsi="宋体" w:cs="宋体" w:eastAsia="宋体" w:hint="default"/>
                <w:sz w:val="24"/>
                <w:szCs w:val="24"/>
              </w:rPr>
            </w:pPr>
            <w:r>
              <w:rPr>
                <w:rFonts w:ascii="宋体" w:hAnsi="宋体" w:cs="宋体" w:eastAsia="宋体" w:hint="default"/>
                <w:sz w:val="24"/>
                <w:szCs w:val="24"/>
              </w:rPr>
              <w:t>其他营业外收入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
              <w:jc w:val="right"/>
              <w:rPr>
                <w:rFonts w:ascii="Arial" w:hAnsi="Arial" w:cs="Arial" w:eastAsia="Arial" w:hint="default"/>
                <w:sz w:val="24"/>
                <w:szCs w:val="24"/>
              </w:rPr>
            </w:pPr>
            <w:r>
              <w:rPr>
                <w:rFonts w:ascii="Arial"/>
                <w:w w:val="95"/>
                <w:sz w:val="24"/>
              </w:rPr>
              <w:t>(22,665)</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2" w:right="0"/>
              <w:jc w:val="left"/>
              <w:rPr>
                <w:rFonts w:ascii="Arial" w:hAnsi="Arial" w:cs="Arial" w:eastAsia="Arial" w:hint="default"/>
                <w:sz w:val="24"/>
                <w:szCs w:val="24"/>
              </w:rPr>
            </w:pPr>
            <w:r>
              <w:rPr>
                <w:rFonts w:ascii="Arial"/>
                <w:sz w:val="24"/>
              </w:rPr>
              <w:t>(26,669)</w:t>
            </w:r>
          </w:p>
        </w:tc>
      </w:tr>
      <w:tr>
        <w:trPr>
          <w:trHeight w:val="312"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61" w:lineRule="exact"/>
              <w:ind w:left="1061" w:right="0"/>
              <w:jc w:val="left"/>
              <w:rPr>
                <w:rFonts w:ascii="宋体" w:hAnsi="宋体" w:cs="宋体" w:eastAsia="宋体" w:hint="default"/>
                <w:sz w:val="24"/>
                <w:szCs w:val="24"/>
              </w:rPr>
            </w:pPr>
            <w:r>
              <w:rPr>
                <w:rFonts w:ascii="宋体" w:hAnsi="宋体" w:cs="宋体" w:eastAsia="宋体" w:hint="default"/>
                <w:sz w:val="24"/>
                <w:szCs w:val="24"/>
              </w:rPr>
              <w:t>其他营业外支出</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4"/>
                <w:szCs w:val="24"/>
              </w:rPr>
            </w:pPr>
            <w:r>
              <w:rPr>
                <w:rFonts w:ascii="Arial"/>
                <w:spacing w:val="-1"/>
                <w:w w:val="95"/>
                <w:sz w:val="24"/>
              </w:rPr>
              <w:t>58,087</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09" w:right="0"/>
              <w:jc w:val="left"/>
              <w:rPr>
                <w:rFonts w:ascii="Arial" w:hAnsi="Arial" w:cs="Arial" w:eastAsia="Arial" w:hint="default"/>
                <w:sz w:val="24"/>
                <w:szCs w:val="24"/>
              </w:rPr>
            </w:pPr>
            <w:r>
              <w:rPr>
                <w:rFonts w:ascii="Arial"/>
                <w:sz w:val="24"/>
              </w:rPr>
              <w:t>43,922</w:t>
            </w:r>
          </w:p>
        </w:tc>
      </w:tr>
      <w:tr>
        <w:trPr>
          <w:trHeight w:val="579"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61" w:lineRule="exact"/>
              <w:ind w:left="109" w:right="0"/>
              <w:jc w:val="left"/>
              <w:rPr>
                <w:rFonts w:ascii="宋体" w:hAnsi="宋体" w:cs="宋体" w:eastAsia="宋体" w:hint="default"/>
                <w:sz w:val="24"/>
                <w:szCs w:val="24"/>
              </w:rPr>
            </w:pPr>
            <w:r>
              <w:rPr>
                <w:rFonts w:ascii="宋体" w:hAnsi="宋体" w:cs="宋体" w:eastAsia="宋体" w:hint="default"/>
                <w:sz w:val="24"/>
                <w:szCs w:val="24"/>
              </w:rPr>
              <w:t>非经常性损益的所得税影响数</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4"/>
              <w:jc w:val="right"/>
              <w:rPr>
                <w:rFonts w:ascii="Arial" w:hAnsi="Arial" w:cs="Arial" w:eastAsia="Arial" w:hint="default"/>
                <w:sz w:val="24"/>
                <w:szCs w:val="24"/>
              </w:rPr>
            </w:pPr>
            <w:r>
              <w:rPr>
                <w:rFonts w:ascii="Arial"/>
                <w:w w:val="95"/>
                <w:sz w:val="24"/>
              </w:rPr>
              <w:t>(3,375)</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215" w:right="0"/>
              <w:jc w:val="left"/>
              <w:rPr>
                <w:rFonts w:ascii="Arial" w:hAnsi="Arial" w:cs="Arial" w:eastAsia="Arial" w:hint="default"/>
                <w:sz w:val="24"/>
                <w:szCs w:val="24"/>
              </w:rPr>
            </w:pPr>
            <w:r>
              <w:rPr>
                <w:rFonts w:ascii="Arial"/>
                <w:sz w:val="24"/>
              </w:rPr>
              <w:t>(2,872)</w:t>
            </w:r>
          </w:p>
        </w:tc>
      </w:tr>
      <w:tr>
        <w:trPr>
          <w:trHeight w:val="333"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80" w:lineRule="exact"/>
              <w:ind w:left="109" w:right="0"/>
              <w:jc w:val="left"/>
              <w:rPr>
                <w:rFonts w:ascii="宋体" w:hAnsi="宋体" w:cs="宋体" w:eastAsia="宋体" w:hint="default"/>
                <w:sz w:val="24"/>
                <w:szCs w:val="24"/>
              </w:rPr>
            </w:pPr>
            <w:r>
              <w:rPr>
                <w:rFonts w:ascii="宋体" w:hAnsi="宋体" w:cs="宋体" w:eastAsia="宋体" w:hint="default"/>
                <w:sz w:val="24"/>
                <w:szCs w:val="24"/>
              </w:rPr>
              <w:t>扣除非经常性损益后的净利润</w:t>
            </w:r>
          </w:p>
        </w:tc>
        <w:tc>
          <w:tcPr>
            <w:tcW w:w="19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5"/>
              <w:jc w:val="right"/>
              <w:rPr>
                <w:rFonts w:ascii="Arial" w:hAnsi="Arial" w:cs="Arial" w:eastAsia="Arial" w:hint="default"/>
                <w:sz w:val="24"/>
                <w:szCs w:val="24"/>
              </w:rPr>
            </w:pPr>
            <w:r>
              <w:rPr>
                <w:rFonts w:ascii="Arial"/>
                <w:spacing w:val="-1"/>
                <w:w w:val="95"/>
                <w:sz w:val="24"/>
              </w:rPr>
              <w:t>2,270,054</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left="873" w:right="0"/>
              <w:jc w:val="left"/>
              <w:rPr>
                <w:rFonts w:ascii="Arial" w:hAnsi="Arial" w:cs="Arial" w:eastAsia="Arial" w:hint="default"/>
                <w:sz w:val="24"/>
                <w:szCs w:val="24"/>
              </w:rPr>
            </w:pPr>
            <w:r>
              <w:rPr>
                <w:rFonts w:ascii="Arial"/>
                <w:sz w:val="24"/>
              </w:rPr>
              <w:t>1,549,787</w:t>
            </w:r>
          </w:p>
        </w:tc>
      </w:tr>
      <w:tr>
        <w:trPr>
          <w:trHeight w:val="599"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4"/>
                <w:szCs w:val="24"/>
              </w:rPr>
            </w:pPr>
            <w:r>
              <w:rPr>
                <w:rFonts w:ascii="宋体" w:hAnsi="宋体" w:cs="宋体" w:eastAsia="宋体" w:hint="default"/>
                <w:sz w:val="24"/>
                <w:szCs w:val="24"/>
              </w:rPr>
              <w:t>其中：归属于母公司股东</w:t>
            </w:r>
          </w:p>
        </w:tc>
        <w:tc>
          <w:tcPr>
            <w:tcW w:w="1933"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24"/>
                <w:szCs w:val="24"/>
              </w:rPr>
            </w:pPr>
            <w:r>
              <w:rPr>
                <w:rFonts w:ascii="Arial"/>
                <w:spacing w:val="-1"/>
                <w:w w:val="95"/>
                <w:sz w:val="24"/>
              </w:rPr>
              <w:t>2,179,913</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72" w:right="0"/>
              <w:jc w:val="left"/>
              <w:rPr>
                <w:rFonts w:ascii="Arial" w:hAnsi="Arial" w:cs="Arial" w:eastAsia="Arial" w:hint="default"/>
                <w:sz w:val="24"/>
                <w:szCs w:val="24"/>
              </w:rPr>
            </w:pPr>
            <w:r>
              <w:rPr>
                <w:rFonts w:ascii="Arial"/>
                <w:sz w:val="24"/>
              </w:rPr>
              <w:t>1,491,036</w:t>
            </w:r>
          </w:p>
        </w:tc>
      </w:tr>
      <w:tr>
        <w:trPr>
          <w:trHeight w:val="331" w:hRule="exact"/>
        </w:trPr>
        <w:tc>
          <w:tcPr>
            <w:tcW w:w="625" w:type="dxa"/>
            <w:tcBorders>
              <w:top w:val="nil" w:sz="6" w:space="0" w:color="auto"/>
              <w:left w:val="nil" w:sz="6" w:space="0" w:color="auto"/>
              <w:bottom w:val="nil" w:sz="6" w:space="0" w:color="auto"/>
              <w:right w:val="nil" w:sz="6" w:space="0" w:color="auto"/>
            </w:tcBorders>
          </w:tcPr>
          <w:p>
            <w:pPr/>
          </w:p>
        </w:tc>
        <w:tc>
          <w:tcPr>
            <w:tcW w:w="5252" w:type="dxa"/>
            <w:tcBorders>
              <w:top w:val="nil" w:sz="6" w:space="0" w:color="auto"/>
              <w:left w:val="nil" w:sz="6" w:space="0" w:color="auto"/>
              <w:bottom w:val="nil" w:sz="6" w:space="0" w:color="auto"/>
              <w:right w:val="nil" w:sz="6" w:space="0" w:color="auto"/>
            </w:tcBorders>
          </w:tcPr>
          <w:p>
            <w:pPr>
              <w:pStyle w:val="TableParagraph"/>
              <w:spacing w:line="279" w:lineRule="exact"/>
              <w:ind w:left="1429" w:right="0"/>
              <w:jc w:val="left"/>
              <w:rPr>
                <w:rFonts w:ascii="宋体" w:hAnsi="宋体" w:cs="宋体" w:eastAsia="宋体" w:hint="default"/>
                <w:sz w:val="24"/>
                <w:szCs w:val="24"/>
              </w:rPr>
            </w:pPr>
            <w:r>
              <w:rPr>
                <w:rFonts w:ascii="宋体" w:hAnsi="宋体" w:cs="宋体" w:eastAsia="宋体" w:hint="default"/>
                <w:sz w:val="24"/>
                <w:szCs w:val="24"/>
              </w:rPr>
              <w:t>归属于少数股东</w:t>
            </w:r>
          </w:p>
        </w:tc>
        <w:tc>
          <w:tcPr>
            <w:tcW w:w="193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90,141</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208" w:right="0"/>
              <w:jc w:val="left"/>
              <w:rPr>
                <w:rFonts w:ascii="Arial" w:hAnsi="Arial" w:cs="Arial" w:eastAsia="Arial" w:hint="default"/>
                <w:sz w:val="24"/>
                <w:szCs w:val="24"/>
              </w:rPr>
            </w:pPr>
            <w:r>
              <w:rPr>
                <w:rFonts w:ascii="Arial"/>
                <w:sz w:val="24"/>
              </w:rPr>
              <w:t>58,751</w:t>
            </w:r>
          </w:p>
        </w:tc>
      </w:tr>
    </w:tbl>
    <w:p>
      <w:pPr>
        <w:spacing w:line="240" w:lineRule="auto" w:before="11"/>
        <w:rPr>
          <w:rFonts w:ascii="宋体" w:hAnsi="宋体" w:cs="宋体" w:eastAsia="宋体" w:hint="default"/>
          <w:sz w:val="11"/>
          <w:szCs w:val="11"/>
        </w:rPr>
      </w:pPr>
    </w:p>
    <w:p>
      <w:pPr>
        <w:pStyle w:val="BodyText"/>
        <w:tabs>
          <w:tab w:pos="842" w:val="left" w:leader="none"/>
        </w:tabs>
        <w:spacing w:line="240" w:lineRule="auto" w:before="32"/>
        <w:ind w:left="142" w:right="99"/>
        <w:jc w:val="left"/>
      </w:pPr>
      <w:r>
        <w:rPr>
          <w:rFonts w:ascii="Arial" w:hAnsi="Arial" w:cs="Arial" w:eastAsia="Arial" w:hint="default"/>
          <w:w w:val="95"/>
          <w:position w:val="2"/>
        </w:rPr>
        <w:t>(1)</w:t>
        <w:tab/>
      </w:r>
      <w:r>
        <w:rPr/>
        <w:t>非经常性损益明细表编制基础</w:t>
      </w:r>
    </w:p>
    <w:p>
      <w:pPr>
        <w:spacing w:line="240" w:lineRule="auto" w:before="4"/>
        <w:rPr>
          <w:rFonts w:ascii="宋体" w:hAnsi="宋体" w:cs="宋体" w:eastAsia="宋体" w:hint="default"/>
          <w:sz w:val="23"/>
          <w:szCs w:val="23"/>
        </w:rPr>
      </w:pPr>
    </w:p>
    <w:p>
      <w:pPr>
        <w:pStyle w:val="BodyText"/>
        <w:spacing w:line="312" w:lineRule="exact"/>
        <w:ind w:left="842" w:right="99"/>
        <w:jc w:val="left"/>
      </w:pPr>
      <w:r>
        <w:rPr>
          <w:spacing w:val="-4"/>
        </w:rPr>
        <w:t>根据《公开发行证券的公司信息披露解释性公告第</w:t>
      </w:r>
      <w:r>
        <w:rPr>
          <w:spacing w:val="-55"/>
        </w:rPr>
        <w:t> </w:t>
      </w:r>
      <w:r>
        <w:rPr>
          <w:rFonts w:ascii="Arial" w:hAnsi="Arial" w:cs="Arial" w:eastAsia="Arial" w:hint="default"/>
        </w:rPr>
        <w:t>1</w:t>
      </w:r>
      <w:r>
        <w:rPr>
          <w:rFonts w:ascii="Arial" w:hAnsi="Arial" w:cs="Arial" w:eastAsia="Arial" w:hint="default"/>
          <w:spacing w:val="-2"/>
        </w:rPr>
        <w:t> </w:t>
      </w:r>
      <w:r>
        <w:rPr>
          <w:spacing w:val="-4"/>
        </w:rPr>
        <w:t>号——非经常性损益</w:t>
      </w:r>
      <w:r>
        <w:rPr>
          <w:rFonts w:ascii="Arial" w:hAnsi="Arial" w:cs="Arial" w:eastAsia="Arial" w:hint="default"/>
          <w:spacing w:val="-4"/>
        </w:rPr>
        <w:t>[2008]</w:t>
      </w:r>
      <w:r>
        <w:rPr>
          <w:spacing w:val="-4"/>
        </w:rPr>
        <w:t>》的规定，</w:t>
      </w:r>
      <w:r>
        <w:rPr/>
        <w:t> 非经常性损益是指与公司正常经营业务无直接关系，以及虽与正常经营业务相关，但由于 其性质特殊和偶发性，影响报表使用人对公司经营业绩和盈利能力作出正确判断的各项交 易和事项产生的损益。</w:t>
      </w:r>
    </w:p>
    <w:p>
      <w:pPr>
        <w:spacing w:after="0" w:line="312" w:lineRule="exact"/>
        <w:jc w:val="left"/>
        <w:sectPr>
          <w:pgSz w:w="11910" w:h="16840"/>
          <w:pgMar w:header="752" w:footer="707" w:top="1020" w:bottom="900" w:left="900" w:right="640"/>
        </w:sectPr>
      </w:pPr>
    </w:p>
    <w:p>
      <w:pPr>
        <w:spacing w:line="240" w:lineRule="auto" w:before="0"/>
        <w:rPr>
          <w:rFonts w:ascii="宋体" w:hAnsi="宋体" w:cs="宋体" w:eastAsia="宋体" w:hint="default"/>
          <w:sz w:val="20"/>
          <w:szCs w:val="20"/>
        </w:rPr>
      </w:pPr>
    </w:p>
    <w:p>
      <w:pPr>
        <w:pStyle w:val="Heading2"/>
        <w:tabs>
          <w:tab w:pos="802" w:val="left" w:leader="none"/>
        </w:tabs>
        <w:spacing w:line="240" w:lineRule="auto" w:before="158"/>
        <w:ind w:right="0"/>
        <w:jc w:val="left"/>
        <w:rPr>
          <w:b w:val="0"/>
          <w:bCs w:val="0"/>
        </w:rPr>
      </w:pPr>
      <w:r>
        <w:rPr>
          <w:w w:val="95"/>
        </w:rPr>
        <w:t>十三</w:t>
        <w:tab/>
      </w:r>
      <w:r>
        <w:rPr/>
        <w:t>公司财务报表主要项目附注</w:t>
      </w:r>
      <w:r>
        <w:rPr>
          <w:b w:val="0"/>
          <w:bCs w:val="0"/>
        </w:rPr>
      </w:r>
    </w:p>
    <w:p>
      <w:pPr>
        <w:spacing w:line="240" w:lineRule="auto" w:before="12"/>
        <w:rPr>
          <w:rFonts w:ascii="宋体" w:hAnsi="宋体" w:cs="宋体" w:eastAsia="宋体" w:hint="default"/>
          <w:b/>
          <w:bCs/>
          <w:sz w:val="20"/>
          <w:szCs w:val="20"/>
        </w:rPr>
      </w:pPr>
    </w:p>
    <w:p>
      <w:pPr>
        <w:tabs>
          <w:tab w:pos="802"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应收账款及其他应收款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02" w:val="left" w:leader="none"/>
        </w:tabs>
        <w:spacing w:line="240" w:lineRule="auto"/>
        <w:ind w:left="102" w:right="0"/>
        <w:jc w:val="left"/>
      </w:pPr>
      <w:r>
        <w:rPr>
          <w:rFonts w:ascii="Arial" w:hAnsi="Arial" w:cs="Arial" w:eastAsia="Arial" w:hint="default"/>
          <w:w w:val="95"/>
          <w:position w:val="2"/>
        </w:rPr>
        <w:t>(a)</w:t>
        <w:tab/>
      </w:r>
      <w:r>
        <w:rPr/>
        <w:t>应收账款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2" w:footer="707" w:top="1020" w:bottom="900" w:left="940" w:right="820"/>
        </w:sectPr>
      </w:pPr>
    </w:p>
    <w:p>
      <w:pPr>
        <w:pStyle w:val="BodyText"/>
        <w:spacing w:line="322" w:lineRule="exact" w:before="26"/>
        <w:ind w:left="0" w:right="0"/>
        <w:jc w:val="right"/>
      </w:pP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51"/>
        <w:jc w:val="righ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0" w:right="25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940" w:right="820"/>
          <w:cols w:num="2" w:equalWidth="0">
            <w:col w:w="4944" w:space="40"/>
            <w:col w:w="5166"/>
          </w:cols>
        </w:sectPr>
      </w:pPr>
    </w:p>
    <w:p>
      <w:pPr>
        <w:pStyle w:val="BodyText"/>
        <w:tabs>
          <w:tab w:pos="8596" w:val="left" w:leader="none"/>
        </w:tabs>
        <w:spacing w:line="312" w:lineRule="exact"/>
        <w:ind w:left="3654"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2"/>
        <w:rPr>
          <w:rFonts w:ascii="Arial" w:hAnsi="Arial" w:cs="Arial" w:eastAsia="Arial" w:hint="default"/>
          <w:sz w:val="22"/>
          <w:szCs w:val="22"/>
        </w:rPr>
      </w:pPr>
    </w:p>
    <w:p>
      <w:pPr>
        <w:pStyle w:val="BodyText"/>
        <w:tabs>
          <w:tab w:pos="3247" w:val="left" w:leader="none"/>
          <w:tab w:pos="3827" w:val="left" w:leader="none"/>
          <w:tab w:pos="8367" w:val="left" w:leader="none"/>
          <w:tab w:pos="8805" w:val="left" w:leader="none"/>
          <w:tab w:pos="9993" w:val="left" w:leader="none"/>
        </w:tabs>
        <w:spacing w:line="240" w:lineRule="auto"/>
        <w:ind w:left="802" w:right="0"/>
        <w:jc w:val="left"/>
        <w:rPr>
          <w:rFonts w:ascii="Arial" w:hAnsi="Arial" w:cs="Arial" w:eastAsia="Arial" w:hint="default"/>
        </w:rPr>
      </w:pPr>
      <w:r>
        <w:rPr>
          <w:position w:val="2"/>
        </w:rPr>
        <w:t>应收账款</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2,367,959</w:t>
      </w:r>
      <w:r>
        <w:rPr>
          <w:rFonts w:ascii="Arial" w:hAnsi="Arial" w:cs="Arial" w:eastAsia="Arial" w:hint="default"/>
          <w:spacing w:val="-1"/>
        </w:rPr>
        <w:tab/>
      </w:r>
      <w:r>
        <w:rPr>
          <w:rFonts w:ascii="Arial" w:hAnsi="Arial" w:cs="Arial" w:eastAsia="Arial" w:hint="default"/>
          <w:spacing w:val="-1"/>
          <w:u w:val="single" w:color="000000"/>
        </w:rPr>
        <w:t> </w:t>
        <w:tab/>
        <w:t>2,335,330</w:t>
        <w:tab/>
      </w:r>
      <w:r>
        <w:rPr>
          <w:rFonts w:ascii="Arial" w:hAnsi="Arial" w:cs="Arial" w:eastAsia="Arial" w:hint="default"/>
          <w:spacing w:val="-1"/>
        </w:rPr>
      </w:r>
    </w:p>
    <w:p>
      <w:pPr>
        <w:spacing w:line="240" w:lineRule="auto" w:before="5"/>
        <w:rPr>
          <w:rFonts w:ascii="Arial" w:hAnsi="Arial" w:cs="Arial" w:eastAsia="Arial" w:hint="default"/>
          <w:sz w:val="19"/>
          <w:szCs w:val="19"/>
        </w:rPr>
      </w:pPr>
    </w:p>
    <w:p>
      <w:pPr>
        <w:pStyle w:val="BodyText"/>
        <w:tabs>
          <w:tab w:pos="4833" w:val="left" w:leader="none"/>
        </w:tabs>
        <w:spacing w:line="313" w:lineRule="exact" w:before="26"/>
        <w:ind w:left="3381" w:right="0"/>
        <w:jc w:val="center"/>
      </w:pPr>
      <w:r>
        <w:rPr/>
        <w:t>本年增加</w:t>
        <w:tab/>
        <w:t>本年减少</w:t>
      </w:r>
    </w:p>
    <w:p>
      <w:pPr>
        <w:pStyle w:val="BodyText"/>
        <w:spacing w:line="330" w:lineRule="exact"/>
        <w:ind w:left="3301"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767" w:type="dxa"/>
        <w:tblLayout w:type="fixed"/>
        <w:tblCellMar>
          <w:top w:w="0" w:type="dxa"/>
          <w:left w:w="0" w:type="dxa"/>
          <w:bottom w:w="0" w:type="dxa"/>
          <w:right w:w="0" w:type="dxa"/>
        </w:tblCellMar>
        <w:tblLook w:val="01E0"/>
      </w:tblPr>
      <w:tblGrid>
        <w:gridCol w:w="1978"/>
        <w:gridCol w:w="2442"/>
        <w:gridCol w:w="1562"/>
        <w:gridCol w:w="1486"/>
        <w:gridCol w:w="1794"/>
      </w:tblGrid>
      <w:tr>
        <w:trPr>
          <w:trHeight w:val="393"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42" w:type="dxa"/>
            <w:tcBorders>
              <w:top w:val="nil" w:sz="6" w:space="0" w:color="auto"/>
              <w:left w:val="nil" w:sz="6" w:space="0" w:color="auto"/>
              <w:bottom w:val="nil" w:sz="6" w:space="0" w:color="auto"/>
              <w:right w:val="nil" w:sz="6" w:space="0" w:color="auto"/>
            </w:tcBorders>
          </w:tcPr>
          <w:p>
            <w:pPr>
              <w:pStyle w:val="TableParagraph"/>
              <w:tabs>
                <w:tab w:pos="934" w:val="left" w:leader="none"/>
                <w:tab w:pos="1796" w:val="left" w:leader="none"/>
              </w:tabs>
              <w:spacing w:line="240" w:lineRule="auto" w:before="99"/>
              <w:ind w:right="1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(1,815)</w:t>
              <w:tab/>
            </w:r>
            <w:r>
              <w:rPr>
                <w:rFonts w:ascii="Arial"/>
                <w:w w:val="95"/>
                <w:sz w:val="24"/>
              </w:rPr>
            </w:r>
            <w:r>
              <w:rPr>
                <w:rFonts w:ascii="Arial"/>
                <w:sz w:val="24"/>
              </w:rPr>
            </w:r>
          </w:p>
        </w:tc>
        <w:tc>
          <w:tcPr>
            <w:tcW w:w="1562" w:type="dxa"/>
            <w:tcBorders>
              <w:top w:val="nil" w:sz="6" w:space="0" w:color="auto"/>
              <w:left w:val="nil" w:sz="6" w:space="0" w:color="auto"/>
              <w:bottom w:val="nil" w:sz="6" w:space="0" w:color="auto"/>
              <w:right w:val="nil" w:sz="6" w:space="0" w:color="auto"/>
            </w:tcBorders>
          </w:tcPr>
          <w:p>
            <w:pPr>
              <w:pStyle w:val="TableParagraph"/>
              <w:tabs>
                <w:tab w:pos="769" w:val="left" w:leader="none"/>
                <w:tab w:pos="1429" w:val="left" w:leader="none"/>
              </w:tabs>
              <w:spacing w:line="240" w:lineRule="auto" w:before="99"/>
              <w:ind w:left="14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(853)</w:t>
              <w:tab/>
            </w:r>
            <w:r>
              <w:rPr>
                <w:rFonts w:ascii="Arial"/>
                <w:sz w:val="24"/>
              </w:rPr>
            </w:r>
          </w:p>
        </w:tc>
        <w:tc>
          <w:tcPr>
            <w:tcW w:w="1486" w:type="dxa"/>
            <w:tcBorders>
              <w:top w:val="nil" w:sz="6" w:space="0" w:color="auto"/>
              <w:left w:val="nil" w:sz="6" w:space="0" w:color="auto"/>
              <w:bottom w:val="nil" w:sz="6" w:space="0" w:color="auto"/>
              <w:right w:val="nil" w:sz="6" w:space="0" w:color="auto"/>
            </w:tcBorders>
          </w:tcPr>
          <w:p>
            <w:pPr>
              <w:pStyle w:val="TableParagraph"/>
              <w:tabs>
                <w:tab w:pos="1069" w:val="left" w:leader="none"/>
                <w:tab w:pos="1352" w:val="left" w:leader="none"/>
              </w:tabs>
              <w:spacing w:line="240" w:lineRule="auto" w:before="99"/>
              <w:ind w:left="1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794" w:type="dxa"/>
            <w:tcBorders>
              <w:top w:val="nil" w:sz="6" w:space="0" w:color="auto"/>
              <w:left w:val="nil" w:sz="6" w:space="0" w:color="auto"/>
              <w:bottom w:val="nil" w:sz="6" w:space="0" w:color="auto"/>
              <w:right w:val="nil" w:sz="6" w:space="0" w:color="auto"/>
            </w:tcBorders>
          </w:tcPr>
          <w:p>
            <w:pPr>
              <w:pStyle w:val="TableParagraph"/>
              <w:tabs>
                <w:tab w:pos="911" w:val="left" w:leader="none"/>
              </w:tabs>
              <w:spacing w:line="240" w:lineRule="auto" w:before="99"/>
              <w:ind w:left="71"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(2,668)</w:t>
            </w:r>
            <w:r>
              <w:rPr>
                <w:rFonts w:ascii="Arial"/>
                <w:sz w:val="24"/>
              </w:rPr>
            </w:r>
          </w:p>
        </w:tc>
      </w:tr>
      <w:tr>
        <w:trPr>
          <w:trHeight w:val="363" w:hRule="exact"/>
        </w:trPr>
        <w:tc>
          <w:tcPr>
            <w:tcW w:w="1978"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tabs>
                <w:tab w:pos="546" w:val="left" w:leader="none"/>
                <w:tab w:pos="1796" w:val="left" w:leader="none"/>
              </w:tabs>
              <w:spacing w:line="268" w:lineRule="exact"/>
              <w:ind w:right="1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2,366,144</w:t>
              <w:tab/>
            </w:r>
            <w:r>
              <w:rPr>
                <w:rFonts w:ascii="Arial"/>
                <w:spacing w:val="-1"/>
                <w:sz w:val="24"/>
              </w:rPr>
            </w:r>
          </w:p>
        </w:tc>
        <w:tc>
          <w:tcPr>
            <w:tcW w:w="156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tabs>
                <w:tab w:pos="535" w:val="left" w:leader="none"/>
                <w:tab w:pos="1723" w:val="left" w:leader="none"/>
              </w:tabs>
              <w:spacing w:line="268" w:lineRule="exact"/>
              <w:ind w:left="97"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2,332,662</w:t>
              <w:tab/>
            </w:r>
            <w:r>
              <w:rPr>
                <w:rFonts w:ascii="Arial"/>
                <w:sz w:val="24"/>
              </w:rPr>
            </w:r>
          </w:p>
        </w:tc>
      </w:tr>
    </w:tbl>
    <w:p>
      <w:pPr>
        <w:spacing w:line="240" w:lineRule="auto" w:before="10"/>
        <w:rPr>
          <w:rFonts w:ascii="Arial" w:hAnsi="Arial" w:cs="Arial" w:eastAsia="Arial" w:hint="default"/>
          <w:sz w:val="12"/>
          <w:szCs w:val="12"/>
        </w:rPr>
      </w:pPr>
    </w:p>
    <w:p>
      <w:pPr>
        <w:pStyle w:val="BodyText"/>
        <w:spacing w:line="240" w:lineRule="auto" w:before="26"/>
        <w:ind w:left="802" w:right="0"/>
        <w:jc w:val="left"/>
      </w:pPr>
      <w:r>
        <w:rPr/>
        <w:t>应收账款账龄及相应的坏账准备分析如下：</w:t>
      </w:r>
    </w:p>
    <w:p>
      <w:pPr>
        <w:spacing w:line="240" w:lineRule="auto" w:before="4"/>
        <w:rPr>
          <w:rFonts w:ascii="宋体" w:hAnsi="宋体" w:cs="宋体" w:eastAsia="宋体" w:hint="default"/>
          <w:sz w:val="21"/>
          <w:szCs w:val="21"/>
        </w:rPr>
      </w:pPr>
    </w:p>
    <w:p>
      <w:pPr>
        <w:tabs>
          <w:tab w:pos="7119" w:val="left" w:leader="none"/>
        </w:tabs>
        <w:spacing w:before="0"/>
        <w:ind w:left="2995" w:right="0"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767" w:type="dxa"/>
        <w:tblLayout w:type="fixed"/>
        <w:tblCellMar>
          <w:top w:w="0" w:type="dxa"/>
          <w:left w:w="0" w:type="dxa"/>
          <w:bottom w:w="0" w:type="dxa"/>
          <w:right w:w="0" w:type="dxa"/>
        </w:tblCellMar>
        <w:tblLook w:val="01E0"/>
      </w:tblPr>
      <w:tblGrid>
        <w:gridCol w:w="979"/>
        <w:gridCol w:w="1366"/>
        <w:gridCol w:w="1289"/>
        <w:gridCol w:w="1265"/>
        <w:gridCol w:w="391"/>
        <w:gridCol w:w="1565"/>
        <w:gridCol w:w="1136"/>
        <w:gridCol w:w="1234"/>
      </w:tblGrid>
      <w:tr>
        <w:trPr>
          <w:trHeight w:val="923" w:hRule="exact"/>
        </w:trPr>
        <w:tc>
          <w:tcPr>
            <w:tcW w:w="979" w:type="dxa"/>
            <w:tcBorders>
              <w:top w:val="nil" w:sz="6" w:space="0" w:color="auto"/>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nil" w:sz="6" w:space="0" w:color="auto"/>
              <w:right w:val="nil" w:sz="6" w:space="0" w:color="auto"/>
            </w:tcBorders>
          </w:tcPr>
          <w:p>
            <w:pPr>
              <w:pStyle w:val="TableParagraph"/>
              <w:spacing w:line="241" w:lineRule="exact"/>
              <w:ind w:left="250" w:right="0" w:firstLine="544"/>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5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1289" w:type="dxa"/>
            <w:tcBorders>
              <w:top w:val="single" w:sz="12" w:space="0" w:color="000000"/>
              <w:left w:val="nil" w:sz="6" w:space="0" w:color="auto"/>
              <w:bottom w:val="nil" w:sz="6" w:space="0" w:color="auto"/>
              <w:right w:val="nil" w:sz="6" w:space="0" w:color="auto"/>
            </w:tcBorders>
          </w:tcPr>
          <w:p>
            <w:pPr>
              <w:pStyle w:val="TableParagraph"/>
              <w:spacing w:line="241" w:lineRule="exact"/>
              <w:ind w:right="142"/>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1265" w:type="dxa"/>
            <w:tcBorders>
              <w:top w:val="single" w:sz="12" w:space="0" w:color="000000"/>
              <w:left w:val="nil" w:sz="6" w:space="0" w:color="auto"/>
              <w:bottom w:val="nil" w:sz="6" w:space="0" w:color="auto"/>
              <w:right w:val="nil" w:sz="6" w:space="0" w:color="auto"/>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Style w:val="TableParagraph"/>
              <w:spacing w:line="241" w:lineRule="exact"/>
              <w:ind w:left="886"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6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1136" w:type="dxa"/>
            <w:tcBorders>
              <w:top w:val="single" w:sz="12" w:space="0" w:color="000000"/>
              <w:left w:val="nil" w:sz="6" w:space="0" w:color="auto"/>
              <w:bottom w:val="nil" w:sz="6" w:space="0" w:color="auto"/>
              <w:right w:val="nil" w:sz="6" w:space="0" w:color="auto"/>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占总额比</w:t>
            </w:r>
          </w:p>
          <w:p>
            <w:pPr>
              <w:pStyle w:val="TableParagraph"/>
              <w:spacing w:line="274" w:lineRule="exact"/>
              <w:ind w:right="109"/>
              <w:jc w:val="right"/>
              <w:rPr>
                <w:rFonts w:ascii="宋体" w:hAnsi="宋体" w:cs="宋体" w:eastAsia="宋体" w:hint="default"/>
                <w:sz w:val="21"/>
                <w:szCs w:val="21"/>
              </w:rPr>
            </w:pPr>
            <w:r>
              <w:rPr>
                <w:rFonts w:ascii="宋体" w:hAnsi="宋体" w:cs="宋体" w:eastAsia="宋体" w:hint="default"/>
                <w:sz w:val="21"/>
                <w:szCs w:val="21"/>
              </w:rPr>
              <w:t>例</w:t>
            </w:r>
          </w:p>
        </w:tc>
        <w:tc>
          <w:tcPr>
            <w:tcW w:w="1234" w:type="dxa"/>
            <w:tcBorders>
              <w:top w:val="single" w:sz="12" w:space="0" w:color="000000"/>
              <w:left w:val="nil" w:sz="6" w:space="0" w:color="auto"/>
              <w:bottom w:val="nil" w:sz="6" w:space="0" w:color="auto"/>
              <w:right w:val="nil" w:sz="6" w:space="0" w:color="auto"/>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9"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r>
      <w:tr>
        <w:trPr>
          <w:trHeight w:val="391"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8"/>
              <w:jc w:val="right"/>
              <w:rPr>
                <w:rFonts w:ascii="Arial" w:hAnsi="Arial" w:cs="Arial" w:eastAsia="Arial" w:hint="default"/>
                <w:sz w:val="21"/>
                <w:szCs w:val="21"/>
              </w:rPr>
            </w:pPr>
            <w:r>
              <w:rPr>
                <w:rFonts w:ascii="Arial"/>
                <w:spacing w:val="-1"/>
                <w:w w:val="95"/>
                <w:sz w:val="21"/>
              </w:rPr>
              <w:t>2,324,978</w:t>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3"/>
              <w:jc w:val="right"/>
              <w:rPr>
                <w:rFonts w:ascii="Arial" w:hAnsi="Arial" w:cs="Arial" w:eastAsia="Arial" w:hint="default"/>
                <w:sz w:val="21"/>
                <w:szCs w:val="21"/>
              </w:rPr>
            </w:pPr>
            <w:r>
              <w:rPr>
                <w:rFonts w:ascii="Arial"/>
                <w:spacing w:val="-1"/>
                <w:w w:val="95"/>
                <w:sz w:val="21"/>
              </w:rPr>
              <w:t>99.6%</w:t>
            </w:r>
            <w:r>
              <w:rPr>
                <w:rFonts w:ascii="Arial"/>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21"/>
                <w:szCs w:val="21"/>
              </w:rPr>
            </w:pPr>
            <w:r>
              <w:rPr>
                <w:rFonts w:ascii="Arial"/>
                <w:spacing w:val="-1"/>
                <w:w w:val="95"/>
                <w:sz w:val="21"/>
              </w:rPr>
              <w:t>(1,008)</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22"/>
              <w:jc w:val="right"/>
              <w:rPr>
                <w:rFonts w:ascii="Arial" w:hAnsi="Arial" w:cs="Arial" w:eastAsia="Arial" w:hint="default"/>
                <w:sz w:val="21"/>
                <w:szCs w:val="21"/>
              </w:rPr>
            </w:pPr>
            <w:r>
              <w:rPr>
                <w:rFonts w:ascii="Arial"/>
                <w:spacing w:val="-1"/>
                <w:w w:val="95"/>
                <w:sz w:val="21"/>
              </w:rPr>
              <w:t>2,365,350</w:t>
            </w:r>
            <w:r>
              <w:rPr>
                <w:rFonts w:ascii="Arial"/>
                <w:sz w:val="21"/>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1"/>
              <w:jc w:val="right"/>
              <w:rPr>
                <w:rFonts w:ascii="Arial" w:hAnsi="Arial" w:cs="Arial" w:eastAsia="Arial" w:hint="default"/>
                <w:sz w:val="21"/>
                <w:szCs w:val="21"/>
              </w:rPr>
            </w:pPr>
            <w:r>
              <w:rPr>
                <w:rFonts w:ascii="Arial"/>
                <w:spacing w:val="-1"/>
                <w:w w:val="95"/>
                <w:sz w:val="21"/>
              </w:rPr>
              <w:t>99.9%</w:t>
            </w:r>
            <w:r>
              <w:rPr>
                <w:rFonts w:ascii="Arial"/>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0"/>
              <w:jc w:val="right"/>
              <w:rPr>
                <w:rFonts w:ascii="Arial" w:hAnsi="Arial" w:cs="Arial" w:eastAsia="Arial" w:hint="default"/>
                <w:sz w:val="21"/>
                <w:szCs w:val="21"/>
              </w:rPr>
            </w:pPr>
            <w:r>
              <w:rPr>
                <w:rFonts w:ascii="Arial"/>
                <w:spacing w:val="-1"/>
                <w:w w:val="95"/>
                <w:sz w:val="21"/>
              </w:rPr>
              <w:t>(1,256)</w:t>
            </w:r>
            <w:r>
              <w:rPr>
                <w:rFonts w:ascii="Arial"/>
                <w:sz w:val="21"/>
              </w:rPr>
            </w:r>
          </w:p>
        </w:tc>
      </w:tr>
      <w:tr>
        <w:trPr>
          <w:trHeight w:val="273"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8"/>
              <w:jc w:val="right"/>
              <w:rPr>
                <w:rFonts w:ascii="Arial" w:hAnsi="Arial" w:cs="Arial" w:eastAsia="Arial" w:hint="default"/>
                <w:sz w:val="21"/>
                <w:szCs w:val="21"/>
              </w:rPr>
            </w:pPr>
            <w:r>
              <w:rPr>
                <w:rFonts w:ascii="Arial"/>
                <w:spacing w:val="-1"/>
                <w:w w:val="95"/>
                <w:sz w:val="21"/>
              </w:rPr>
              <w:t>7,900</w:t>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3"/>
              <w:jc w:val="right"/>
              <w:rPr>
                <w:rFonts w:ascii="Arial" w:hAnsi="Arial" w:cs="Arial" w:eastAsia="Arial" w:hint="default"/>
                <w:sz w:val="21"/>
                <w:szCs w:val="21"/>
              </w:rPr>
            </w:pPr>
            <w:r>
              <w:rPr>
                <w:rFonts w:ascii="Arial"/>
                <w:spacing w:val="-1"/>
                <w:w w:val="95"/>
                <w:sz w:val="21"/>
              </w:rPr>
              <w:t>0.3%</w:t>
            </w:r>
            <w:r>
              <w:rPr>
                <w:rFonts w:ascii="Arial"/>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(790)</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2"/>
              <w:jc w:val="right"/>
              <w:rPr>
                <w:rFonts w:ascii="Arial" w:hAnsi="Arial" w:cs="Arial" w:eastAsia="Arial" w:hint="default"/>
                <w:sz w:val="21"/>
                <w:szCs w:val="21"/>
              </w:rPr>
            </w:pPr>
            <w:r>
              <w:rPr>
                <w:rFonts w:ascii="Arial"/>
                <w:spacing w:val="-1"/>
                <w:w w:val="95"/>
                <w:sz w:val="21"/>
              </w:rPr>
              <w:t>1,248</w:t>
            </w:r>
            <w:r>
              <w:rPr>
                <w:rFonts w:ascii="Arial"/>
                <w:sz w:val="21"/>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1"/>
              <w:jc w:val="right"/>
              <w:rPr>
                <w:rFonts w:ascii="Arial" w:hAnsi="Arial" w:cs="Arial" w:eastAsia="Arial" w:hint="default"/>
                <w:sz w:val="21"/>
                <w:szCs w:val="21"/>
              </w:rPr>
            </w:pPr>
            <w:r>
              <w:rPr>
                <w:rFonts w:ascii="Arial"/>
                <w:spacing w:val="-1"/>
                <w:w w:val="95"/>
                <w:sz w:val="21"/>
              </w:rPr>
              <w:t>0.1%</w:t>
            </w:r>
            <w:r>
              <w:rPr>
                <w:rFonts w:ascii="Arial"/>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(125)</w:t>
            </w:r>
            <w:r>
              <w:rPr>
                <w:rFonts w:ascii="Arial"/>
                <w:sz w:val="21"/>
              </w:rPr>
            </w:r>
          </w:p>
        </w:tc>
      </w:tr>
      <w:tr>
        <w:trPr>
          <w:trHeight w:val="273"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8"/>
              <w:jc w:val="right"/>
              <w:rPr>
                <w:rFonts w:ascii="Arial" w:hAnsi="Arial" w:cs="Arial" w:eastAsia="Arial" w:hint="default"/>
                <w:sz w:val="21"/>
                <w:szCs w:val="21"/>
              </w:rPr>
            </w:pPr>
            <w:r>
              <w:rPr>
                <w:rFonts w:ascii="Arial"/>
                <w:spacing w:val="-1"/>
                <w:w w:val="95"/>
                <w:sz w:val="21"/>
              </w:rPr>
              <w:t>1,176</w:t>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4"/>
              <w:jc w:val="right"/>
              <w:rPr>
                <w:rFonts w:ascii="Arial" w:hAnsi="Arial" w:cs="Arial" w:eastAsia="Arial" w:hint="default"/>
                <w:sz w:val="21"/>
                <w:szCs w:val="21"/>
              </w:rPr>
            </w:pPr>
            <w:r>
              <w:rPr>
                <w:rFonts w:ascii="Arial"/>
                <w:spacing w:val="-1"/>
                <w:w w:val="95"/>
                <w:sz w:val="21"/>
              </w:rPr>
              <w:t>0.1%</w:t>
            </w:r>
            <w:r>
              <w:rPr>
                <w:rFonts w:ascii="Arial"/>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(235)</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2"/>
              <w:jc w:val="right"/>
              <w:rPr>
                <w:rFonts w:ascii="Arial" w:hAnsi="Arial" w:cs="Arial" w:eastAsia="Arial" w:hint="default"/>
                <w:sz w:val="21"/>
                <w:szCs w:val="21"/>
              </w:rPr>
            </w:pPr>
            <w:r>
              <w:rPr>
                <w:rFonts w:ascii="Arial"/>
                <w:spacing w:val="-1"/>
                <w:w w:val="95"/>
                <w:sz w:val="21"/>
              </w:rPr>
              <w:t>712</w:t>
            </w:r>
            <w:r>
              <w:rPr>
                <w:rFonts w:ascii="Arial"/>
                <w:sz w:val="21"/>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1"/>
              <w:jc w:val="right"/>
              <w:rPr>
                <w:rFonts w:ascii="Arial" w:hAnsi="Arial" w:cs="Arial" w:eastAsia="Arial" w:hint="default"/>
                <w:sz w:val="21"/>
                <w:szCs w:val="21"/>
              </w:rPr>
            </w:pPr>
            <w:r>
              <w:rPr>
                <w:rFonts w:ascii="Arial"/>
                <w:spacing w:val="-1"/>
                <w:w w:val="95"/>
                <w:sz w:val="21"/>
              </w:rPr>
              <w:t>0.0%</w:t>
            </w:r>
            <w:r>
              <w:rPr>
                <w:rFonts w:ascii="Arial"/>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(142)</w:t>
            </w:r>
            <w:r>
              <w:rPr>
                <w:rFonts w:ascii="Arial"/>
                <w:sz w:val="21"/>
              </w:rPr>
            </w:r>
          </w:p>
        </w:tc>
      </w:tr>
      <w:tr>
        <w:trPr>
          <w:trHeight w:val="273"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8"/>
              <w:jc w:val="right"/>
              <w:rPr>
                <w:rFonts w:ascii="Arial" w:hAnsi="Arial" w:cs="Arial" w:eastAsia="Arial" w:hint="default"/>
                <w:sz w:val="21"/>
                <w:szCs w:val="21"/>
              </w:rPr>
            </w:pPr>
            <w:r>
              <w:rPr>
                <w:rFonts w:ascii="Arial"/>
                <w:spacing w:val="-1"/>
                <w:w w:val="95"/>
                <w:sz w:val="21"/>
              </w:rPr>
              <w:t>689</w:t>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3"/>
              <w:jc w:val="right"/>
              <w:rPr>
                <w:rFonts w:ascii="Arial" w:hAnsi="Arial" w:cs="Arial" w:eastAsia="Arial" w:hint="default"/>
                <w:sz w:val="21"/>
                <w:szCs w:val="21"/>
              </w:rPr>
            </w:pPr>
            <w:r>
              <w:rPr>
                <w:rFonts w:ascii="Arial"/>
                <w:spacing w:val="-1"/>
                <w:w w:val="95"/>
                <w:sz w:val="21"/>
              </w:rPr>
              <w:t>0.0%</w:t>
            </w:r>
            <w:r>
              <w:rPr>
                <w:rFonts w:ascii="Arial"/>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(207)</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2"/>
              <w:jc w:val="right"/>
              <w:rPr>
                <w:rFonts w:ascii="Arial" w:hAnsi="Arial" w:cs="Arial" w:eastAsia="Arial" w:hint="default"/>
                <w:sz w:val="21"/>
                <w:szCs w:val="21"/>
              </w:rPr>
            </w:pPr>
            <w:r>
              <w:rPr>
                <w:rFonts w:ascii="Arial"/>
                <w:spacing w:val="-1"/>
                <w:w w:val="95"/>
                <w:sz w:val="21"/>
              </w:rPr>
              <w:t>421</w:t>
            </w:r>
            <w:r>
              <w:rPr>
                <w:rFonts w:ascii="Arial"/>
                <w:sz w:val="21"/>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1"/>
              <w:jc w:val="right"/>
              <w:rPr>
                <w:rFonts w:ascii="Arial" w:hAnsi="Arial" w:cs="Arial" w:eastAsia="Arial" w:hint="default"/>
                <w:sz w:val="21"/>
                <w:szCs w:val="21"/>
              </w:rPr>
            </w:pPr>
            <w:r>
              <w:rPr>
                <w:rFonts w:ascii="Arial"/>
                <w:spacing w:val="-1"/>
                <w:w w:val="95"/>
                <w:sz w:val="21"/>
              </w:rPr>
              <w:t>0.0%</w:t>
            </w:r>
            <w:r>
              <w:rPr>
                <w:rFonts w:ascii="Arial"/>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(126)</w:t>
            </w:r>
            <w:r>
              <w:rPr>
                <w:rFonts w:ascii="Arial"/>
                <w:sz w:val="21"/>
              </w:rPr>
            </w:r>
          </w:p>
        </w:tc>
      </w:tr>
      <w:tr>
        <w:trPr>
          <w:trHeight w:val="273"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8"/>
              <w:jc w:val="right"/>
              <w:rPr>
                <w:rFonts w:ascii="Arial" w:hAnsi="Arial" w:cs="Arial" w:eastAsia="Arial" w:hint="default"/>
                <w:sz w:val="21"/>
                <w:szCs w:val="21"/>
              </w:rPr>
            </w:pPr>
            <w:r>
              <w:rPr>
                <w:rFonts w:ascii="Arial"/>
                <w:spacing w:val="-1"/>
                <w:w w:val="95"/>
                <w:sz w:val="21"/>
              </w:rPr>
              <w:t>397</w:t>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3"/>
              <w:jc w:val="right"/>
              <w:rPr>
                <w:rFonts w:ascii="Arial" w:hAnsi="Arial" w:cs="Arial" w:eastAsia="Arial" w:hint="default"/>
                <w:sz w:val="21"/>
                <w:szCs w:val="21"/>
              </w:rPr>
            </w:pPr>
            <w:r>
              <w:rPr>
                <w:rFonts w:ascii="Arial"/>
                <w:spacing w:val="-1"/>
                <w:w w:val="95"/>
                <w:sz w:val="21"/>
              </w:rPr>
              <w:t>0.0%</w:t>
            </w:r>
            <w:r>
              <w:rPr>
                <w:rFonts w:ascii="Arial"/>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(238)</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2"/>
              <w:jc w:val="right"/>
              <w:rPr>
                <w:rFonts w:ascii="Arial" w:hAnsi="Arial" w:cs="Arial" w:eastAsia="Arial" w:hint="default"/>
                <w:sz w:val="21"/>
                <w:szCs w:val="21"/>
              </w:rPr>
            </w:pPr>
            <w:r>
              <w:rPr>
                <w:rFonts w:ascii="Arial"/>
                <w:spacing w:val="-1"/>
                <w:w w:val="95"/>
                <w:sz w:val="21"/>
              </w:rPr>
              <w:t>154</w:t>
            </w:r>
            <w:r>
              <w:rPr>
                <w:rFonts w:ascii="Arial"/>
                <w:sz w:val="21"/>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1"/>
              <w:jc w:val="right"/>
              <w:rPr>
                <w:rFonts w:ascii="Arial" w:hAnsi="Arial" w:cs="Arial" w:eastAsia="Arial" w:hint="default"/>
                <w:sz w:val="21"/>
                <w:szCs w:val="21"/>
              </w:rPr>
            </w:pPr>
            <w:r>
              <w:rPr>
                <w:rFonts w:ascii="Arial"/>
                <w:spacing w:val="-1"/>
                <w:w w:val="95"/>
                <w:sz w:val="21"/>
              </w:rPr>
              <w:t>0.0%</w:t>
            </w:r>
            <w:r>
              <w:rPr>
                <w:rFonts w:ascii="Arial"/>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(92)</w:t>
            </w:r>
            <w:r>
              <w:rPr>
                <w:rFonts w:ascii="Arial"/>
                <w:sz w:val="21"/>
              </w:rPr>
            </w:r>
          </w:p>
        </w:tc>
      </w:tr>
      <w:tr>
        <w:trPr>
          <w:trHeight w:val="281"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8"/>
              <w:jc w:val="right"/>
              <w:rPr>
                <w:rFonts w:ascii="Arial" w:hAnsi="Arial" w:cs="Arial" w:eastAsia="Arial" w:hint="default"/>
                <w:sz w:val="21"/>
                <w:szCs w:val="21"/>
              </w:rPr>
            </w:pPr>
            <w:r>
              <w:rPr>
                <w:rFonts w:ascii="Arial"/>
                <w:spacing w:val="-1"/>
                <w:w w:val="95"/>
                <w:sz w:val="21"/>
              </w:rPr>
              <w:t>190</w:t>
            </w:r>
            <w:r>
              <w:rPr>
                <w:rFonts w:ascii="Arial"/>
                <w:sz w:val="21"/>
              </w:rPr>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93"/>
              <w:jc w:val="right"/>
              <w:rPr>
                <w:rFonts w:ascii="Arial" w:hAnsi="Arial" w:cs="Arial" w:eastAsia="Arial" w:hint="default"/>
                <w:sz w:val="21"/>
                <w:szCs w:val="21"/>
              </w:rPr>
            </w:pPr>
            <w:r>
              <w:rPr>
                <w:rFonts w:ascii="Arial"/>
                <w:spacing w:val="-1"/>
                <w:w w:val="95"/>
                <w:sz w:val="21"/>
              </w:rPr>
              <w:t>0.0%</w:t>
            </w:r>
            <w:r>
              <w:rPr>
                <w:rFonts w:ascii="Arial"/>
                <w:sz w:val="21"/>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(190)</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22"/>
              <w:jc w:val="right"/>
              <w:rPr>
                <w:rFonts w:ascii="Arial" w:hAnsi="Arial" w:cs="Arial" w:eastAsia="Arial" w:hint="default"/>
                <w:sz w:val="21"/>
                <w:szCs w:val="21"/>
              </w:rPr>
            </w:pPr>
            <w:r>
              <w:rPr>
                <w:rFonts w:ascii="Arial"/>
                <w:spacing w:val="-1"/>
                <w:w w:val="95"/>
                <w:sz w:val="21"/>
              </w:rPr>
              <w:t>74</w:t>
            </w:r>
            <w:r>
              <w:rPr>
                <w:rFonts w:ascii="Arial"/>
                <w:sz w:val="21"/>
              </w:rPr>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61"/>
              <w:jc w:val="right"/>
              <w:rPr>
                <w:rFonts w:ascii="Arial" w:hAnsi="Arial" w:cs="Arial" w:eastAsia="Arial" w:hint="default"/>
                <w:sz w:val="21"/>
                <w:szCs w:val="21"/>
              </w:rPr>
            </w:pPr>
            <w:r>
              <w:rPr>
                <w:rFonts w:ascii="Arial"/>
                <w:spacing w:val="-1"/>
                <w:w w:val="95"/>
                <w:sz w:val="21"/>
              </w:rPr>
              <w:t>0.0%</w:t>
            </w:r>
            <w:r>
              <w:rPr>
                <w:rFonts w:ascii="Arial"/>
                <w:sz w:val="21"/>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(74)</w:t>
            </w:r>
            <w:r>
              <w:rPr>
                <w:rFonts w:ascii="Arial"/>
                <w:sz w:val="21"/>
              </w:rPr>
            </w:r>
          </w:p>
        </w:tc>
      </w:tr>
      <w:tr>
        <w:trPr>
          <w:trHeight w:val="261" w:hRule="exact"/>
        </w:trPr>
        <w:tc>
          <w:tcPr>
            <w:tcW w:w="979"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49"/>
              <w:jc w:val="right"/>
              <w:rPr>
                <w:rFonts w:ascii="Arial" w:hAnsi="Arial" w:cs="Arial" w:eastAsia="Arial" w:hint="default"/>
                <w:sz w:val="21"/>
                <w:szCs w:val="21"/>
              </w:rPr>
            </w:pPr>
            <w:r>
              <w:rPr>
                <w:rFonts w:ascii="Arial"/>
                <w:spacing w:val="-1"/>
                <w:w w:val="95"/>
                <w:sz w:val="21"/>
              </w:rPr>
              <w:t>2,335,330</w:t>
            </w:r>
            <w:r>
              <w:rPr>
                <w:rFonts w:ascii="Arial"/>
                <w:sz w:val="21"/>
              </w:rPr>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94"/>
              <w:jc w:val="right"/>
              <w:rPr>
                <w:rFonts w:ascii="Arial" w:hAnsi="Arial" w:cs="Arial" w:eastAsia="Arial" w:hint="default"/>
                <w:sz w:val="21"/>
                <w:szCs w:val="21"/>
              </w:rPr>
            </w:pPr>
            <w:r>
              <w:rPr>
                <w:rFonts w:ascii="Arial"/>
                <w:spacing w:val="-1"/>
                <w:w w:val="95"/>
                <w:sz w:val="21"/>
              </w:rPr>
              <w:t>100.0%</w:t>
            </w:r>
            <w:r>
              <w:rPr>
                <w:rFonts w:ascii="Arial"/>
                <w:sz w:val="21"/>
              </w:rPr>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(2,668)</w:t>
            </w:r>
            <w:r>
              <w:rPr>
                <w:rFonts w:ascii="Arial"/>
                <w:sz w:val="21"/>
              </w:rPr>
            </w:r>
          </w:p>
        </w:tc>
        <w:tc>
          <w:tcPr>
            <w:tcW w:w="391"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22"/>
              <w:jc w:val="right"/>
              <w:rPr>
                <w:rFonts w:ascii="Arial" w:hAnsi="Arial" w:cs="Arial" w:eastAsia="Arial" w:hint="default"/>
                <w:sz w:val="21"/>
                <w:szCs w:val="21"/>
              </w:rPr>
            </w:pPr>
            <w:r>
              <w:rPr>
                <w:rFonts w:ascii="Arial"/>
                <w:spacing w:val="-1"/>
                <w:w w:val="95"/>
                <w:sz w:val="21"/>
              </w:rPr>
              <w:t>2,367,959</w:t>
            </w:r>
            <w:r>
              <w:rPr>
                <w:rFonts w:ascii="Arial"/>
                <w:sz w:val="21"/>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61"/>
              <w:jc w:val="right"/>
              <w:rPr>
                <w:rFonts w:ascii="Arial" w:hAnsi="Arial" w:cs="Arial" w:eastAsia="Arial" w:hint="default"/>
                <w:sz w:val="21"/>
                <w:szCs w:val="21"/>
              </w:rPr>
            </w:pPr>
            <w:r>
              <w:rPr>
                <w:rFonts w:ascii="Arial"/>
                <w:spacing w:val="-1"/>
                <w:w w:val="95"/>
                <w:sz w:val="21"/>
              </w:rPr>
              <w:t>100.0%</w:t>
            </w:r>
            <w:r>
              <w:rPr>
                <w:rFonts w:ascii="Arial"/>
                <w:sz w:val="21"/>
              </w:rPr>
            </w:r>
          </w:p>
        </w:tc>
        <w:tc>
          <w:tcPr>
            <w:tcW w:w="1234"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0"/>
              <w:jc w:val="right"/>
              <w:rPr>
                <w:rFonts w:ascii="Arial" w:hAnsi="Arial" w:cs="Arial" w:eastAsia="Arial" w:hint="default"/>
                <w:sz w:val="21"/>
                <w:szCs w:val="21"/>
              </w:rPr>
            </w:pPr>
            <w:r>
              <w:rPr>
                <w:rFonts w:ascii="Arial"/>
                <w:spacing w:val="-1"/>
                <w:w w:val="95"/>
                <w:sz w:val="21"/>
              </w:rPr>
              <w:t>(1,815)</w:t>
            </w:r>
            <w:r>
              <w:rPr>
                <w:rFonts w:ascii="Arial"/>
                <w:sz w:val="21"/>
              </w:rPr>
            </w:r>
          </w:p>
        </w:tc>
      </w:tr>
    </w:tbl>
    <w:p>
      <w:pPr>
        <w:spacing w:line="240" w:lineRule="auto" w:before="13"/>
        <w:rPr>
          <w:rFonts w:ascii="宋体" w:hAnsi="宋体" w:cs="宋体" w:eastAsia="宋体" w:hint="default"/>
          <w:sz w:val="14"/>
          <w:szCs w:val="14"/>
        </w:rPr>
      </w:pPr>
    </w:p>
    <w:p>
      <w:pPr>
        <w:pStyle w:val="BodyText"/>
        <w:spacing w:line="312" w:lineRule="exact" w:before="56"/>
        <w:ind w:left="802" w:right="0"/>
        <w:jc w:val="left"/>
      </w:pPr>
      <w:r>
        <w:rPr/>
        <w:t>于</w:t>
      </w:r>
      <w:r>
        <w:rPr>
          <w:spacing w:val="-63"/>
        </w:rPr>
        <w:t> </w:t>
      </w:r>
      <w:r>
        <w:rPr>
          <w:rFonts w:ascii="Arial" w:hAnsi="Arial" w:cs="Arial" w:eastAsia="Arial" w:hint="default"/>
        </w:rPr>
        <w:t>2008</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日及</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日，应收账款中无持有本公司</w:t>
      </w:r>
      <w:r>
        <w:rPr>
          <w:spacing w:val="-64"/>
        </w:rPr>
        <w:t> </w:t>
      </w:r>
      <w:r>
        <w:rPr>
          <w:rFonts w:ascii="Arial" w:hAnsi="Arial" w:cs="Arial" w:eastAsia="Arial" w:hint="default"/>
        </w:rPr>
        <w:t>5%(</w:t>
      </w:r>
      <w:r>
        <w:rPr/>
        <w:t>含</w:t>
      </w:r>
      <w:r>
        <w:rPr>
          <w:spacing w:val="-63"/>
        </w:rPr>
        <w:t> </w:t>
      </w:r>
      <w:r>
        <w:rPr>
          <w:rFonts w:ascii="Arial" w:hAnsi="Arial" w:cs="Arial" w:eastAsia="Arial" w:hint="default"/>
        </w:rPr>
        <w:t>5%)</w:t>
      </w:r>
      <w:r>
        <w:rPr/>
        <w:t>以 上表决权股份的股东的欠款。</w:t>
      </w:r>
    </w:p>
    <w:p>
      <w:pPr>
        <w:spacing w:after="0" w:line="312" w:lineRule="exact"/>
        <w:jc w:val="left"/>
        <w:sectPr>
          <w:type w:val="continuous"/>
          <w:pgSz w:w="11910" w:h="16840"/>
          <w:pgMar w:top="1600" w:bottom="280" w:left="940" w:right="820"/>
        </w:sectPr>
      </w:pPr>
    </w:p>
    <w:p>
      <w:pPr>
        <w:spacing w:line="240" w:lineRule="auto" w:before="0"/>
        <w:rPr>
          <w:rFonts w:ascii="宋体" w:hAnsi="宋体" w:cs="宋体" w:eastAsia="宋体" w:hint="default"/>
          <w:sz w:val="20"/>
          <w:szCs w:val="20"/>
        </w:rPr>
      </w:pPr>
    </w:p>
    <w:p>
      <w:pPr>
        <w:pStyle w:val="Heading2"/>
        <w:tabs>
          <w:tab w:pos="809" w:val="left" w:leader="none"/>
        </w:tabs>
        <w:spacing w:line="240" w:lineRule="auto" w:before="158"/>
        <w:ind w:right="0"/>
        <w:jc w:val="left"/>
        <w:rPr>
          <w:rFonts w:ascii="Arial" w:hAnsi="Arial" w:cs="Arial" w:eastAsia="Arial" w:hint="default"/>
          <w:b w:val="0"/>
          <w:bCs w:val="0"/>
        </w:rPr>
      </w:pPr>
      <w:r>
        <w:rPr>
          <w:w w:val="95"/>
        </w:rPr>
        <w:t>十三</w:t>
        <w:tab/>
      </w:r>
      <w:r>
        <w:rPr/>
        <w:t>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9" w:val="left" w:leader="none"/>
        </w:tabs>
        <w:spacing w:before="0"/>
        <w:ind w:left="102" w:right="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应收账款及其他应收款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01" w:val="left" w:leader="none"/>
        </w:tabs>
        <w:spacing w:line="240" w:lineRule="auto"/>
        <w:ind w:left="102" w:right="0"/>
        <w:jc w:val="left"/>
        <w:rPr>
          <w:rFonts w:ascii="Arial" w:hAnsi="Arial" w:cs="Arial" w:eastAsia="Arial" w:hint="default"/>
        </w:rPr>
      </w:pPr>
      <w:r>
        <w:rPr>
          <w:rFonts w:ascii="Arial" w:hAnsi="Arial" w:cs="Arial" w:eastAsia="Arial" w:hint="default"/>
          <w:w w:val="95"/>
          <w:position w:val="2"/>
        </w:rPr>
        <w:t>(a)</w:t>
        <w:tab/>
      </w:r>
      <w:r>
        <w:rPr/>
        <w:t>应收账款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09" w:right="0"/>
        <w:jc w:val="left"/>
      </w:pPr>
      <w:r>
        <w:rPr/>
        <w:t>于</w:t>
      </w:r>
      <w:r>
        <w:rPr>
          <w:spacing w:val="-58"/>
        </w:rPr>
        <w:t> </w:t>
      </w:r>
      <w:r>
        <w:rPr>
          <w:rFonts w:ascii="Arial" w:hAnsi="Arial" w:cs="Arial" w:eastAsia="Arial" w:hint="default"/>
        </w:rPr>
        <w:t>2008</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日，应收账款前五名债务人均为本集团之子公司，其欠款金额合计约</w:t>
      </w:r>
    </w:p>
    <w:p>
      <w:pPr>
        <w:pStyle w:val="BodyText"/>
        <w:spacing w:line="312" w:lineRule="exact"/>
        <w:ind w:left="809" w:right="0"/>
        <w:jc w:val="left"/>
      </w:pPr>
      <w:r>
        <w:rPr/>
        <w:t>为人民币</w:t>
      </w:r>
      <w:r>
        <w:rPr>
          <w:spacing w:val="-61"/>
        </w:rPr>
        <w:t> </w:t>
      </w:r>
      <w:r>
        <w:rPr>
          <w:rFonts w:ascii="Arial" w:hAnsi="Arial" w:cs="Arial" w:eastAsia="Arial" w:hint="default"/>
        </w:rPr>
        <w:t>10.37</w:t>
      </w:r>
      <w:r>
        <w:rPr>
          <w:rFonts w:ascii="Arial" w:hAnsi="Arial" w:cs="Arial" w:eastAsia="Arial" w:hint="default"/>
          <w:spacing w:val="-8"/>
        </w:rPr>
        <w:t> </w:t>
      </w:r>
      <w:r>
        <w:rPr/>
        <w:t>亿元</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5"/>
        </w:rPr>
        <w:t>日：约人民币</w:t>
      </w:r>
      <w:r>
        <w:rPr>
          <w:spacing w:val="-61"/>
        </w:rPr>
        <w:t> </w:t>
      </w:r>
      <w:r>
        <w:rPr>
          <w:rFonts w:ascii="Arial" w:hAnsi="Arial" w:cs="Arial" w:eastAsia="Arial" w:hint="default"/>
        </w:rPr>
        <w:t>12.27</w:t>
      </w:r>
      <w:r>
        <w:rPr>
          <w:rFonts w:ascii="Arial" w:hAnsi="Arial" w:cs="Arial" w:eastAsia="Arial" w:hint="default"/>
          <w:spacing w:val="-8"/>
        </w:rPr>
        <w:t> </w:t>
      </w:r>
      <w:r>
        <w:rPr>
          <w:spacing w:val="-5"/>
        </w:rPr>
        <w:t>亿元</w:t>
      </w:r>
      <w:r>
        <w:rPr>
          <w:rFonts w:ascii="Arial" w:hAnsi="Arial" w:cs="Arial" w:eastAsia="Arial" w:hint="default"/>
          <w:spacing w:val="-5"/>
        </w:rPr>
        <w:t>)</w:t>
      </w:r>
      <w:r>
        <w:rPr>
          <w:spacing w:val="-5"/>
        </w:rPr>
        <w:t>，账龄为</w:t>
      </w:r>
      <w:r>
        <w:rPr>
          <w:spacing w:val="-61"/>
        </w:rPr>
        <w:t> </w:t>
      </w:r>
      <w:r>
        <w:rPr>
          <w:rFonts w:ascii="Arial" w:hAnsi="Arial" w:cs="Arial" w:eastAsia="Arial" w:hint="default"/>
        </w:rPr>
        <w:t>1</w:t>
      </w:r>
      <w:r>
        <w:rPr>
          <w:rFonts w:ascii="Arial" w:hAnsi="Arial" w:cs="Arial" w:eastAsia="Arial" w:hint="default"/>
          <w:spacing w:val="-8"/>
        </w:rPr>
        <w:t> </w:t>
      </w:r>
      <w:r>
        <w:rPr>
          <w:spacing w:val="-5"/>
        </w:rPr>
        <w:t>年以内，占应</w:t>
      </w:r>
    </w:p>
    <w:p>
      <w:pPr>
        <w:pStyle w:val="BodyText"/>
        <w:spacing w:line="322" w:lineRule="exact"/>
        <w:ind w:left="809" w:right="0"/>
        <w:jc w:val="left"/>
      </w:pPr>
      <w:r>
        <w:rPr/>
        <w:t>收账款总额的</w:t>
      </w:r>
      <w:r>
        <w:rPr>
          <w:spacing w:val="-63"/>
        </w:rPr>
        <w:t> </w:t>
      </w:r>
      <w:r>
        <w:rPr>
          <w:rFonts w:ascii="Arial" w:hAnsi="Arial" w:cs="Arial" w:eastAsia="Arial" w:hint="default"/>
        </w:rPr>
        <w:t>44.4%(2007</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w:t>
      </w:r>
      <w:r>
        <w:rPr>
          <w:rFonts w:ascii="Arial" w:hAnsi="Arial" w:cs="Arial" w:eastAsia="Arial" w:hint="default"/>
        </w:rPr>
        <w:t>51.8%)</w:t>
      </w:r>
      <w:r>
        <w:rPr/>
        <w:t>。</w:t>
      </w:r>
    </w:p>
    <w:p>
      <w:pPr>
        <w:spacing w:line="240" w:lineRule="auto" w:before="8"/>
        <w:rPr>
          <w:rFonts w:ascii="宋体" w:hAnsi="宋体" w:cs="宋体" w:eastAsia="宋体" w:hint="default"/>
          <w:sz w:val="19"/>
          <w:szCs w:val="19"/>
        </w:rPr>
      </w:pPr>
    </w:p>
    <w:p>
      <w:pPr>
        <w:pStyle w:val="BodyText"/>
        <w:spacing w:line="322" w:lineRule="exact"/>
        <w:ind w:left="809" w:right="0"/>
        <w:jc w:val="left"/>
      </w:pPr>
      <w:r>
        <w:rPr/>
        <w:t>于</w:t>
      </w:r>
      <w:r>
        <w:rPr>
          <w:spacing w:val="-59"/>
        </w:rPr>
        <w:t> </w:t>
      </w:r>
      <w:r>
        <w:rPr>
          <w:rFonts w:ascii="Arial" w:hAnsi="Arial" w:cs="Arial" w:eastAsia="Arial" w:hint="default"/>
        </w:rPr>
        <w:t>2008</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t>日，本公司应收账款中应收本集团子公司之款项约人民币</w:t>
      </w:r>
      <w:r>
        <w:rPr>
          <w:spacing w:val="-59"/>
        </w:rPr>
        <w:t> </w:t>
      </w:r>
      <w:r>
        <w:rPr>
          <w:rFonts w:ascii="Arial" w:hAnsi="Arial" w:cs="Arial" w:eastAsia="Arial" w:hint="default"/>
        </w:rPr>
        <w:t>23.08</w:t>
      </w:r>
      <w:r>
        <w:rPr>
          <w:rFonts w:ascii="Arial" w:hAnsi="Arial" w:cs="Arial" w:eastAsia="Arial" w:hint="default"/>
          <w:spacing w:val="-6"/>
        </w:rPr>
        <w:t> </w:t>
      </w:r>
      <w:r>
        <w:rPr/>
        <w:t>亿元</w:t>
      </w:r>
    </w:p>
    <w:p>
      <w:pPr>
        <w:pStyle w:val="BodyText"/>
        <w:spacing w:line="322" w:lineRule="exact"/>
        <w:ind w:left="809" w:right="0"/>
        <w:jc w:val="left"/>
      </w:pP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23.42</w:t>
      </w:r>
      <w:r>
        <w:rPr>
          <w:rFonts w:ascii="Arial" w:hAnsi="Arial" w:cs="Arial" w:eastAsia="Arial" w:hint="default"/>
          <w:spacing w:val="-9"/>
        </w:rPr>
        <w:t> </w:t>
      </w:r>
      <w:r>
        <w:rPr/>
        <w:t>亿元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tabs>
          <w:tab w:pos="791" w:val="left" w:leader="none"/>
        </w:tabs>
        <w:spacing w:line="240" w:lineRule="auto"/>
        <w:ind w:left="102" w:right="0"/>
        <w:jc w:val="left"/>
      </w:pPr>
      <w:r>
        <w:rPr>
          <w:rFonts w:ascii="Arial" w:hAnsi="Arial" w:cs="Arial" w:eastAsia="Arial" w:hint="default"/>
          <w:w w:val="95"/>
          <w:position w:val="2"/>
        </w:rPr>
        <w:t>(b)</w:t>
        <w:tab/>
      </w:r>
      <w:r>
        <w:rPr/>
        <w:t>其他应收款</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2" w:footer="707" w:top="1020" w:bottom="900" w:left="940" w:right="560"/>
        </w:sectPr>
      </w:pPr>
    </w:p>
    <w:p>
      <w:pPr>
        <w:pStyle w:val="BodyText"/>
        <w:spacing w:line="322" w:lineRule="exact" w:before="26"/>
        <w:ind w:left="0" w:right="0"/>
        <w:jc w:val="right"/>
      </w:pPr>
      <w:r>
        <w:rPr>
          <w:rFonts w:ascii="Arial" w:hAnsi="Arial" w:cs="Arial" w:eastAsia="Arial" w:hint="default"/>
        </w:rPr>
        <w:t>2007</w:t>
      </w:r>
      <w:r>
        <w:rPr>
          <w:rFonts w:ascii="Arial" w:hAnsi="Arial" w:cs="Arial" w:eastAsia="Arial" w:hint="default"/>
          <w:spacing w:val="-11"/>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22" w:lineRule="exact" w:before="26"/>
        <w:ind w:left="0" w:right="223"/>
        <w:jc w:val="right"/>
      </w:pPr>
      <w:r>
        <w:rPr/>
        <w:br w:type="column"/>
      </w:r>
      <w:r>
        <w:rPr>
          <w:rFonts w:ascii="Arial" w:hAnsi="Arial" w:cs="Arial" w:eastAsia="Arial" w:hint="default"/>
        </w:rPr>
        <w:t>2008</w:t>
      </w:r>
      <w:r>
        <w:rPr>
          <w:rFonts w:ascii="Arial" w:hAnsi="Arial" w:cs="Arial" w:eastAsia="Arial" w:hint="default"/>
          <w:spacing w:val="-11"/>
        </w:rPr>
        <w:t> </w:t>
      </w:r>
      <w:r>
        <w:rPr/>
        <w:t>年</w:t>
      </w:r>
    </w:p>
    <w:p>
      <w:pPr>
        <w:pStyle w:val="BodyText"/>
        <w:spacing w:line="322" w:lineRule="exact"/>
        <w:ind w:left="0" w:right="223"/>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1600" w:bottom="280" w:left="940" w:right="560"/>
          <w:cols w:num="2" w:equalWidth="0">
            <w:col w:w="4951" w:space="278"/>
            <w:col w:w="5181"/>
          </w:cols>
        </w:sectPr>
      </w:pPr>
    </w:p>
    <w:p>
      <w:pPr>
        <w:pStyle w:val="BodyText"/>
        <w:tabs>
          <w:tab w:pos="8878" w:val="left" w:leader="none"/>
        </w:tabs>
        <w:spacing w:line="312" w:lineRule="exact"/>
        <w:ind w:left="3672"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4167" w:val="left" w:leader="none"/>
          <w:tab w:pos="9391" w:val="left" w:leader="none"/>
        </w:tabs>
        <w:spacing w:line="313" w:lineRule="exact"/>
        <w:ind w:left="809" w:right="0"/>
        <w:jc w:val="left"/>
        <w:rPr>
          <w:rFonts w:ascii="Arial" w:hAnsi="Arial" w:cs="Arial" w:eastAsia="Arial" w:hint="default"/>
        </w:rPr>
      </w:pPr>
      <w:r>
        <w:rPr/>
        <w:t>集团内部往来款项</w:t>
        <w:tab/>
      </w:r>
      <w:r>
        <w:rPr>
          <w:rFonts w:ascii="Arial" w:hAnsi="Arial" w:cs="Arial" w:eastAsia="Arial" w:hint="default"/>
          <w:spacing w:val="-1"/>
          <w:position w:val="2"/>
        </w:rPr>
        <w:t>36,691</w:t>
        <w:tab/>
        <w:t>35,686</w:t>
      </w:r>
      <w:r>
        <w:rPr>
          <w:rFonts w:ascii="Arial" w:hAnsi="Arial" w:cs="Arial" w:eastAsia="Arial" w:hint="default"/>
        </w:rPr>
      </w:r>
    </w:p>
    <w:p>
      <w:pPr>
        <w:pStyle w:val="BodyText"/>
        <w:tabs>
          <w:tab w:pos="4300" w:val="left" w:leader="none"/>
          <w:tab w:pos="9525" w:val="left" w:leader="none"/>
        </w:tabs>
        <w:spacing w:line="312" w:lineRule="exact"/>
        <w:ind w:left="809" w:right="0"/>
        <w:jc w:val="left"/>
        <w:rPr>
          <w:rFonts w:ascii="Arial" w:hAnsi="Arial" w:cs="Arial" w:eastAsia="Arial" w:hint="default"/>
        </w:rPr>
      </w:pPr>
      <w:r>
        <w:rPr/>
        <w:t>押金及保证金</w:t>
        <w:tab/>
      </w:r>
      <w:r>
        <w:rPr>
          <w:rFonts w:ascii="Arial" w:hAnsi="Arial" w:cs="Arial" w:eastAsia="Arial" w:hint="default"/>
          <w:spacing w:val="-1"/>
          <w:position w:val="2"/>
        </w:rPr>
        <w:t>3,317</w:t>
        <w:tab/>
        <w:t>4,286</w:t>
      </w:r>
      <w:r>
        <w:rPr>
          <w:rFonts w:ascii="Arial" w:hAnsi="Arial" w:cs="Arial" w:eastAsia="Arial" w:hint="default"/>
        </w:rPr>
      </w:r>
    </w:p>
    <w:p>
      <w:pPr>
        <w:pStyle w:val="BodyText"/>
        <w:tabs>
          <w:tab w:pos="4300" w:val="left" w:leader="none"/>
          <w:tab w:pos="9525" w:val="left" w:leader="none"/>
        </w:tabs>
        <w:spacing w:line="312" w:lineRule="exact"/>
        <w:ind w:left="809" w:right="0"/>
        <w:jc w:val="left"/>
        <w:rPr>
          <w:rFonts w:ascii="Arial" w:hAnsi="Arial" w:cs="Arial" w:eastAsia="Arial" w:hint="default"/>
        </w:rPr>
      </w:pPr>
      <w:r>
        <w:rPr/>
        <w:t>员工借款</w:t>
        <w:tab/>
      </w:r>
      <w:r>
        <w:rPr>
          <w:rFonts w:ascii="Arial" w:hAnsi="Arial" w:cs="Arial" w:eastAsia="Arial" w:hint="default"/>
          <w:spacing w:val="-1"/>
          <w:position w:val="2"/>
        </w:rPr>
        <w:t>1,983</w:t>
        <w:tab/>
        <w:t>1,554</w:t>
      </w:r>
      <w:r>
        <w:rPr>
          <w:rFonts w:ascii="Arial" w:hAnsi="Arial" w:cs="Arial" w:eastAsia="Arial" w:hint="default"/>
        </w:rPr>
      </w:r>
    </w:p>
    <w:p>
      <w:pPr>
        <w:pStyle w:val="BodyText"/>
        <w:tabs>
          <w:tab w:pos="4300" w:val="left" w:leader="none"/>
          <w:tab w:pos="9391" w:val="left" w:leader="none"/>
        </w:tabs>
        <w:spacing w:line="313" w:lineRule="exact"/>
        <w:ind w:left="809" w:right="0"/>
        <w:jc w:val="left"/>
        <w:rPr>
          <w:rFonts w:ascii="Arial" w:hAnsi="Arial" w:cs="Arial" w:eastAsia="Arial" w:hint="default"/>
        </w:rPr>
      </w:pPr>
      <w:r>
        <w:rPr/>
        <w:t>其它</w:t>
        <w:tab/>
      </w:r>
      <w:r>
        <w:rPr>
          <w:rFonts w:ascii="Arial" w:hAnsi="Arial" w:cs="Arial" w:eastAsia="Arial" w:hint="default"/>
          <w:spacing w:val="-1"/>
          <w:position w:val="2"/>
        </w:rPr>
        <w:t>5,561</w:t>
        <w:tab/>
        <w:t>21,131</w:t>
      </w:r>
      <w:r>
        <w:rPr>
          <w:rFonts w:ascii="Arial" w:hAnsi="Arial" w:cs="Arial" w:eastAsia="Arial" w:hint="default"/>
        </w:rPr>
      </w:r>
    </w:p>
    <w:p>
      <w:pPr>
        <w:spacing w:line="240" w:lineRule="auto" w:before="3"/>
        <w:rPr>
          <w:rFonts w:ascii="Arial" w:hAnsi="Arial" w:cs="Arial" w:eastAsia="Arial" w:hint="default"/>
          <w:sz w:val="3"/>
          <w:szCs w:val="3"/>
        </w:rPr>
      </w:pPr>
    </w:p>
    <w:p>
      <w:pPr>
        <w:tabs>
          <w:tab w:pos="8440" w:val="left" w:leader="none"/>
        </w:tabs>
        <w:spacing w:line="20" w:lineRule="exact"/>
        <w:ind w:left="3218" w:right="0" w:firstLine="0"/>
        <w:rPr>
          <w:rFonts w:ascii="Arial" w:hAnsi="Arial" w:cs="Arial" w:eastAsia="Arial" w:hint="default"/>
          <w:sz w:val="2"/>
          <w:szCs w:val="2"/>
        </w:rPr>
      </w:pPr>
      <w:r>
        <w:rPr>
          <w:rFonts w:ascii="Arial"/>
          <w:sz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001pt" strokecolor="#000000">
                <v:path arrowok="t"/>
              </v:shape>
            </v:group>
          </v:group>
        </w:pict>
      </w:r>
      <w:r>
        <w:rPr>
          <w:rFonts w:ascii="Arial"/>
          <w:sz w:val="2"/>
        </w:rPr>
      </w:r>
      <w:r>
        <w:rPr>
          <w:rFonts w:ascii="Arial"/>
          <w:sz w:val="2"/>
        </w:rPr>
        <w:tab/>
      </w:r>
      <w:r>
        <w:rPr>
          <w:rFonts w:ascii="Arial"/>
          <w:sz w:val="2"/>
        </w:rPr>
        <w:pict>
          <v:group style="width:92.3pt;height:.5pt;mso-position-horizontal-relative:char;mso-position-vertical-relative:line" coordorigin="0,0" coordsize="1846,10">
            <v:group style="position:absolute;left:5;top:5;width:1836;height:2" coordorigin="5,5" coordsize="1836,2">
              <v:shape style="position:absolute;left:5;top:5;width:1836;height:2" coordorigin="5,5" coordsize="1836,0" path="m5,5l1841,5e" filled="false" stroked="true" strokeweight=".48001pt" strokecolor="#000000">
                <v:path arrowok="t"/>
              </v:shape>
            </v:group>
          </v:group>
        </w:pict>
      </w:r>
      <w:r>
        <w:rPr>
          <w:rFonts w:ascii="Arial"/>
          <w:sz w:val="2"/>
        </w:rPr>
      </w:r>
    </w:p>
    <w:p>
      <w:pPr>
        <w:pStyle w:val="BodyText"/>
        <w:tabs>
          <w:tab w:pos="9391" w:val="left" w:leader="none"/>
        </w:tabs>
        <w:spacing w:line="245" w:lineRule="exact"/>
        <w:ind w:left="4167" w:right="0"/>
        <w:jc w:val="left"/>
        <w:rPr>
          <w:rFonts w:ascii="Arial" w:hAnsi="Arial" w:cs="Arial" w:eastAsia="Arial" w:hint="default"/>
        </w:rPr>
      </w:pPr>
      <w:r>
        <w:rPr>
          <w:rFonts w:ascii="Arial"/>
          <w:spacing w:val="-1"/>
        </w:rPr>
        <w:t>47,552</w:t>
        <w:tab/>
        <w:t>62,657</w:t>
      </w:r>
      <w:r>
        <w:rPr>
          <w:rFonts w:ascii="Arial"/>
        </w:rPr>
      </w:r>
    </w:p>
    <w:p>
      <w:pPr>
        <w:pStyle w:val="BodyText"/>
        <w:tabs>
          <w:tab w:pos="4753" w:val="left" w:leader="none"/>
        </w:tabs>
        <w:spacing w:line="295" w:lineRule="exact"/>
        <w:ind w:left="3184" w:right="0"/>
        <w:jc w:val="center"/>
      </w:pPr>
      <w:r>
        <w:rPr/>
        <w:t>本年增加</w:t>
        <w:tab/>
        <w:t>本年减少</w:t>
      </w:r>
    </w:p>
    <w:p>
      <w:pPr>
        <w:pStyle w:val="BodyText"/>
        <w:spacing w:line="330" w:lineRule="exact"/>
        <w:ind w:left="3108"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6"/>
        <w:rPr>
          <w:rFonts w:ascii="Arial" w:hAnsi="Arial" w:cs="Arial" w:eastAsia="Arial" w:hint="default"/>
          <w:sz w:val="19"/>
          <w:szCs w:val="19"/>
        </w:rPr>
      </w:pPr>
    </w:p>
    <w:tbl>
      <w:tblPr>
        <w:tblW w:w="0" w:type="auto"/>
        <w:jc w:val="left"/>
        <w:tblInd w:w="774" w:type="dxa"/>
        <w:tblLayout w:type="fixed"/>
        <w:tblCellMar>
          <w:top w:w="0" w:type="dxa"/>
          <w:left w:w="0" w:type="dxa"/>
          <w:bottom w:w="0" w:type="dxa"/>
          <w:right w:w="0" w:type="dxa"/>
        </w:tblCellMar>
        <w:tblLook w:val="01E0"/>
      </w:tblPr>
      <w:tblGrid>
        <w:gridCol w:w="2448"/>
        <w:gridCol w:w="1829"/>
        <w:gridCol w:w="287"/>
        <w:gridCol w:w="1253"/>
        <w:gridCol w:w="284"/>
        <w:gridCol w:w="3406"/>
      </w:tblGrid>
      <w:tr>
        <w:trPr>
          <w:trHeight w:val="38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69"/>
              <w:jc w:val="right"/>
              <w:rPr>
                <w:rFonts w:ascii="Arial" w:hAnsi="Arial" w:cs="Arial" w:eastAsia="Arial" w:hint="default"/>
                <w:sz w:val="24"/>
                <w:szCs w:val="24"/>
              </w:rPr>
            </w:pPr>
            <w:r>
              <w:rPr>
                <w:rFonts w:ascii="Arial"/>
                <w:w w:val="95"/>
                <w:sz w:val="24"/>
              </w:rPr>
              <w:t>(1,868)</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476" w:right="0"/>
              <w:jc w:val="left"/>
              <w:rPr>
                <w:rFonts w:ascii="Arial" w:hAnsi="Arial" w:cs="Arial" w:eastAsia="Arial" w:hint="default"/>
                <w:sz w:val="24"/>
                <w:szCs w:val="24"/>
              </w:rPr>
            </w:pPr>
            <w:r>
              <w:rPr>
                <w:rFonts w:ascii="Arial"/>
                <w:sz w:val="24"/>
              </w:rPr>
              <w:t>(1,061)</w:t>
            </w:r>
          </w:p>
        </w:tc>
        <w:tc>
          <w:tcPr>
            <w:tcW w:w="284"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single" w:sz="4" w:space="0" w:color="000000"/>
              <w:right w:val="nil" w:sz="6" w:space="0" w:color="auto"/>
            </w:tcBorders>
          </w:tcPr>
          <w:p>
            <w:pPr>
              <w:pStyle w:val="TableParagraph"/>
              <w:tabs>
                <w:tab w:pos="1465" w:val="left" w:leader="none"/>
              </w:tabs>
              <w:spacing w:line="240" w:lineRule="auto" w:before="69"/>
              <w:ind w:right="74"/>
              <w:jc w:val="right"/>
              <w:rPr>
                <w:rFonts w:ascii="Arial" w:hAnsi="Arial" w:cs="Arial" w:eastAsia="Arial" w:hint="default"/>
                <w:sz w:val="24"/>
                <w:szCs w:val="24"/>
              </w:rPr>
            </w:pPr>
            <w:r>
              <w:rPr>
                <w:rFonts w:ascii="Arial"/>
                <w:sz w:val="24"/>
              </w:rPr>
              <w:t>-</w:t>
              <w:tab/>
            </w:r>
            <w:r>
              <w:rPr>
                <w:rFonts w:ascii="Arial"/>
                <w:w w:val="95"/>
                <w:sz w:val="24"/>
              </w:rPr>
              <w:t>(2,929)</w:t>
            </w:r>
            <w:r>
              <w:rPr>
                <w:rFonts w:ascii="Arial"/>
                <w:sz w:val="24"/>
              </w:rPr>
            </w:r>
          </w:p>
        </w:tc>
      </w:tr>
      <w:tr>
        <w:trPr>
          <w:trHeight w:val="296" w:hRule="exact"/>
        </w:trPr>
        <w:tc>
          <w:tcPr>
            <w:tcW w:w="2448"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49"/>
              <w:jc w:val="right"/>
              <w:rPr>
                <w:rFonts w:ascii="Arial" w:hAnsi="Arial" w:cs="Arial" w:eastAsia="Arial" w:hint="default"/>
                <w:sz w:val="24"/>
                <w:szCs w:val="24"/>
              </w:rPr>
            </w:pPr>
            <w:r>
              <w:rPr>
                <w:rFonts w:ascii="Arial"/>
                <w:spacing w:val="-1"/>
                <w:w w:val="95"/>
                <w:sz w:val="24"/>
              </w:rPr>
              <w:t>45,684</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340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54"/>
              <w:jc w:val="right"/>
              <w:rPr>
                <w:rFonts w:ascii="Arial" w:hAnsi="Arial" w:cs="Arial" w:eastAsia="Arial" w:hint="default"/>
                <w:sz w:val="24"/>
                <w:szCs w:val="24"/>
              </w:rPr>
            </w:pPr>
            <w:r>
              <w:rPr>
                <w:rFonts w:ascii="Arial"/>
                <w:spacing w:val="-1"/>
                <w:w w:val="95"/>
                <w:sz w:val="24"/>
              </w:rPr>
              <w:t>59,728</w:t>
            </w:r>
            <w:r>
              <w:rPr>
                <w:rFonts w:ascii="Arial"/>
                <w:sz w:val="24"/>
              </w:rPr>
            </w:r>
          </w:p>
        </w:tc>
      </w:tr>
    </w:tbl>
    <w:p>
      <w:pPr>
        <w:spacing w:line="240" w:lineRule="auto" w:before="0"/>
        <w:rPr>
          <w:rFonts w:ascii="Arial" w:hAnsi="Arial" w:cs="Arial" w:eastAsia="Arial" w:hint="default"/>
          <w:sz w:val="17"/>
          <w:szCs w:val="17"/>
        </w:rPr>
      </w:pPr>
    </w:p>
    <w:p>
      <w:pPr>
        <w:pStyle w:val="BodyText"/>
        <w:spacing w:line="240" w:lineRule="auto" w:before="26"/>
        <w:ind w:left="809" w:right="0"/>
        <w:jc w:val="left"/>
      </w:pPr>
      <w:r>
        <w:rPr/>
        <w:pict>
          <v:group style="position:absolute;margin-left:390.779999pt;margin-top:-26.084063pt;width:64.2pt;height:.1pt;mso-position-horizontal-relative:page;mso-position-vertical-relative:paragraph;z-index:-670024" coordorigin="7816,-522" coordsize="1284,2">
            <v:shape style="position:absolute;left:7816;top:-522;width:1284;height:2" coordorigin="7816,-522" coordsize="1284,0" path="m7816,-522l9100,-522e" filled="false" stroked="true" strokeweight=".48pt" strokecolor="#000000">
              <v:path arrowok="t"/>
            </v:shape>
            <w10:wrap type="none"/>
          </v:group>
        </w:pict>
      </w:r>
      <w:r>
        <w:rPr/>
        <w:t>其他应收款及相应的坏账准备分析如下：</w:t>
      </w:r>
    </w:p>
    <w:p>
      <w:pPr>
        <w:spacing w:line="240" w:lineRule="auto" w:before="4"/>
        <w:rPr>
          <w:rFonts w:ascii="宋体" w:hAnsi="宋体" w:cs="宋体" w:eastAsia="宋体" w:hint="default"/>
          <w:sz w:val="21"/>
          <w:szCs w:val="21"/>
        </w:rPr>
      </w:pPr>
    </w:p>
    <w:p>
      <w:pPr>
        <w:tabs>
          <w:tab w:pos="7489" w:val="left" w:leader="none"/>
        </w:tabs>
        <w:spacing w:before="0"/>
        <w:ind w:left="3483" w:right="0"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line="240" w:lineRule="auto" w:before="7"/>
        <w:rPr>
          <w:rFonts w:ascii="宋体" w:hAnsi="宋体" w:cs="宋体" w:eastAsia="宋体"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1482"/>
        <w:gridCol w:w="1458"/>
        <w:gridCol w:w="952"/>
        <w:gridCol w:w="280"/>
        <w:gridCol w:w="1268"/>
        <w:gridCol w:w="307"/>
        <w:gridCol w:w="1342"/>
        <w:gridCol w:w="913"/>
        <w:gridCol w:w="236"/>
        <w:gridCol w:w="1259"/>
      </w:tblGrid>
      <w:tr>
        <w:trPr>
          <w:trHeight w:val="923" w:hRule="exact"/>
        </w:trPr>
        <w:tc>
          <w:tcPr>
            <w:tcW w:w="1482" w:type="dxa"/>
            <w:tcBorders>
              <w:top w:val="nil" w:sz="6" w:space="0" w:color="auto"/>
              <w:left w:val="nil" w:sz="6" w:space="0" w:color="auto"/>
              <w:bottom w:val="nil" w:sz="6" w:space="0" w:color="auto"/>
              <w:right w:val="nil" w:sz="6" w:space="0" w:color="auto"/>
            </w:tcBorders>
          </w:tcPr>
          <w:p>
            <w:pPr/>
          </w:p>
        </w:tc>
        <w:tc>
          <w:tcPr>
            <w:tcW w:w="1458" w:type="dxa"/>
            <w:tcBorders>
              <w:top w:val="single" w:sz="12" w:space="0" w:color="000000"/>
              <w:left w:val="nil" w:sz="6" w:space="0" w:color="auto"/>
              <w:bottom w:val="nil" w:sz="6" w:space="0" w:color="auto"/>
              <w:right w:val="nil" w:sz="6" w:space="0" w:color="auto"/>
            </w:tcBorders>
          </w:tcPr>
          <w:p>
            <w:pPr>
              <w:pStyle w:val="TableParagraph"/>
              <w:spacing w:line="241" w:lineRule="exact"/>
              <w:ind w:left="829"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952" w:type="dxa"/>
            <w:tcBorders>
              <w:top w:val="single" w:sz="12" w:space="0" w:color="000000"/>
              <w:left w:val="nil" w:sz="6" w:space="0" w:color="auto"/>
              <w:bottom w:val="nil" w:sz="6" w:space="0" w:color="auto"/>
              <w:right w:val="nil" w:sz="6" w:space="0" w:color="auto"/>
            </w:tcBorders>
          </w:tcPr>
          <w:p>
            <w:pPr>
              <w:pStyle w:val="TableParagraph"/>
              <w:spacing w:line="240" w:lineRule="exact"/>
              <w:ind w:left="270"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4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80" w:type="dxa"/>
            <w:tcBorders>
              <w:top w:val="single" w:sz="12" w:space="0" w:color="000000"/>
              <w:left w:val="nil" w:sz="6" w:space="0" w:color="auto"/>
              <w:bottom w:val="nil" w:sz="6" w:space="0" w:color="auto"/>
              <w:right w:val="nil" w:sz="6" w:space="0" w:color="auto"/>
            </w:tcBorders>
          </w:tcPr>
          <w:p>
            <w:pPr/>
          </w:p>
        </w:tc>
        <w:tc>
          <w:tcPr>
            <w:tcW w:w="1268" w:type="dxa"/>
            <w:tcBorders>
              <w:top w:val="single" w:sz="12" w:space="0" w:color="000000"/>
              <w:left w:val="nil" w:sz="6" w:space="0" w:color="auto"/>
              <w:bottom w:val="nil" w:sz="6" w:space="0" w:color="auto"/>
              <w:right w:val="nil" w:sz="6" w:space="0" w:color="auto"/>
            </w:tcBorders>
          </w:tcPr>
          <w:p>
            <w:pPr>
              <w:pStyle w:val="TableParagraph"/>
              <w:spacing w:line="241" w:lineRule="exact"/>
              <w:ind w:left="46"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6"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single" w:sz="12" w:space="0" w:color="000000"/>
              <w:left w:val="nil" w:sz="6" w:space="0" w:color="auto"/>
              <w:bottom w:val="nil" w:sz="6" w:space="0" w:color="auto"/>
              <w:right w:val="nil" w:sz="6" w:space="0" w:color="auto"/>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9"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913" w:type="dxa"/>
            <w:tcBorders>
              <w:top w:val="single" w:sz="12" w:space="0" w:color="000000"/>
              <w:left w:val="nil" w:sz="6" w:space="0" w:color="auto"/>
              <w:bottom w:val="nil" w:sz="6" w:space="0" w:color="auto"/>
              <w:right w:val="nil" w:sz="6" w:space="0" w:color="auto"/>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44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36" w:type="dxa"/>
            <w:tcBorders>
              <w:top w:val="single" w:sz="12" w:space="0" w:color="000000"/>
              <w:left w:val="nil" w:sz="6" w:space="0" w:color="auto"/>
              <w:bottom w:val="nil" w:sz="6" w:space="0" w:color="auto"/>
              <w:right w:val="nil" w:sz="6" w:space="0" w:color="auto"/>
            </w:tcBorders>
          </w:tcPr>
          <w:p>
            <w:pPr/>
          </w:p>
        </w:tc>
        <w:tc>
          <w:tcPr>
            <w:tcW w:w="1259" w:type="dxa"/>
            <w:tcBorders>
              <w:top w:val="single" w:sz="12" w:space="0" w:color="000000"/>
              <w:left w:val="nil" w:sz="6" w:space="0" w:color="auto"/>
              <w:bottom w:val="nil" w:sz="6" w:space="0" w:color="auto"/>
              <w:right w:val="nil" w:sz="6" w:space="0" w:color="auto"/>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7"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r>
      <w:tr>
        <w:trPr>
          <w:trHeight w:val="391"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06"/>
              <w:jc w:val="right"/>
              <w:rPr>
                <w:rFonts w:ascii="Arial" w:hAnsi="Arial" w:cs="Arial" w:eastAsia="Arial" w:hint="default"/>
                <w:sz w:val="21"/>
                <w:szCs w:val="21"/>
              </w:rPr>
            </w:pPr>
            <w:r>
              <w:rPr>
                <w:rFonts w:ascii="Arial"/>
                <w:spacing w:val="-1"/>
                <w:w w:val="95"/>
                <w:sz w:val="21"/>
              </w:rPr>
              <w:t>57,308</w:t>
            </w:r>
            <w:r>
              <w:rPr>
                <w:rFonts w:ascii="Arial"/>
                <w:sz w:val="21"/>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1"/>
              <w:jc w:val="right"/>
              <w:rPr>
                <w:rFonts w:ascii="Arial" w:hAnsi="Arial" w:cs="Arial" w:eastAsia="Arial" w:hint="default"/>
                <w:sz w:val="21"/>
                <w:szCs w:val="21"/>
              </w:rPr>
            </w:pPr>
            <w:r>
              <w:rPr>
                <w:rFonts w:ascii="Arial"/>
                <w:spacing w:val="-1"/>
                <w:w w:val="95"/>
                <w:sz w:val="21"/>
              </w:rPr>
              <w:t>91.5%</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w w:val="95"/>
                <w:sz w:val="21"/>
              </w:rPr>
              <w:t>(2,215)</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Arial" w:hAnsi="Arial" w:cs="Arial" w:eastAsia="Arial" w:hint="default"/>
                <w:sz w:val="21"/>
                <w:szCs w:val="21"/>
              </w:rPr>
            </w:pPr>
            <w:r>
              <w:rPr>
                <w:rFonts w:ascii="Arial"/>
                <w:spacing w:val="-1"/>
                <w:w w:val="95"/>
                <w:sz w:val="21"/>
              </w:rPr>
              <w:t>44,575</w:t>
            </w:r>
            <w:r>
              <w:rPr>
                <w:rFonts w:ascii="Arial"/>
                <w:sz w:val="21"/>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Arial" w:hAnsi="Arial" w:cs="Arial" w:eastAsia="Arial" w:hint="default"/>
                <w:sz w:val="21"/>
                <w:szCs w:val="21"/>
              </w:rPr>
            </w:pPr>
            <w:r>
              <w:rPr>
                <w:rFonts w:ascii="Arial"/>
                <w:spacing w:val="-1"/>
                <w:w w:val="95"/>
                <w:sz w:val="21"/>
              </w:rPr>
              <w:t>93.7%</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21"/>
                <w:szCs w:val="21"/>
              </w:rPr>
            </w:pPr>
            <w:r>
              <w:rPr>
                <w:rFonts w:ascii="Arial"/>
                <w:spacing w:val="-1"/>
                <w:w w:val="95"/>
                <w:sz w:val="21"/>
              </w:rPr>
              <w:t>(393)</w:t>
            </w:r>
            <w:r>
              <w:rPr>
                <w:rFonts w:ascii="Arial"/>
                <w:sz w:val="21"/>
              </w:rPr>
            </w:r>
          </w:p>
        </w:tc>
      </w:tr>
      <w:tr>
        <w:trPr>
          <w:trHeight w:val="27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8"/>
              <w:jc w:val="right"/>
              <w:rPr>
                <w:rFonts w:ascii="Arial" w:hAnsi="Arial" w:cs="Arial" w:eastAsia="Arial" w:hint="default"/>
                <w:sz w:val="21"/>
                <w:szCs w:val="21"/>
              </w:rPr>
            </w:pPr>
            <w:r>
              <w:rPr>
                <w:rFonts w:ascii="Arial"/>
                <w:spacing w:val="-1"/>
                <w:w w:val="95"/>
                <w:sz w:val="21"/>
              </w:rPr>
              <w:t>4,281</w:t>
            </w:r>
            <w:r>
              <w:rPr>
                <w:rFonts w:ascii="Arial"/>
                <w:sz w:val="21"/>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6.8%</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(428)</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4"/>
              <w:jc w:val="right"/>
              <w:rPr>
                <w:rFonts w:ascii="Arial" w:hAnsi="Arial" w:cs="Arial" w:eastAsia="Arial" w:hint="default"/>
                <w:sz w:val="21"/>
                <w:szCs w:val="21"/>
              </w:rPr>
            </w:pPr>
            <w:r>
              <w:rPr>
                <w:rFonts w:ascii="Arial"/>
                <w:spacing w:val="-1"/>
                <w:w w:val="95"/>
                <w:sz w:val="21"/>
              </w:rPr>
              <w:t>838</w:t>
            </w:r>
            <w:r>
              <w:rPr>
                <w:rFonts w:ascii="Arial"/>
                <w:sz w:val="21"/>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1.8%</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(84)</w:t>
            </w:r>
            <w:r>
              <w:rPr>
                <w:rFonts w:ascii="Arial"/>
                <w:sz w:val="21"/>
              </w:rPr>
            </w:r>
          </w:p>
        </w:tc>
      </w:tr>
      <w:tr>
        <w:trPr>
          <w:trHeight w:val="27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6"/>
              <w:jc w:val="right"/>
              <w:rPr>
                <w:rFonts w:ascii="Arial" w:hAnsi="Arial" w:cs="Arial" w:eastAsia="Arial" w:hint="default"/>
                <w:sz w:val="21"/>
                <w:szCs w:val="21"/>
              </w:rPr>
            </w:pPr>
            <w:r>
              <w:rPr>
                <w:rFonts w:ascii="Arial"/>
                <w:spacing w:val="-1"/>
                <w:w w:val="95"/>
                <w:sz w:val="21"/>
              </w:rPr>
              <w:t>820</w:t>
            </w:r>
            <w:r>
              <w:rPr>
                <w:rFonts w:ascii="Arial"/>
                <w:sz w:val="21"/>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1.3%</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(164)</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Arial" w:hAnsi="Arial" w:cs="Arial" w:eastAsia="Arial" w:hint="default"/>
                <w:sz w:val="21"/>
                <w:szCs w:val="21"/>
              </w:rPr>
            </w:pPr>
            <w:r>
              <w:rPr>
                <w:rFonts w:ascii="Arial"/>
                <w:spacing w:val="-1"/>
                <w:w w:val="95"/>
                <w:sz w:val="21"/>
              </w:rPr>
              <w:t>120</w:t>
            </w:r>
            <w:r>
              <w:rPr>
                <w:rFonts w:ascii="Arial"/>
                <w:sz w:val="21"/>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0.3%</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(24)</w:t>
            </w:r>
            <w:r>
              <w:rPr>
                <w:rFonts w:ascii="Arial"/>
                <w:sz w:val="21"/>
              </w:rPr>
            </w:r>
          </w:p>
        </w:tc>
      </w:tr>
      <w:tr>
        <w:trPr>
          <w:trHeight w:val="27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6"/>
              <w:jc w:val="right"/>
              <w:rPr>
                <w:rFonts w:ascii="Arial" w:hAnsi="Arial" w:cs="Arial" w:eastAsia="Arial" w:hint="default"/>
                <w:sz w:val="21"/>
                <w:szCs w:val="21"/>
              </w:rPr>
            </w:pPr>
            <w:r>
              <w:rPr>
                <w:rFonts w:ascii="Arial"/>
                <w:spacing w:val="-1"/>
                <w:w w:val="95"/>
                <w:sz w:val="21"/>
              </w:rPr>
              <w:t>100</w:t>
            </w:r>
            <w:r>
              <w:rPr>
                <w:rFonts w:ascii="Arial"/>
                <w:sz w:val="21"/>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0.2%</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(30)</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21"/>
                <w:szCs w:val="21"/>
              </w:rPr>
            </w:pPr>
            <w:r>
              <w:rPr>
                <w:rFonts w:ascii="Arial"/>
                <w:spacing w:val="-1"/>
                <w:w w:val="95"/>
                <w:sz w:val="21"/>
              </w:rPr>
              <w:t>182</w:t>
            </w:r>
            <w:r>
              <w:rPr>
                <w:rFonts w:ascii="Arial"/>
                <w:sz w:val="21"/>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0.4%</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(55)</w:t>
            </w:r>
            <w:r>
              <w:rPr>
                <w:rFonts w:ascii="Arial"/>
                <w:sz w:val="21"/>
              </w:rPr>
            </w:r>
          </w:p>
        </w:tc>
      </w:tr>
      <w:tr>
        <w:trPr>
          <w:trHeight w:val="27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06"/>
              <w:jc w:val="right"/>
              <w:rPr>
                <w:rFonts w:ascii="Arial" w:hAnsi="Arial" w:cs="Arial" w:eastAsia="Arial" w:hint="default"/>
                <w:sz w:val="21"/>
                <w:szCs w:val="21"/>
              </w:rPr>
            </w:pPr>
            <w:r>
              <w:rPr>
                <w:rFonts w:ascii="Arial"/>
                <w:spacing w:val="-1"/>
                <w:w w:val="95"/>
                <w:sz w:val="21"/>
              </w:rPr>
              <w:t>139</w:t>
            </w:r>
            <w:r>
              <w:rPr>
                <w:rFonts w:ascii="Arial"/>
                <w:sz w:val="21"/>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1"/>
                <w:szCs w:val="21"/>
              </w:rPr>
            </w:pPr>
            <w:r>
              <w:rPr>
                <w:rFonts w:ascii="Arial"/>
                <w:spacing w:val="-1"/>
                <w:w w:val="95"/>
                <w:sz w:val="21"/>
              </w:rPr>
              <w:t>0.2%</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1"/>
                <w:szCs w:val="21"/>
              </w:rPr>
            </w:pPr>
            <w:r>
              <w:rPr>
                <w:rFonts w:ascii="Arial"/>
                <w:spacing w:val="-1"/>
                <w:w w:val="95"/>
                <w:sz w:val="21"/>
              </w:rPr>
              <w:t>(83)</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3"/>
              <w:jc w:val="right"/>
              <w:rPr>
                <w:rFonts w:ascii="Arial" w:hAnsi="Arial" w:cs="Arial" w:eastAsia="Arial" w:hint="default"/>
                <w:sz w:val="21"/>
                <w:szCs w:val="21"/>
              </w:rPr>
            </w:pPr>
            <w:r>
              <w:rPr>
                <w:rFonts w:ascii="Arial"/>
                <w:spacing w:val="-1"/>
                <w:w w:val="95"/>
                <w:sz w:val="21"/>
              </w:rPr>
              <w:t>1,313</w:t>
            </w:r>
            <w:r>
              <w:rPr>
                <w:rFonts w:ascii="Arial"/>
                <w:sz w:val="21"/>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1"/>
                <w:szCs w:val="21"/>
              </w:rPr>
            </w:pPr>
            <w:r>
              <w:rPr>
                <w:rFonts w:ascii="Arial"/>
                <w:spacing w:val="-1"/>
                <w:w w:val="95"/>
                <w:sz w:val="21"/>
              </w:rPr>
              <w:t>2.8%</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1"/>
                <w:szCs w:val="21"/>
              </w:rPr>
            </w:pPr>
            <w:r>
              <w:rPr>
                <w:rFonts w:ascii="Arial"/>
                <w:spacing w:val="-1"/>
                <w:w w:val="95"/>
                <w:sz w:val="21"/>
              </w:rPr>
              <w:t>(788)</w:t>
            </w:r>
            <w:r>
              <w:rPr>
                <w:rFonts w:ascii="Arial"/>
                <w:sz w:val="21"/>
              </w:rPr>
            </w:r>
          </w:p>
        </w:tc>
      </w:tr>
      <w:tr>
        <w:trPr>
          <w:trHeight w:val="280"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06"/>
              <w:jc w:val="right"/>
              <w:rPr>
                <w:rFonts w:ascii="Arial" w:hAnsi="Arial" w:cs="Arial" w:eastAsia="Arial" w:hint="default"/>
                <w:sz w:val="21"/>
                <w:szCs w:val="21"/>
              </w:rPr>
            </w:pPr>
            <w:r>
              <w:rPr>
                <w:rFonts w:ascii="Arial"/>
                <w:w w:val="99"/>
                <w:sz w:val="21"/>
              </w:rPr>
              <w:t>9</w:t>
            </w:r>
            <w:r>
              <w:rPr>
                <w:rFonts w:ascii="Arial"/>
                <w:sz w:val="21"/>
              </w:rPr>
            </w:r>
          </w:p>
        </w:tc>
        <w:tc>
          <w:tcPr>
            <w:tcW w:w="95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1"/>
              <w:jc w:val="right"/>
              <w:rPr>
                <w:rFonts w:ascii="Arial" w:hAnsi="Arial" w:cs="Arial" w:eastAsia="Arial" w:hint="default"/>
                <w:sz w:val="21"/>
                <w:szCs w:val="21"/>
              </w:rPr>
            </w:pPr>
            <w:r>
              <w:rPr>
                <w:rFonts w:ascii="Arial"/>
                <w:spacing w:val="-1"/>
                <w:w w:val="95"/>
                <w:sz w:val="21"/>
              </w:rPr>
              <w:t>0.0%</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(9)</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52"/>
              <w:jc w:val="right"/>
              <w:rPr>
                <w:rFonts w:ascii="Arial" w:hAnsi="Arial" w:cs="Arial" w:eastAsia="Arial" w:hint="default"/>
                <w:sz w:val="21"/>
                <w:szCs w:val="21"/>
              </w:rPr>
            </w:pPr>
            <w:r>
              <w:rPr>
                <w:rFonts w:ascii="Arial"/>
                <w:spacing w:val="-1"/>
                <w:w w:val="95"/>
                <w:sz w:val="21"/>
              </w:rPr>
              <w:t>524</w:t>
            </w:r>
            <w:r>
              <w:rPr>
                <w:rFonts w:ascii="Arial"/>
                <w:sz w:val="21"/>
              </w:rPr>
            </w: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8"/>
              <w:jc w:val="right"/>
              <w:rPr>
                <w:rFonts w:ascii="Arial" w:hAnsi="Arial" w:cs="Arial" w:eastAsia="Arial" w:hint="default"/>
                <w:sz w:val="21"/>
                <w:szCs w:val="21"/>
              </w:rPr>
            </w:pPr>
            <w:r>
              <w:rPr>
                <w:rFonts w:ascii="Arial"/>
                <w:spacing w:val="-1"/>
                <w:w w:val="95"/>
                <w:sz w:val="21"/>
              </w:rPr>
              <w:t>1.0%</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Arial" w:hAnsi="Arial" w:cs="Arial" w:eastAsia="Arial" w:hint="default"/>
                <w:sz w:val="21"/>
                <w:szCs w:val="21"/>
              </w:rPr>
            </w:pPr>
            <w:r>
              <w:rPr>
                <w:rFonts w:ascii="Arial"/>
                <w:spacing w:val="-1"/>
                <w:w w:val="95"/>
                <w:sz w:val="21"/>
              </w:rPr>
              <w:t>(524)</w:t>
            </w:r>
            <w:r>
              <w:rPr>
                <w:rFonts w:ascii="Arial"/>
                <w:sz w:val="21"/>
              </w:rPr>
            </w:r>
          </w:p>
        </w:tc>
      </w:tr>
      <w:tr>
        <w:trPr>
          <w:trHeight w:val="262" w:hRule="exact"/>
        </w:trPr>
        <w:tc>
          <w:tcPr>
            <w:tcW w:w="1482"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206"/>
              <w:jc w:val="right"/>
              <w:rPr>
                <w:rFonts w:ascii="Arial" w:hAnsi="Arial" w:cs="Arial" w:eastAsia="Arial" w:hint="default"/>
                <w:sz w:val="21"/>
                <w:szCs w:val="21"/>
              </w:rPr>
            </w:pPr>
            <w:r>
              <w:rPr>
                <w:rFonts w:ascii="Arial"/>
                <w:spacing w:val="-1"/>
                <w:w w:val="95"/>
                <w:sz w:val="21"/>
              </w:rPr>
              <w:t>62,657</w:t>
            </w:r>
            <w:r>
              <w:rPr>
                <w:rFonts w:ascii="Arial"/>
                <w:sz w:val="21"/>
              </w:rPr>
            </w:r>
          </w:p>
        </w:tc>
        <w:tc>
          <w:tcPr>
            <w:tcW w:w="95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1"/>
              <w:jc w:val="right"/>
              <w:rPr>
                <w:rFonts w:ascii="Arial" w:hAnsi="Arial" w:cs="Arial" w:eastAsia="Arial" w:hint="default"/>
                <w:sz w:val="21"/>
                <w:szCs w:val="21"/>
              </w:rPr>
            </w:pPr>
            <w:r>
              <w:rPr>
                <w:rFonts w:ascii="Arial"/>
                <w:spacing w:val="-1"/>
                <w:w w:val="95"/>
                <w:sz w:val="21"/>
              </w:rPr>
              <w:t>100.0%</w:t>
            </w:r>
            <w:r>
              <w:rPr>
                <w:rFonts w:ascii="Arial"/>
                <w:sz w:val="21"/>
              </w:rPr>
            </w:r>
          </w:p>
        </w:tc>
        <w:tc>
          <w:tcPr>
            <w:tcW w:w="280"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(2,929)</w:t>
            </w:r>
            <w:r>
              <w:rPr>
                <w:rFonts w:ascii="Arial"/>
                <w:sz w:val="21"/>
              </w:rPr>
            </w:r>
          </w:p>
        </w:tc>
        <w:tc>
          <w:tcPr>
            <w:tcW w:w="307"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52"/>
              <w:jc w:val="right"/>
              <w:rPr>
                <w:rFonts w:ascii="Arial" w:hAnsi="Arial" w:cs="Arial" w:eastAsia="Arial" w:hint="default"/>
                <w:sz w:val="21"/>
                <w:szCs w:val="21"/>
              </w:rPr>
            </w:pPr>
            <w:r>
              <w:rPr>
                <w:rFonts w:ascii="Arial"/>
                <w:spacing w:val="-1"/>
                <w:w w:val="95"/>
                <w:sz w:val="21"/>
              </w:rPr>
              <w:t>47,552</w:t>
            </w:r>
            <w:r>
              <w:rPr>
                <w:rFonts w:ascii="Arial"/>
                <w:sz w:val="21"/>
              </w:rPr>
            </w:r>
          </w:p>
        </w:tc>
        <w:tc>
          <w:tcPr>
            <w:tcW w:w="91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8"/>
              <w:jc w:val="right"/>
              <w:rPr>
                <w:rFonts w:ascii="Arial" w:hAnsi="Arial" w:cs="Arial" w:eastAsia="Arial" w:hint="default"/>
                <w:sz w:val="21"/>
                <w:szCs w:val="21"/>
              </w:rPr>
            </w:pPr>
            <w:r>
              <w:rPr>
                <w:rFonts w:ascii="Arial"/>
                <w:spacing w:val="-1"/>
                <w:w w:val="95"/>
                <w:sz w:val="21"/>
              </w:rPr>
              <w:t>100.0%</w:t>
            </w:r>
            <w:r>
              <w:rPr>
                <w:rFonts w:ascii="Arial"/>
                <w:sz w:val="21"/>
              </w:rPr>
            </w:r>
          </w:p>
        </w:tc>
        <w:tc>
          <w:tcPr>
            <w:tcW w:w="236" w:type="dxa"/>
            <w:tcBorders>
              <w:top w:val="nil" w:sz="6" w:space="0" w:color="auto"/>
              <w:left w:val="nil" w:sz="6" w:space="0" w:color="auto"/>
              <w:bottom w:val="nil" w:sz="6" w:space="0" w:color="auto"/>
              <w:right w:val="nil" w:sz="6" w:space="0" w:color="auto"/>
            </w:tcBorders>
          </w:tcPr>
          <w:p>
            <w:pPr/>
          </w:p>
        </w:tc>
        <w:tc>
          <w:tcPr>
            <w:tcW w:w="125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Arial" w:hAnsi="Arial" w:cs="Arial" w:eastAsia="Arial" w:hint="default"/>
                <w:sz w:val="21"/>
                <w:szCs w:val="21"/>
              </w:rPr>
            </w:pPr>
            <w:r>
              <w:rPr>
                <w:rFonts w:ascii="Arial"/>
                <w:spacing w:val="-1"/>
                <w:w w:val="95"/>
                <w:sz w:val="21"/>
              </w:rPr>
              <w:t>(1,868)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940" w:right="560"/>
        </w:sectPr>
      </w:pPr>
    </w:p>
    <w:p>
      <w:pPr>
        <w:spacing w:line="240" w:lineRule="auto" w:before="0"/>
        <w:rPr>
          <w:rFonts w:ascii="宋体" w:hAnsi="宋体" w:cs="宋体" w:eastAsia="宋体" w:hint="default"/>
          <w:sz w:val="20"/>
          <w:szCs w:val="20"/>
        </w:rPr>
      </w:pPr>
    </w:p>
    <w:p>
      <w:pPr>
        <w:pStyle w:val="Heading2"/>
        <w:tabs>
          <w:tab w:pos="810" w:val="left" w:leader="none"/>
        </w:tabs>
        <w:spacing w:line="240" w:lineRule="auto" w:before="158"/>
        <w:ind w:right="1690"/>
        <w:jc w:val="left"/>
        <w:rPr>
          <w:rFonts w:ascii="Arial" w:hAnsi="Arial" w:cs="Arial" w:eastAsia="Arial" w:hint="default"/>
          <w:b w:val="0"/>
          <w:bCs w:val="0"/>
        </w:rPr>
      </w:pPr>
      <w:r>
        <w:rPr>
          <w:w w:val="95"/>
        </w:rPr>
        <w:t>十三</w:t>
        <w:tab/>
      </w:r>
      <w:r>
        <w:rPr/>
        <w:t>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0" w:val="left" w:leader="none"/>
        </w:tabs>
        <w:spacing w:before="0"/>
        <w:ind w:left="102" w:right="169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应收账款及其他应收款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92" w:val="left" w:leader="none"/>
        </w:tabs>
        <w:spacing w:line="240" w:lineRule="auto"/>
        <w:ind w:left="102" w:right="1690"/>
        <w:jc w:val="left"/>
        <w:rPr>
          <w:rFonts w:ascii="Arial" w:hAnsi="Arial" w:cs="Arial" w:eastAsia="Arial" w:hint="default"/>
        </w:rPr>
      </w:pPr>
      <w:r>
        <w:rPr>
          <w:rFonts w:ascii="Arial" w:hAnsi="Arial" w:cs="Arial" w:eastAsia="Arial" w:hint="default"/>
          <w:w w:val="95"/>
          <w:position w:val="2"/>
        </w:rPr>
        <w:t>(b)</w:t>
        <w:tab/>
      </w:r>
      <w:r>
        <w:rPr/>
        <w:t>其他应收款</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322" w:lineRule="exact"/>
        <w:ind w:left="810" w:right="0"/>
        <w:jc w:val="left"/>
        <w:rPr>
          <w:rFonts w:ascii="Arial" w:hAnsi="Arial" w:cs="Arial" w:eastAsia="Arial" w:hint="default"/>
        </w:rPr>
      </w:pPr>
      <w:r>
        <w:rPr/>
        <w:t>于</w:t>
      </w:r>
      <w:r>
        <w:rPr>
          <w:spacing w:val="-66"/>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13"/>
        </w:rPr>
        <w:t> </w:t>
      </w:r>
      <w:r>
        <w:rPr/>
        <w:t>年</w:t>
      </w:r>
      <w:r>
        <w:rPr>
          <w:spacing w:val="-65"/>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spacing w:val="1"/>
        </w:rPr>
        <w:t>日</w:t>
      </w:r>
      <w:r>
        <w:rPr/>
        <w:t>及</w:t>
      </w:r>
      <w:r>
        <w:rPr>
          <w:spacing w:val="-66"/>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13"/>
        </w:rPr>
        <w:t> </w:t>
      </w:r>
      <w:r>
        <w:rPr/>
        <w:t>年</w:t>
      </w:r>
      <w:r>
        <w:rPr>
          <w:spacing w:val="-65"/>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spacing w:val="1"/>
        </w:rPr>
        <w:t>日</w:t>
      </w:r>
      <w:r>
        <w:rPr>
          <w:spacing w:val="-120"/>
        </w:rPr>
        <w:t>，</w:t>
      </w:r>
      <w:r>
        <w:rPr/>
        <w:t>其他应收款中无持有本公司</w:t>
      </w:r>
      <w:r>
        <w:rPr>
          <w:spacing w:val="-66"/>
        </w:rPr>
        <w:t> </w:t>
      </w:r>
      <w:r>
        <w:rPr>
          <w:rFonts w:ascii="Arial" w:hAnsi="Arial" w:cs="Arial" w:eastAsia="Arial" w:hint="default"/>
          <w:spacing w:val="-1"/>
          <w:w w:val="99"/>
        </w:rPr>
        <w:t>5%</w:t>
      </w:r>
      <w:r>
        <w:rPr>
          <w:rFonts w:ascii="Arial" w:hAnsi="Arial" w:cs="Arial" w:eastAsia="Arial" w:hint="default"/>
          <w:w w:val="99"/>
        </w:rPr>
        <w:t>(</w:t>
      </w:r>
      <w:r>
        <w:rPr/>
        <w:t>含</w:t>
      </w:r>
      <w:r>
        <w:rPr>
          <w:spacing w:val="-66"/>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10" w:right="1690"/>
        <w:jc w:val="left"/>
      </w:pPr>
      <w:r>
        <w:rPr/>
        <w:t>以上表决权股份的股东的欠款。</w:t>
      </w:r>
    </w:p>
    <w:p>
      <w:pPr>
        <w:spacing w:line="240" w:lineRule="auto" w:before="12"/>
        <w:rPr>
          <w:rFonts w:ascii="宋体" w:hAnsi="宋体" w:cs="宋体" w:eastAsia="宋体" w:hint="default"/>
          <w:sz w:val="20"/>
          <w:szCs w:val="20"/>
        </w:rPr>
      </w:pPr>
    </w:p>
    <w:p>
      <w:pPr>
        <w:pStyle w:val="BodyText"/>
        <w:spacing w:line="322" w:lineRule="exact"/>
        <w:ind w:left="810" w:right="0"/>
        <w:jc w:val="left"/>
      </w:pPr>
      <w:r>
        <w:rPr/>
        <w:t>于</w:t>
      </w:r>
      <w:r>
        <w:rPr>
          <w:spacing w:val="-58"/>
        </w:rPr>
        <w:t> </w:t>
      </w:r>
      <w:r>
        <w:rPr>
          <w:rFonts w:ascii="Arial" w:hAnsi="Arial" w:cs="Arial" w:eastAsia="Arial" w:hint="default"/>
        </w:rPr>
        <w:t>2008</w:t>
      </w:r>
      <w:r>
        <w:rPr>
          <w:rFonts w:ascii="Arial" w:hAnsi="Arial" w:cs="Arial" w:eastAsia="Arial" w:hint="default"/>
          <w:spacing w:val="-4"/>
        </w:rPr>
        <w:t> </w:t>
      </w:r>
      <w:r>
        <w:rPr/>
        <w:t>年</w:t>
      </w:r>
      <w:r>
        <w:rPr>
          <w:spacing w:val="-56"/>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日，其他应收款前五名债务人欠款金额合计约为人民币</w:t>
      </w:r>
      <w:r>
        <w:rPr>
          <w:spacing w:val="-58"/>
        </w:rPr>
        <w:t> </w:t>
      </w:r>
      <w:r>
        <w:rPr>
          <w:rFonts w:ascii="Arial" w:hAnsi="Arial" w:cs="Arial" w:eastAsia="Arial" w:hint="default"/>
        </w:rPr>
        <w:t>4,403</w:t>
      </w:r>
      <w:r>
        <w:rPr>
          <w:rFonts w:ascii="Arial" w:hAnsi="Arial" w:cs="Arial" w:eastAsia="Arial" w:hint="default"/>
          <w:spacing w:val="-4"/>
        </w:rPr>
        <w:t> </w:t>
      </w:r>
      <w:r>
        <w:rPr/>
        <w:t>万</w:t>
      </w:r>
    </w:p>
    <w:p>
      <w:pPr>
        <w:pStyle w:val="BodyText"/>
        <w:spacing w:line="312" w:lineRule="exact"/>
        <w:ind w:left="810" w:right="0"/>
        <w:jc w:val="left"/>
      </w:pPr>
      <w:r>
        <w:rPr/>
        <w:t>元</w:t>
      </w:r>
      <w:r>
        <w:rPr>
          <w:rFonts w:ascii="Arial" w:hAnsi="Arial" w:cs="Arial" w:eastAsia="Arial" w:hint="default"/>
        </w:rPr>
        <w:t>(2007</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日：约人民币</w:t>
      </w:r>
      <w:r>
        <w:rPr>
          <w:spacing w:val="-62"/>
        </w:rPr>
        <w:t> </w:t>
      </w:r>
      <w:r>
        <w:rPr>
          <w:rFonts w:ascii="Arial" w:hAnsi="Arial" w:cs="Arial" w:eastAsia="Arial" w:hint="default"/>
          <w:spacing w:val="-7"/>
        </w:rPr>
        <w:t>511 </w:t>
      </w:r>
      <w:r>
        <w:rPr>
          <w:spacing w:val="-4"/>
        </w:rPr>
        <w:t>万元</w:t>
      </w:r>
      <w:r>
        <w:rPr>
          <w:rFonts w:ascii="Arial" w:hAnsi="Arial" w:cs="Arial" w:eastAsia="Arial" w:hint="default"/>
          <w:spacing w:val="-4"/>
        </w:rPr>
        <w:t>)</w:t>
      </w:r>
      <w:r>
        <w:rPr>
          <w:spacing w:val="-4"/>
        </w:rPr>
        <w:t>，账龄均为</w:t>
      </w:r>
      <w:r>
        <w:rPr>
          <w:spacing w:val="-60"/>
        </w:rPr>
        <w:t> </w:t>
      </w:r>
      <w:r>
        <w:rPr>
          <w:rFonts w:ascii="Arial" w:hAnsi="Arial" w:cs="Arial" w:eastAsia="Arial" w:hint="default"/>
        </w:rPr>
        <w:t>1</w:t>
      </w:r>
      <w:r>
        <w:rPr>
          <w:rFonts w:ascii="Arial" w:hAnsi="Arial" w:cs="Arial" w:eastAsia="Arial" w:hint="default"/>
          <w:spacing w:val="-7"/>
        </w:rPr>
        <w:t> </w:t>
      </w:r>
      <w:r>
        <w:rPr>
          <w:spacing w:val="-4"/>
        </w:rPr>
        <w:t>年以内，占其他应收款总额</w:t>
      </w:r>
      <w:r>
        <w:rPr/>
      </w:r>
    </w:p>
    <w:p>
      <w:pPr>
        <w:pStyle w:val="BodyText"/>
        <w:spacing w:line="322" w:lineRule="exact"/>
        <w:ind w:left="810" w:right="1690"/>
        <w:jc w:val="left"/>
      </w:pPr>
      <w:r>
        <w:rPr/>
        <w:t>的</w:t>
      </w:r>
      <w:r>
        <w:rPr>
          <w:spacing w:val="-63"/>
        </w:rPr>
        <w:t> </w:t>
      </w:r>
      <w:r>
        <w:rPr>
          <w:rFonts w:ascii="Arial" w:hAnsi="Arial" w:cs="Arial" w:eastAsia="Arial" w:hint="default"/>
        </w:rPr>
        <w:t>70.3%(2007</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10"/>
        </w:rPr>
        <w:t> </w:t>
      </w:r>
      <w:r>
        <w:rPr/>
        <w:t>日：</w:t>
      </w:r>
      <w:r>
        <w:rPr>
          <w:rFonts w:ascii="Arial" w:hAnsi="Arial" w:cs="Arial" w:eastAsia="Arial" w:hint="default"/>
        </w:rPr>
        <w:t>10.7%)</w:t>
      </w:r>
      <w:r>
        <w:rPr/>
        <w:t>。</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52" w:footer="707" w:top="1020" w:bottom="900" w:left="940" w:right="1020"/>
        </w:sectPr>
      </w:pPr>
    </w:p>
    <w:p>
      <w:pPr>
        <w:tabs>
          <w:tab w:pos="810" w:val="left" w:leader="none"/>
        </w:tabs>
        <w:spacing w:before="32"/>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w w:val="95"/>
          <w:sz w:val="24"/>
          <w:szCs w:val="24"/>
        </w:rPr>
        <w:t>长期股权投资</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r>
        <w:rPr/>
        <w:br w:type="column"/>
      </w:r>
      <w:r>
        <w:rPr>
          <w:rFonts w:ascii="宋体"/>
          <w:b/>
          <w:sz w:val="26"/>
        </w:rPr>
      </w:r>
    </w:p>
    <w:p>
      <w:pPr>
        <w:pStyle w:val="BodyText"/>
        <w:tabs>
          <w:tab w:pos="3079" w:val="left" w:leader="none"/>
        </w:tabs>
        <w:spacing w:line="322" w:lineRule="exact"/>
        <w:ind w:left="102" w:right="0"/>
        <w:jc w:val="left"/>
      </w:pPr>
      <w:r>
        <w:rPr>
          <w:rFonts w:ascii="Arial" w:hAnsi="Arial" w:cs="Arial" w:eastAsia="Arial" w:hint="default"/>
        </w:rPr>
        <w:t>2008</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3864" w:val="left" w:leader="none"/>
        </w:tabs>
        <w:spacing w:line="322" w:lineRule="exact"/>
        <w:ind w:left="881" w:right="0"/>
        <w:jc w:val="left"/>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after="0" w:line="322" w:lineRule="exact"/>
        <w:jc w:val="left"/>
        <w:rPr>
          <w:rFonts w:ascii="Arial" w:hAnsi="Arial" w:cs="Arial" w:eastAsia="Arial" w:hint="default"/>
        </w:rPr>
        <w:sectPr>
          <w:type w:val="continuous"/>
          <w:pgSz w:w="11910" w:h="16840"/>
          <w:pgMar w:top="1600" w:bottom="280" w:left="940" w:right="1020"/>
          <w:cols w:num="2" w:equalWidth="0">
            <w:col w:w="2252" w:space="2300"/>
            <w:col w:w="5398"/>
          </w:cols>
        </w:sectPr>
      </w:pPr>
    </w:p>
    <w:p>
      <w:pPr>
        <w:spacing w:line="240" w:lineRule="auto" w:before="6"/>
        <w:rPr>
          <w:rFonts w:ascii="Arial" w:hAnsi="Arial" w:cs="Arial" w:eastAsia="Arial" w:hint="default"/>
          <w:sz w:val="19"/>
          <w:szCs w:val="19"/>
        </w:rPr>
      </w:pPr>
    </w:p>
    <w:p>
      <w:pPr>
        <w:pStyle w:val="BodyText"/>
        <w:tabs>
          <w:tab w:pos="5674" w:val="left" w:leader="none"/>
          <w:tab w:pos="8651" w:val="left" w:leader="none"/>
        </w:tabs>
        <w:spacing w:line="322" w:lineRule="exact" w:before="32"/>
        <w:ind w:left="810" w:right="0"/>
        <w:jc w:val="left"/>
        <w:rPr>
          <w:rFonts w:ascii="Arial" w:hAnsi="Arial" w:cs="Arial" w:eastAsia="Arial" w:hint="default"/>
        </w:rPr>
      </w:pPr>
      <w:r>
        <w:rPr>
          <w:w w:val="95"/>
        </w:rPr>
        <w:t>子公司</w:t>
      </w:r>
      <w:r>
        <w:rPr>
          <w:rFonts w:ascii="Arial" w:hAnsi="Arial" w:cs="Arial" w:eastAsia="Arial" w:hint="default"/>
          <w:w w:val="95"/>
        </w:rPr>
        <w:t>(a)</w:t>
        <w:tab/>
      </w:r>
      <w:r>
        <w:rPr>
          <w:rFonts w:ascii="Arial" w:hAnsi="Arial" w:cs="Arial" w:eastAsia="Arial" w:hint="default"/>
          <w:spacing w:val="-1"/>
          <w:position w:val="2"/>
        </w:rPr>
        <w:t>2,697,556</w:t>
        <w:tab/>
        <w:t>1,043,998</w:t>
      </w:r>
      <w:r>
        <w:rPr>
          <w:rFonts w:ascii="Arial" w:hAnsi="Arial" w:cs="Arial" w:eastAsia="Arial" w:hint="default"/>
        </w:rPr>
      </w:r>
    </w:p>
    <w:p>
      <w:pPr>
        <w:pStyle w:val="BodyText"/>
        <w:tabs>
          <w:tab w:pos="6493" w:val="left" w:leader="none"/>
          <w:tab w:pos="9701" w:val="right" w:leader="none"/>
        </w:tabs>
        <w:spacing w:line="312" w:lineRule="exact"/>
        <w:ind w:left="810" w:right="0"/>
        <w:jc w:val="left"/>
        <w:rPr>
          <w:rFonts w:ascii="Arial" w:hAnsi="Arial" w:cs="Arial" w:eastAsia="Arial" w:hint="default"/>
        </w:rPr>
      </w:pPr>
      <w:r>
        <w:rPr>
          <w:spacing w:val="-1"/>
        </w:rPr>
        <w:t>合营企业</w:t>
      </w:r>
      <w:r>
        <w:rPr>
          <w:rFonts w:ascii="Arial" w:hAnsi="Arial" w:cs="Arial" w:eastAsia="Arial" w:hint="default"/>
          <w:spacing w:val="-1"/>
        </w:rPr>
        <w:t>(</w:t>
      </w:r>
      <w:r>
        <w:rPr>
          <w:spacing w:val="-1"/>
        </w:rPr>
        <w:t>附注七</w:t>
      </w:r>
      <w:r>
        <w:rPr>
          <w:rFonts w:ascii="Arial" w:hAnsi="Arial" w:cs="Arial" w:eastAsia="Arial" w:hint="default"/>
          <w:spacing w:val="-1"/>
        </w:rPr>
        <w:t>(7))</w:t>
        <w:tab/>
      </w:r>
      <w:r>
        <w:rPr>
          <w:rFonts w:ascii="Arial" w:hAnsi="Arial" w:cs="Arial" w:eastAsia="Arial" w:hint="default"/>
          <w:spacing w:val="-19"/>
          <w:position w:val="2"/>
        </w:rPr>
        <w:t>11</w:t>
        <w:tab/>
        <w:t>11</w:t>
      </w:r>
      <w:r>
        <w:rPr>
          <w:rFonts w:ascii="Arial" w:hAnsi="Arial" w:cs="Arial" w:eastAsia="Arial" w:hint="default"/>
        </w:rPr>
      </w:r>
    </w:p>
    <w:p>
      <w:pPr>
        <w:pStyle w:val="BodyText"/>
        <w:tabs>
          <w:tab w:pos="6342" w:val="left" w:leader="none"/>
          <w:tab w:pos="9719" w:val="right" w:leader="none"/>
        </w:tabs>
        <w:spacing w:line="322" w:lineRule="exact"/>
        <w:ind w:left="810" w:right="0"/>
        <w:jc w:val="left"/>
        <w:rPr>
          <w:rFonts w:ascii="Arial" w:hAnsi="Arial" w:cs="Arial" w:eastAsia="Arial" w:hint="default"/>
        </w:rPr>
      </w:pPr>
      <w:r>
        <w:rPr>
          <w:w w:val="95"/>
        </w:rPr>
        <w:t>其他长期股权投资</w:t>
      </w:r>
      <w:r>
        <w:rPr>
          <w:rFonts w:ascii="Arial" w:hAnsi="Arial" w:cs="Arial" w:eastAsia="Arial" w:hint="default"/>
          <w:w w:val="95"/>
        </w:rPr>
        <w:t>(</w:t>
      </w:r>
      <w:r>
        <w:rPr>
          <w:w w:val="95"/>
        </w:rPr>
        <w:t>附注七</w:t>
      </w:r>
      <w:r>
        <w:rPr>
          <w:rFonts w:ascii="Arial" w:hAnsi="Arial" w:cs="Arial" w:eastAsia="Arial" w:hint="default"/>
          <w:w w:val="95"/>
        </w:rPr>
        <w:t>(7))</w:t>
        <w:tab/>
      </w:r>
      <w:r>
        <w:rPr>
          <w:rFonts w:ascii="Arial" w:hAnsi="Arial" w:cs="Arial" w:eastAsia="Arial" w:hint="default"/>
          <w:position w:val="2"/>
        </w:rPr>
        <w:t>993</w:t>
        <w:tab/>
        <w:t>993</w:t>
      </w:r>
      <w:r>
        <w:rPr>
          <w:rFonts w:ascii="Arial" w:hAnsi="Arial" w:cs="Arial" w:eastAsia="Arial" w:hint="default"/>
        </w:rPr>
      </w:r>
    </w:p>
    <w:p>
      <w:pPr>
        <w:pStyle w:val="BodyText"/>
        <w:tabs>
          <w:tab w:pos="8651" w:val="left" w:leader="none"/>
        </w:tabs>
        <w:spacing w:line="240" w:lineRule="auto" w:before="27"/>
        <w:ind w:left="5674" w:right="0"/>
        <w:jc w:val="left"/>
        <w:rPr>
          <w:rFonts w:ascii="Arial" w:hAnsi="Arial" w:cs="Arial" w:eastAsia="Arial" w:hint="default"/>
        </w:rPr>
      </w:pPr>
      <w:r>
        <w:rPr/>
        <w:pict>
          <v:group style="position:absolute;margin-left:273.239990pt;margin-top:1.206169pt;width:115.95pt;height:.1pt;mso-position-horizontal-relative:page;mso-position-vertical-relative:paragraph;z-index:2848" coordorigin="5465,24" coordsize="2319,2">
            <v:shape style="position:absolute;left:5465;top:24;width:2319;height:2" coordorigin="5465,24" coordsize="2319,0" path="m5465,24l7783,24e" filled="false" stroked="true" strokeweight=".48001pt" strokecolor="#000000">
              <v:path arrowok="t"/>
            </v:shape>
            <w10:wrap type="none"/>
          </v:group>
        </w:pict>
      </w:r>
      <w:r>
        <w:rPr/>
        <w:pict>
          <v:group style="position:absolute;margin-left:417.839996pt;margin-top:1.206174pt;width:120.2pt;height:.1pt;mso-position-horizontal-relative:page;mso-position-vertical-relative:paragraph;z-index:2872" coordorigin="8357,24" coordsize="2404,2">
            <v:shape style="position:absolute;left:8357;top:24;width:2404;height:2" coordorigin="8357,24" coordsize="2404,0" path="m8357,24l10760,24e" filled="false" stroked="true" strokeweight=".48pt" strokecolor="#000000">
              <v:path arrowok="t"/>
            </v:shape>
            <w10:wrap type="none"/>
          </v:group>
        </w:pict>
      </w:r>
      <w:r>
        <w:rPr/>
        <w:pict>
          <v:group style="position:absolute;margin-left:273.239990pt;margin-top:16.056175pt;width:115.95pt;height:.1pt;mso-position-horizontal-relative:page;mso-position-vertical-relative:paragraph;z-index:2896" coordorigin="5465,321" coordsize="2319,2">
            <v:shape style="position:absolute;left:5465;top:321;width:2319;height:2" coordorigin="5465,321" coordsize="2319,0" path="m5465,321l7783,321e" filled="false" stroked="true" strokeweight="1.5pt" strokecolor="#000000">
              <v:path arrowok="t"/>
            </v:shape>
            <w10:wrap type="none"/>
          </v:group>
        </w:pict>
      </w:r>
      <w:r>
        <w:rPr/>
        <w:pict>
          <v:group style="position:absolute;margin-left:417.839996pt;margin-top:16.056175pt;width:120.2pt;height:.1pt;mso-position-horizontal-relative:page;mso-position-vertical-relative:paragraph;z-index:2920" coordorigin="8357,321" coordsize="2404,2">
            <v:shape style="position:absolute;left:8357;top:321;width:2404;height:2" coordorigin="8357,321" coordsize="2404,0" path="m8357,321l10760,321e" filled="false" stroked="true" strokeweight="1.5pt" strokecolor="#000000">
              <v:path arrowok="t"/>
            </v:shape>
            <w10:wrap type="none"/>
          </v:group>
        </w:pict>
      </w:r>
      <w:r>
        <w:rPr>
          <w:rFonts w:ascii="Arial"/>
          <w:spacing w:val="-1"/>
        </w:rPr>
        <w:t>2,698,560</w:t>
        <w:tab/>
        <w:t>1,045,002</w:t>
      </w:r>
      <w:r>
        <w:rPr>
          <w:rFonts w:ascii="Arial"/>
        </w:rPr>
      </w:r>
    </w:p>
    <w:p>
      <w:pPr>
        <w:pStyle w:val="BodyText"/>
        <w:spacing w:line="240" w:lineRule="auto" w:before="270"/>
        <w:ind w:left="810" w:right="1690"/>
        <w:jc w:val="left"/>
      </w:pPr>
      <w:r>
        <w:rPr/>
        <w:t>本集团无境外投资，故不存在长期投资变现及收益汇回的重大限制。</w:t>
      </w:r>
    </w:p>
    <w:p>
      <w:pPr>
        <w:spacing w:after="0" w:line="240" w:lineRule="auto"/>
        <w:jc w:val="left"/>
        <w:sectPr>
          <w:type w:val="continuous"/>
          <w:pgSz w:w="11910" w:h="16840"/>
          <w:pgMar w:top="1600" w:bottom="280" w:left="94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707"/>
        <w:gridCol w:w="2661"/>
        <w:gridCol w:w="980"/>
        <w:gridCol w:w="223"/>
        <w:gridCol w:w="1064"/>
        <w:gridCol w:w="223"/>
        <w:gridCol w:w="1157"/>
        <w:gridCol w:w="223"/>
        <w:gridCol w:w="1195"/>
        <w:gridCol w:w="223"/>
        <w:gridCol w:w="1190"/>
      </w:tblGrid>
      <w:tr>
        <w:trPr>
          <w:trHeight w:val="168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(2)</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427" w:lineRule="auto" w:before="26"/>
              <w:ind w:left="35" w:right="320"/>
              <w:jc w:val="left"/>
              <w:rPr>
                <w:rFonts w:ascii="Arial" w:hAnsi="Arial" w:cs="Arial" w:eastAsia="Arial" w:hint="default"/>
                <w:sz w:val="24"/>
                <w:szCs w:val="24"/>
              </w:rPr>
            </w:pPr>
            <w:r>
              <w:rPr>
                <w:rFonts w:ascii="宋体" w:hAnsi="宋体" w:cs="宋体" w:eastAsia="宋体" w:hint="default"/>
                <w:b/>
                <w:bCs/>
                <w:w w:val="95"/>
                <w:sz w:val="24"/>
                <w:szCs w:val="24"/>
              </w:rPr>
              <w:t>公司财务报表主要项目附注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26"/>
                <w:w w:val="95"/>
                <w:sz w:val="24"/>
                <w:szCs w:val="24"/>
              </w:rPr>
              <w:t> </w:t>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35"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5500" w:type="dxa"/>
            <w:gridSpan w:val="8"/>
            <w:tcBorders>
              <w:top w:val="nil" w:sz="6" w:space="0" w:color="auto"/>
              <w:left w:val="nil" w:sz="6" w:space="0" w:color="auto"/>
              <w:bottom w:val="nil" w:sz="6" w:space="0" w:color="auto"/>
              <w:right w:val="nil" w:sz="6" w:space="0" w:color="auto"/>
            </w:tcBorders>
          </w:tcPr>
          <w:p>
            <w:pPr/>
          </w:p>
        </w:tc>
      </w:tr>
      <w:tr>
        <w:trPr>
          <w:trHeight w:val="381"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hAnsi="宋体" w:cs="宋体" w:eastAsia="宋体" w:hint="default"/>
                <w:sz w:val="18"/>
                <w:szCs w:val="18"/>
              </w:rPr>
              <w:t>初始投资</w:t>
            </w:r>
          </w:p>
        </w:tc>
        <w:tc>
          <w:tcPr>
            <w:tcW w:w="1288" w:type="dxa"/>
            <w:gridSpan w:val="2"/>
            <w:tcBorders>
              <w:top w:val="nil" w:sz="6" w:space="0" w:color="auto"/>
              <w:left w:val="nil" w:sz="6" w:space="0" w:color="auto"/>
              <w:bottom w:val="nil" w:sz="6" w:space="0" w:color="auto"/>
              <w:right w:val="nil" w:sz="6" w:space="0" w:color="auto"/>
            </w:tcBorders>
          </w:tcPr>
          <w:p>
            <w:pP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3"/>
              <w:ind w:left="647"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195" w:type="dxa"/>
            <w:tcBorders>
              <w:top w:val="nil" w:sz="6" w:space="0" w:color="auto"/>
              <w:left w:val="nil" w:sz="6" w:space="0" w:color="auto"/>
              <w:bottom w:val="nil" w:sz="6" w:space="0" w:color="auto"/>
              <w:right w:val="nil" w:sz="6" w:space="0" w:color="auto"/>
            </w:tcBorders>
          </w:tcPr>
          <w:p>
            <w:pP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681"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宋体" w:hAnsi="宋体" w:cs="宋体" w:eastAsia="宋体" w:hint="default"/>
                <w:sz w:val="18"/>
                <w:szCs w:val="18"/>
              </w:rPr>
            </w:pPr>
            <w:r>
              <w:rPr>
                <w:rFonts w:ascii="宋体" w:hAnsi="宋体" w:cs="宋体" w:eastAsia="宋体" w:hint="default"/>
                <w:sz w:val="18"/>
                <w:szCs w:val="18"/>
              </w:rPr>
              <w:t>成本</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4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15" w:lineRule="exact"/>
              <w:ind w:left="37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95" w:type="dxa"/>
            <w:tcBorders>
              <w:top w:val="nil" w:sz="6" w:space="0" w:color="auto"/>
              <w:left w:val="nil" w:sz="6" w:space="0" w:color="auto"/>
              <w:bottom w:val="nil" w:sz="6" w:space="0" w:color="auto"/>
              <w:right w:val="nil" w:sz="6" w:space="0" w:color="auto"/>
            </w:tcBorders>
          </w:tcPr>
          <w:p>
            <w:pPr>
              <w:pStyle w:val="TableParagraph"/>
              <w:spacing w:line="203" w:lineRule="exact"/>
              <w:ind w:left="33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41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
        </w:tc>
        <w:tc>
          <w:tcPr>
            <w:tcW w:w="1288" w:type="dxa"/>
            <w:gridSpan w:val="2"/>
            <w:tcBorders>
              <w:top w:val="nil" w:sz="6" w:space="0" w:color="auto"/>
              <w:left w:val="nil" w:sz="6" w:space="0" w:color="auto"/>
              <w:bottom w:val="nil" w:sz="6" w:space="0" w:color="auto"/>
              <w:right w:val="nil" w:sz="6" w:space="0" w:color="auto"/>
            </w:tcBorders>
          </w:tcPr>
          <w:p>
            <w:pP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15" w:lineRule="exact"/>
              <w:ind w:left="469"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人民币千元</w:t>
            </w:r>
            <w:r>
              <w:rPr>
                <w:rFonts w:ascii="Arial" w:hAnsi="Arial" w:cs="Arial" w:eastAsia="Arial" w:hint="default"/>
                <w:sz w:val="18"/>
                <w:szCs w:val="18"/>
              </w:rPr>
              <w:t>)</w:t>
            </w:r>
          </w:p>
        </w:tc>
        <w:tc>
          <w:tcPr>
            <w:tcW w:w="1195" w:type="dxa"/>
            <w:tcBorders>
              <w:top w:val="nil" w:sz="6" w:space="0" w:color="auto"/>
              <w:left w:val="nil" w:sz="6" w:space="0" w:color="auto"/>
              <w:bottom w:val="nil" w:sz="6" w:space="0" w:color="auto"/>
              <w:right w:val="nil" w:sz="6" w:space="0" w:color="auto"/>
            </w:tcBorders>
          </w:tcPr>
          <w:p>
            <w:pPr/>
          </w:p>
        </w:tc>
        <w:tc>
          <w:tcPr>
            <w:tcW w:w="1414" w:type="dxa"/>
            <w:gridSpan w:val="2"/>
            <w:tcBorders>
              <w:top w:val="nil" w:sz="6" w:space="0" w:color="auto"/>
              <w:left w:val="nil" w:sz="6" w:space="0" w:color="auto"/>
              <w:bottom w:val="nil" w:sz="6" w:space="0" w:color="auto"/>
              <w:right w:val="nil" w:sz="6" w:space="0" w:color="auto"/>
            </w:tcBorders>
          </w:tcPr>
          <w:p>
            <w:pPr/>
          </w:p>
        </w:tc>
      </w:tr>
      <w:tr>
        <w:trPr>
          <w:trHeight w:val="241"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30"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上海长宁苏宁电器有限公司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30" w:right="0"/>
              <w:jc w:val="left"/>
              <w:rPr>
                <w:rFonts w:ascii="Arial" w:hAnsi="Arial" w:cs="Arial" w:eastAsia="Arial" w:hint="default"/>
                <w:sz w:val="18"/>
                <w:szCs w:val="18"/>
              </w:rPr>
            </w:pPr>
            <w:r>
              <w:rPr>
                <w:rFonts w:ascii="Arial"/>
                <w:sz w:val="18"/>
              </w:rPr>
              <w:t>493,367</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35" w:right="0"/>
              <w:jc w:val="left"/>
              <w:rPr>
                <w:rFonts w:ascii="Arial" w:hAnsi="Arial" w:cs="Arial" w:eastAsia="Arial" w:hint="default"/>
                <w:sz w:val="18"/>
                <w:szCs w:val="18"/>
              </w:rPr>
            </w:pPr>
            <w:r>
              <w:rPr>
                <w:rFonts w:ascii="Arial"/>
                <w:sz w:val="18"/>
              </w:rPr>
              <w:t>493,367</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655" w:right="0"/>
              <w:jc w:val="left"/>
              <w:rPr>
                <w:rFonts w:ascii="Arial" w:hAnsi="Arial" w:cs="Arial" w:eastAsia="Arial" w:hint="default"/>
                <w:sz w:val="18"/>
                <w:szCs w:val="18"/>
              </w:rPr>
            </w:pPr>
            <w:r>
              <w:rPr>
                <w:rFonts w:ascii="Arial"/>
                <w:sz w:val="18"/>
              </w:rPr>
              <w:t>502,367</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武汉苏宁电器有限公司</w:t>
              <w:tab/>
            </w:r>
            <w:r>
              <w:rPr>
                <w:rFonts w:ascii="Arial" w:hAnsi="Arial" w:cs="Arial" w:eastAsia="Arial" w:hint="default"/>
                <w:sz w:val="18"/>
                <w:szCs w:val="18"/>
              </w:rPr>
              <w:t>51,300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30" w:right="0"/>
              <w:jc w:val="left"/>
              <w:rPr>
                <w:rFonts w:ascii="Arial" w:hAnsi="Arial" w:cs="Arial" w:eastAsia="Arial" w:hint="default"/>
                <w:sz w:val="18"/>
                <w:szCs w:val="18"/>
              </w:rPr>
            </w:pPr>
            <w:r>
              <w:rPr>
                <w:rFonts w:ascii="Arial"/>
                <w:sz w:val="18"/>
              </w:rPr>
              <w:t>239,607</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51,300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5" w:right="0"/>
              <w:jc w:val="left"/>
              <w:rPr>
                <w:rFonts w:ascii="Arial" w:hAnsi="Arial" w:cs="Arial" w:eastAsia="Arial" w:hint="default"/>
                <w:sz w:val="18"/>
                <w:szCs w:val="18"/>
              </w:rPr>
            </w:pPr>
            <w:r>
              <w:rPr>
                <w:rFonts w:ascii="Arial"/>
                <w:sz w:val="18"/>
              </w:rPr>
              <w:t>239,607</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290,907</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北京苏宁电器有限公司</w:t>
              <w:tab/>
            </w:r>
            <w:r>
              <w:rPr>
                <w:rFonts w:ascii="Arial" w:hAnsi="Arial" w:cs="Arial" w:eastAsia="Arial" w:hint="default"/>
                <w:sz w:val="18"/>
                <w:szCs w:val="18"/>
              </w:rPr>
              <w:t>93,728</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30" w:right="0"/>
              <w:jc w:val="left"/>
              <w:rPr>
                <w:rFonts w:ascii="Arial" w:hAnsi="Arial" w:cs="Arial" w:eastAsia="Arial" w:hint="default"/>
                <w:sz w:val="18"/>
                <w:szCs w:val="18"/>
              </w:rPr>
            </w:pPr>
            <w:r>
              <w:rPr>
                <w:rFonts w:ascii="Arial"/>
                <w:sz w:val="18"/>
              </w:rPr>
              <w:t>158,990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93,728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6" w:right="0"/>
              <w:jc w:val="left"/>
              <w:rPr>
                <w:rFonts w:ascii="Arial" w:hAnsi="Arial" w:cs="Arial" w:eastAsia="Arial" w:hint="default"/>
                <w:sz w:val="18"/>
                <w:szCs w:val="18"/>
              </w:rPr>
            </w:pPr>
            <w:r>
              <w:rPr>
                <w:rFonts w:ascii="Arial"/>
                <w:sz w:val="18"/>
              </w:rPr>
              <w:t>158,990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6" w:right="0"/>
              <w:jc w:val="left"/>
              <w:rPr>
                <w:rFonts w:ascii="Arial" w:hAnsi="Arial" w:cs="Arial" w:eastAsia="Arial" w:hint="default"/>
                <w:sz w:val="18"/>
                <w:szCs w:val="18"/>
              </w:rPr>
            </w:pPr>
            <w:r>
              <w:rPr>
                <w:rFonts w:ascii="Arial"/>
                <w:sz w:val="18"/>
              </w:rPr>
              <w:t>252,718</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沈阳苏宁电器有限公司</w:t>
              <w:tab/>
            </w:r>
            <w:r>
              <w:rPr>
                <w:rFonts w:ascii="Arial" w:hAnsi="Arial" w:cs="Arial" w:eastAsia="Arial" w:hint="default"/>
                <w:sz w:val="18"/>
                <w:szCs w:val="18"/>
              </w:rPr>
              <w:t>25,494</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30" w:right="0"/>
              <w:jc w:val="left"/>
              <w:rPr>
                <w:rFonts w:ascii="Arial" w:hAnsi="Arial" w:cs="Arial" w:eastAsia="Arial" w:hint="default"/>
                <w:sz w:val="18"/>
                <w:szCs w:val="18"/>
              </w:rPr>
            </w:pPr>
            <w:r>
              <w:rPr>
                <w:rFonts w:ascii="Arial"/>
                <w:sz w:val="18"/>
              </w:rPr>
              <w:t>157,440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25,494</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5" w:right="0"/>
              <w:jc w:val="left"/>
              <w:rPr>
                <w:rFonts w:ascii="Arial" w:hAnsi="Arial" w:cs="Arial" w:eastAsia="Arial" w:hint="default"/>
                <w:sz w:val="18"/>
                <w:szCs w:val="18"/>
              </w:rPr>
            </w:pPr>
            <w:r>
              <w:rPr>
                <w:rFonts w:ascii="Arial"/>
                <w:sz w:val="18"/>
              </w:rPr>
              <w:t>157,440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182,934</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10"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上海苏宁电器有限公司</w:t>
              <w:tab/>
            </w:r>
            <w:r>
              <w:rPr>
                <w:rFonts w:ascii="Arial" w:hAnsi="Arial" w:cs="Arial" w:eastAsia="Arial" w:hint="default"/>
                <w:spacing w:val="-5"/>
                <w:sz w:val="18"/>
                <w:szCs w:val="18"/>
              </w:rPr>
              <w:t>114,117</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44,770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648" w:right="0"/>
              <w:jc w:val="left"/>
              <w:rPr>
                <w:rFonts w:ascii="Arial" w:hAnsi="Arial" w:cs="Arial" w:eastAsia="Arial" w:hint="default"/>
                <w:sz w:val="18"/>
                <w:szCs w:val="18"/>
              </w:rPr>
            </w:pPr>
            <w:r>
              <w:rPr>
                <w:rFonts w:ascii="Arial"/>
                <w:spacing w:val="-5"/>
                <w:sz w:val="18"/>
              </w:rPr>
              <w:t>114,117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44,770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158,887</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广东苏宁电器有限公司</w:t>
              <w:tab/>
            </w:r>
            <w:r>
              <w:rPr>
                <w:rFonts w:ascii="Arial" w:hAnsi="Arial" w:cs="Arial" w:eastAsia="Arial" w:hint="default"/>
                <w:sz w:val="18"/>
                <w:szCs w:val="18"/>
              </w:rPr>
              <w:t>99,682</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58,500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99,682</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58,500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158,182</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浙江苏宁电器有限公司</w:t>
              <w:tab/>
            </w:r>
            <w:r>
              <w:rPr>
                <w:rFonts w:ascii="Arial" w:hAnsi="Arial" w:cs="Arial" w:eastAsia="Arial" w:hint="default"/>
                <w:sz w:val="18"/>
                <w:szCs w:val="18"/>
              </w:rPr>
              <w:t>92,473</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54,168</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92,473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54,168</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146,641</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福建苏宁电器有限公司</w:t>
              <w:tab/>
            </w:r>
            <w:r>
              <w:rPr>
                <w:rFonts w:ascii="Arial" w:hAnsi="Arial" w:cs="Arial" w:eastAsia="Arial" w:hint="default"/>
                <w:sz w:val="18"/>
                <w:szCs w:val="18"/>
              </w:rPr>
              <w:t>80,100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29,700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80,100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29,700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55" w:right="0"/>
              <w:jc w:val="left"/>
              <w:rPr>
                <w:rFonts w:ascii="Arial" w:hAnsi="Arial" w:cs="Arial" w:eastAsia="Arial" w:hint="default"/>
                <w:sz w:val="18"/>
                <w:szCs w:val="18"/>
              </w:rPr>
            </w:pPr>
            <w:r>
              <w:rPr>
                <w:rFonts w:ascii="Arial"/>
                <w:sz w:val="18"/>
              </w:rPr>
              <w:t>109,800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江苏苏宁地铁商业管理有限公司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83,641</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83,641</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92,641</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深圳市苏宁电器有限公司</w:t>
              <w:tab/>
            </w:r>
            <w:r>
              <w:rPr>
                <w:rFonts w:ascii="Arial" w:hAnsi="Arial" w:cs="Arial" w:eastAsia="Arial" w:hint="default"/>
                <w:sz w:val="18"/>
                <w:szCs w:val="18"/>
              </w:rPr>
              <w:t>54,000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15,300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54,000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15,300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69,300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新疆苏宁电器有限公司</w:t>
              <w:tab/>
            </w:r>
            <w:r>
              <w:rPr>
                <w:rFonts w:ascii="Arial" w:hAnsi="Arial" w:cs="Arial" w:eastAsia="Arial" w:hint="default"/>
                <w:sz w:val="18"/>
                <w:szCs w:val="18"/>
              </w:rPr>
              <w:t>20,700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38,250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20,700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38,250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58,950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苏宁电器江苏苏南有限公司</w:t>
              <w:tab/>
            </w:r>
            <w:r>
              <w:rPr>
                <w:rFonts w:ascii="Arial" w:hAnsi="Arial" w:cs="Arial" w:eastAsia="Arial" w:hint="default"/>
                <w:sz w:val="18"/>
                <w:szCs w:val="18"/>
              </w:rPr>
              <w:t>50,400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50,400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50,400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重庆渝宁苏宁电器有限公司</w:t>
              <w:tab/>
            </w:r>
            <w:r>
              <w:rPr>
                <w:rFonts w:ascii="Arial" w:hAnsi="Arial" w:cs="Arial" w:eastAsia="Arial" w:hint="default"/>
                <w:sz w:val="18"/>
                <w:szCs w:val="18"/>
              </w:rPr>
              <w:t>5,000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45,000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5,000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45,000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50,000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湖南苏宁电器有限公司</w:t>
              <w:tab/>
            </w:r>
            <w:r>
              <w:rPr>
                <w:rFonts w:ascii="Arial" w:hAnsi="Arial" w:cs="Arial" w:eastAsia="Arial" w:hint="default"/>
                <w:sz w:val="18"/>
                <w:szCs w:val="18"/>
              </w:rPr>
              <w:t>37,035</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42" w:right="0"/>
              <w:jc w:val="left"/>
              <w:rPr>
                <w:rFonts w:ascii="Arial" w:hAnsi="Arial" w:cs="Arial" w:eastAsia="Arial" w:hint="default"/>
                <w:sz w:val="18"/>
                <w:szCs w:val="18"/>
              </w:rPr>
            </w:pPr>
            <w:r>
              <w:rPr>
                <w:rFonts w:ascii="Arial"/>
                <w:spacing w:val="-3"/>
                <w:sz w:val="18"/>
              </w:rPr>
              <w:t>11,700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37,035</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48" w:right="0"/>
              <w:jc w:val="left"/>
              <w:rPr>
                <w:rFonts w:ascii="Arial" w:hAnsi="Arial" w:cs="Arial" w:eastAsia="Arial" w:hint="default"/>
                <w:sz w:val="18"/>
                <w:szCs w:val="18"/>
              </w:rPr>
            </w:pPr>
            <w:r>
              <w:rPr>
                <w:rFonts w:ascii="Arial"/>
                <w:spacing w:val="-3"/>
                <w:sz w:val="18"/>
              </w:rPr>
              <w:t>11,700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18"/>
                <w:szCs w:val="18"/>
              </w:rPr>
            </w:pPr>
            <w:r>
              <w:rPr>
                <w:rFonts w:ascii="Arial"/>
                <w:sz w:val="18"/>
              </w:rPr>
              <w:t>48,735</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杭州苏宁电器有限公司</w:t>
              <w:tab/>
            </w:r>
            <w:r>
              <w:rPr>
                <w:rFonts w:ascii="Arial" w:hAnsi="Arial" w:cs="Arial" w:eastAsia="Arial" w:hint="default"/>
                <w:sz w:val="18"/>
                <w:szCs w:val="18"/>
              </w:rPr>
              <w:t>41,850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41,850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41,850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陕西苏宁电器有限责任公司</w:t>
              <w:tab/>
            </w:r>
            <w:r>
              <w:rPr>
                <w:rFonts w:ascii="Arial" w:hAnsi="Arial" w:cs="Arial" w:eastAsia="Arial" w:hint="default"/>
                <w:sz w:val="18"/>
                <w:szCs w:val="18"/>
              </w:rPr>
              <w:t>30,138</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6,120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30,138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6,120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18"/>
                <w:szCs w:val="18"/>
              </w:rPr>
            </w:pPr>
            <w:r>
              <w:rPr>
                <w:rFonts w:ascii="Arial"/>
                <w:sz w:val="18"/>
              </w:rPr>
              <w:t>36,258</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苏州苏宁电器有限公司</w:t>
              <w:tab/>
            </w:r>
            <w:r>
              <w:rPr>
                <w:rFonts w:ascii="Arial" w:hAnsi="Arial" w:cs="Arial" w:eastAsia="Arial" w:hint="default"/>
                <w:sz w:val="18"/>
                <w:szCs w:val="18"/>
              </w:rPr>
              <w:t>8,840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21,330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8,840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21,330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30,170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96"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甘肃苏宁电器有限公司</w:t>
              <w:tab/>
            </w:r>
            <w:r>
              <w:rPr>
                <w:rFonts w:ascii="Arial" w:hAnsi="Arial" w:cs="Arial" w:eastAsia="Arial" w:hint="default"/>
                <w:spacing w:val="-3"/>
                <w:sz w:val="18"/>
                <w:szCs w:val="18"/>
              </w:rPr>
              <w:t>11,268</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8,010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34" w:right="0"/>
              <w:jc w:val="left"/>
              <w:rPr>
                <w:rFonts w:ascii="Arial" w:hAnsi="Arial" w:cs="Arial" w:eastAsia="Arial" w:hint="default"/>
                <w:sz w:val="18"/>
                <w:szCs w:val="18"/>
              </w:rPr>
            </w:pPr>
            <w:r>
              <w:rPr>
                <w:rFonts w:ascii="Arial"/>
                <w:spacing w:val="-3"/>
                <w:sz w:val="18"/>
              </w:rPr>
              <w:t>11,268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5" w:right="0"/>
              <w:jc w:val="left"/>
              <w:rPr>
                <w:rFonts w:ascii="Arial" w:hAnsi="Arial" w:cs="Arial" w:eastAsia="Arial" w:hint="default"/>
                <w:sz w:val="18"/>
                <w:szCs w:val="18"/>
              </w:rPr>
            </w:pPr>
            <w:r>
              <w:rPr>
                <w:rFonts w:ascii="Arial"/>
                <w:sz w:val="18"/>
              </w:rPr>
              <w:t>8,010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18"/>
                <w:szCs w:val="18"/>
              </w:rPr>
            </w:pPr>
            <w:r>
              <w:rPr>
                <w:rFonts w:ascii="Arial"/>
                <w:sz w:val="18"/>
              </w:rPr>
              <w:t>19,278</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长春苏宁电器有限公司</w:t>
              <w:tab/>
            </w:r>
            <w:r>
              <w:rPr>
                <w:rFonts w:ascii="Arial" w:hAnsi="Arial" w:cs="Arial" w:eastAsia="Arial" w:hint="default"/>
                <w:sz w:val="18"/>
                <w:szCs w:val="18"/>
              </w:rPr>
              <w:t>4,651</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14,400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4,651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14,400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19,051</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江西苏宁电器有限公司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9,900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9,900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18,900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上海沪申苏宁电器有限公司</w:t>
              <w:tab/>
            </w:r>
            <w:r>
              <w:rPr>
                <w:rFonts w:ascii="Arial" w:hAnsi="Arial" w:cs="Arial" w:eastAsia="Arial" w:hint="default"/>
                <w:sz w:val="18"/>
                <w:szCs w:val="18"/>
              </w:rPr>
              <w:t>18,000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18,000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18,000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河南苏宁电器有限公司</w:t>
              <w:tab/>
            </w:r>
            <w:r>
              <w:rPr>
                <w:rFonts w:ascii="Arial" w:hAnsi="Arial" w:cs="Arial" w:eastAsia="Arial" w:hint="default"/>
                <w:sz w:val="18"/>
                <w:szCs w:val="18"/>
              </w:rPr>
              <w:t>13,500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4,500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1" w:right="0"/>
              <w:jc w:val="left"/>
              <w:rPr>
                <w:rFonts w:ascii="Arial" w:hAnsi="Arial" w:cs="Arial" w:eastAsia="Arial" w:hint="default"/>
                <w:sz w:val="18"/>
                <w:szCs w:val="18"/>
              </w:rPr>
            </w:pPr>
            <w:r>
              <w:rPr>
                <w:rFonts w:ascii="Arial"/>
                <w:sz w:val="18"/>
              </w:rPr>
              <w:t>13,500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4,500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18"/>
                <w:szCs w:val="18"/>
              </w:rPr>
            </w:pPr>
            <w:r>
              <w:rPr>
                <w:rFonts w:ascii="Arial"/>
                <w:sz w:val="18"/>
              </w:rPr>
              <w:t>18,000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海南苏宁电器有限公司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9,000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9,000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18,000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4" w:right="0"/>
              <w:jc w:val="left"/>
              <w:rPr>
                <w:rFonts w:ascii="Arial" w:hAnsi="Arial" w:cs="Arial" w:eastAsia="Arial" w:hint="default"/>
                <w:sz w:val="18"/>
                <w:szCs w:val="18"/>
              </w:rPr>
            </w:pPr>
            <w:r>
              <w:rPr>
                <w:rFonts w:ascii="宋体" w:hAnsi="宋体" w:cs="宋体" w:eastAsia="宋体" w:hint="default"/>
                <w:position w:val="1"/>
                <w:sz w:val="18"/>
                <w:szCs w:val="18"/>
              </w:rPr>
              <w:t>天津渤海苏宁电器有限公司</w:t>
              <w:tab/>
            </w:r>
            <w:r>
              <w:rPr>
                <w:rFonts w:ascii="Arial" w:hAnsi="Arial" w:cs="Arial" w:eastAsia="Arial" w:hint="default"/>
                <w:sz w:val="18"/>
                <w:szCs w:val="18"/>
              </w:rPr>
              <w:t>18,000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18,000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18,000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4" w:right="0"/>
              <w:jc w:val="left"/>
              <w:rPr>
                <w:rFonts w:ascii="Arial" w:hAnsi="Arial" w:cs="Arial" w:eastAsia="Arial" w:hint="default"/>
                <w:sz w:val="18"/>
                <w:szCs w:val="18"/>
              </w:rPr>
            </w:pPr>
            <w:r>
              <w:rPr>
                <w:rFonts w:ascii="宋体" w:hAnsi="宋体" w:cs="宋体" w:eastAsia="宋体" w:hint="default"/>
                <w:position w:val="1"/>
                <w:sz w:val="18"/>
                <w:szCs w:val="18"/>
              </w:rPr>
              <w:t>西宁苏宁电器有限公司</w:t>
              <w:tab/>
            </w:r>
            <w:r>
              <w:rPr>
                <w:rFonts w:ascii="Arial" w:hAnsi="Arial" w:cs="Arial" w:eastAsia="Arial" w:hint="default"/>
                <w:sz w:val="18"/>
                <w:szCs w:val="18"/>
              </w:rPr>
              <w:t>15,300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15,300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15,300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盐城苏宁电器有限公司</w:t>
              <w:tab/>
            </w:r>
            <w:r>
              <w:rPr>
                <w:rFonts w:ascii="Arial" w:hAnsi="Arial" w:cs="Arial" w:eastAsia="Arial" w:hint="default"/>
                <w:sz w:val="18"/>
                <w:szCs w:val="18"/>
              </w:rPr>
              <w:t>4,500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29" w:right="0"/>
              <w:jc w:val="left"/>
              <w:rPr>
                <w:rFonts w:ascii="Arial" w:hAnsi="Arial" w:cs="Arial" w:eastAsia="Arial" w:hint="default"/>
                <w:sz w:val="18"/>
                <w:szCs w:val="18"/>
              </w:rPr>
            </w:pPr>
            <w:r>
              <w:rPr>
                <w:rFonts w:ascii="Arial"/>
                <w:sz w:val="18"/>
              </w:rPr>
              <w:t>10,800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4,500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5" w:right="0"/>
              <w:jc w:val="left"/>
              <w:rPr>
                <w:rFonts w:ascii="Arial" w:hAnsi="Arial" w:cs="Arial" w:eastAsia="Arial" w:hint="default"/>
                <w:sz w:val="18"/>
                <w:szCs w:val="18"/>
              </w:rPr>
            </w:pPr>
            <w:r>
              <w:rPr>
                <w:rFonts w:ascii="Arial"/>
                <w:sz w:val="18"/>
              </w:rPr>
              <w:t>10,800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15,300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广西苏宁电器有限公司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5,400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5,400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14,400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贵阳东方苏宁电器有限公司</w:t>
              <w:tab/>
            </w:r>
            <w:r>
              <w:rPr>
                <w:rFonts w:ascii="Arial" w:hAnsi="Arial" w:cs="Arial" w:eastAsia="Arial" w:hint="default"/>
                <w:sz w:val="18"/>
                <w:szCs w:val="18"/>
              </w:rPr>
              <w:t>4,500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9,450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4,500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9,450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13,950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山西苏宁电器有限公司</w:t>
              <w:tab/>
            </w:r>
            <w:r>
              <w:rPr>
                <w:rFonts w:ascii="Arial" w:hAnsi="Arial" w:cs="Arial" w:eastAsia="Arial" w:hint="default"/>
                <w:sz w:val="18"/>
                <w:szCs w:val="18"/>
              </w:rPr>
              <w:t>4,500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9,000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4,500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9,000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13,500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3084"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无锡市苏宁电器有限公司</w:t>
              <w:tab/>
            </w:r>
            <w:r>
              <w:rPr>
                <w:rFonts w:ascii="Arial" w:hAnsi="Arial" w:cs="Arial" w:eastAsia="Arial" w:hint="default"/>
                <w:sz w:val="18"/>
                <w:szCs w:val="18"/>
              </w:rPr>
              <w:t>9,000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0" w:right="0"/>
              <w:jc w:val="left"/>
              <w:rPr>
                <w:rFonts w:ascii="Arial" w:hAnsi="Arial" w:cs="Arial" w:eastAsia="Arial" w:hint="default"/>
                <w:sz w:val="18"/>
                <w:szCs w:val="18"/>
              </w:rPr>
            </w:pPr>
            <w:r>
              <w:rPr>
                <w:rFonts w:ascii="Arial"/>
                <w:sz w:val="18"/>
              </w:rPr>
              <w:t>4,230</w:t>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822" w:right="0"/>
              <w:jc w:val="left"/>
              <w:rPr>
                <w:rFonts w:ascii="Arial" w:hAnsi="Arial" w:cs="Arial" w:eastAsia="Arial" w:hint="default"/>
                <w:sz w:val="18"/>
                <w:szCs w:val="18"/>
              </w:rPr>
            </w:pPr>
            <w:r>
              <w:rPr>
                <w:rFonts w:ascii="Arial"/>
                <w:sz w:val="18"/>
              </w:rPr>
              <w:t>9,000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18"/>
                <w:szCs w:val="18"/>
              </w:rPr>
            </w:pPr>
            <w:r>
              <w:rPr>
                <w:rFonts w:ascii="Arial"/>
                <w:sz w:val="18"/>
              </w:rPr>
              <w:t>4,230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13,230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江苏松桥电器有限公司</w:t>
              <w:tab/>
            </w:r>
            <w:r>
              <w:rPr>
                <w:rFonts w:ascii="Arial" w:hAnsi="Arial" w:cs="Arial" w:eastAsia="Arial" w:hint="default"/>
                <w:sz w:val="18"/>
                <w:szCs w:val="18"/>
              </w:rPr>
              <w:t>10,000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36" w:right="0"/>
              <w:jc w:val="left"/>
              <w:rPr>
                <w:rFonts w:ascii="Arial" w:hAnsi="Arial" w:cs="Arial" w:eastAsia="Arial" w:hint="default"/>
                <w:sz w:val="18"/>
                <w:szCs w:val="18"/>
              </w:rPr>
            </w:pPr>
            <w:r>
              <w:rPr>
                <w:rFonts w:ascii="Arial"/>
                <w:sz w:val="18"/>
              </w:rPr>
              <w:t>10,000</w:t>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10,000</w:t>
            </w:r>
          </w:p>
        </w:tc>
      </w:tr>
      <w:tr>
        <w:trPr>
          <w:trHeight w:val="234"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23"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四川苏宁电器有限公司</w:t>
              <w:tab/>
            </w:r>
            <w:r>
              <w:rPr>
                <w:rFonts w:ascii="Arial" w:hAnsi="Arial" w:cs="Arial" w:eastAsia="Arial" w:hint="default"/>
                <w:sz w:val="18"/>
                <w:szCs w:val="18"/>
              </w:rPr>
              <w:t>10,000</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10,000</w:t>
            </w:r>
          </w:p>
        </w:tc>
      </w:tr>
      <w:tr>
        <w:trPr>
          <w:trHeight w:val="438"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tabs>
                <w:tab w:pos="2983" w:val="left" w:leader="none"/>
              </w:tabs>
              <w:spacing w:line="208" w:lineRule="exact"/>
              <w:ind w:left="35" w:right="0"/>
              <w:jc w:val="left"/>
              <w:rPr>
                <w:rFonts w:ascii="Arial" w:hAnsi="Arial" w:cs="Arial" w:eastAsia="Arial" w:hint="default"/>
                <w:sz w:val="18"/>
                <w:szCs w:val="18"/>
              </w:rPr>
            </w:pPr>
            <w:r>
              <w:rPr>
                <w:rFonts w:ascii="宋体" w:hAnsi="宋体" w:cs="宋体" w:eastAsia="宋体" w:hint="default"/>
                <w:position w:val="1"/>
                <w:sz w:val="18"/>
                <w:szCs w:val="18"/>
              </w:rPr>
              <w:t>山东苏宁电器有限公司</w:t>
              <w:tab/>
            </w:r>
            <w:r>
              <w:rPr>
                <w:rFonts w:ascii="Arial" w:hAnsi="Arial" w:cs="Arial" w:eastAsia="Arial" w:hint="default"/>
                <w:sz w:val="18"/>
                <w:szCs w:val="18"/>
              </w:rPr>
              <w:t>10,000</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Arial" w:hAnsi="Arial" w:cs="Arial" w:eastAsia="Arial" w:hint="default"/>
                <w:sz w:val="18"/>
                <w:szCs w:val="18"/>
              </w:rPr>
              <w:t>42</w:t>
            </w:r>
            <w:r>
              <w:rPr>
                <w:rFonts w:ascii="Arial" w:hAnsi="Arial" w:cs="Arial" w:eastAsia="Arial" w:hint="default"/>
                <w:spacing w:val="-7"/>
                <w:sz w:val="18"/>
                <w:szCs w:val="18"/>
              </w:rPr>
              <w:t> </w:t>
            </w:r>
            <w:r>
              <w:rPr>
                <w:rFonts w:ascii="宋体" w:hAnsi="宋体" w:cs="宋体" w:eastAsia="宋体" w:hint="default"/>
                <w:sz w:val="18"/>
                <w:szCs w:val="18"/>
              </w:rPr>
              <w:t>家子公司</w:t>
            </w:r>
            <w:r>
              <w:rPr>
                <w:rFonts w:ascii="Arial" w:hAnsi="Arial" w:cs="Arial" w:eastAsia="Arial" w:hint="default"/>
                <w:sz w:val="18"/>
                <w:szCs w:val="18"/>
              </w:rPr>
              <w:t>(</w:t>
            </w:r>
            <w:r>
              <w:rPr>
                <w:rFonts w:ascii="宋体" w:hAnsi="宋体" w:cs="宋体" w:eastAsia="宋体" w:hint="default"/>
                <w:sz w:val="18"/>
                <w:szCs w:val="18"/>
              </w:rPr>
              <w:t>单个公司投资</w:t>
            </w:r>
          </w:p>
        </w:tc>
        <w:tc>
          <w:tcPr>
            <w:tcW w:w="12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16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722" w:right="0"/>
              <w:jc w:val="left"/>
              <w:rPr>
                <w:rFonts w:ascii="Arial" w:hAnsi="Arial" w:cs="Arial" w:eastAsia="Arial" w:hint="default"/>
                <w:sz w:val="18"/>
                <w:szCs w:val="18"/>
              </w:rPr>
            </w:pPr>
            <w:r>
              <w:rPr>
                <w:rFonts w:ascii="Arial"/>
                <w:sz w:val="18"/>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4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5" w:right="0"/>
              <w:jc w:val="left"/>
              <w:rPr>
                <w:rFonts w:ascii="Arial" w:hAnsi="Arial" w:cs="Arial" w:eastAsia="Arial" w:hint="default"/>
                <w:sz w:val="18"/>
                <w:szCs w:val="18"/>
              </w:rPr>
            </w:pPr>
            <w:r>
              <w:rPr>
                <w:rFonts w:ascii="Arial"/>
                <w:sz w:val="18"/>
              </w:rPr>
              <w:t>10,000</w:t>
            </w:r>
          </w:p>
        </w:tc>
      </w:tr>
      <w:tr>
        <w:trPr>
          <w:trHeight w:val="257" w:hRule="exact"/>
        </w:trPr>
        <w:tc>
          <w:tcPr>
            <w:tcW w:w="707" w:type="dxa"/>
            <w:tcBorders>
              <w:top w:val="nil" w:sz="6" w:space="0" w:color="auto"/>
              <w:left w:val="nil" w:sz="6" w:space="0" w:color="auto"/>
              <w:bottom w:val="nil" w:sz="6" w:space="0" w:color="auto"/>
              <w:right w:val="nil" w:sz="6" w:space="0" w:color="auto"/>
            </w:tcBorders>
          </w:tcPr>
          <w:p>
            <w:pP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238" w:lineRule="exact"/>
              <w:ind w:left="395" w:right="0"/>
              <w:jc w:val="left"/>
              <w:rPr>
                <w:rFonts w:ascii="宋体" w:hAnsi="宋体" w:cs="宋体" w:eastAsia="宋体" w:hint="default"/>
                <w:sz w:val="18"/>
                <w:szCs w:val="18"/>
              </w:rPr>
            </w:pPr>
            <w:r>
              <w:rPr>
                <w:rFonts w:ascii="宋体" w:hAnsi="宋体" w:cs="宋体" w:eastAsia="宋体" w:hint="default"/>
                <w:spacing w:val="10"/>
                <w:sz w:val="18"/>
                <w:szCs w:val="18"/>
              </w:rPr>
              <w:t>成本小于人民币 </w:t>
            </w:r>
            <w:r>
              <w:rPr>
                <w:rFonts w:ascii="Arial" w:hAnsi="Arial" w:cs="Arial" w:eastAsia="Arial" w:hint="default"/>
                <w:sz w:val="18"/>
                <w:szCs w:val="18"/>
              </w:rPr>
              <w:t>1,000 </w:t>
            </w:r>
            <w:r>
              <w:rPr>
                <w:rFonts w:ascii="Arial" w:hAnsi="Arial" w:cs="Arial" w:eastAsia="Arial" w:hint="default"/>
                <w:spacing w:val="6"/>
                <w:sz w:val="18"/>
                <w:szCs w:val="18"/>
              </w:rPr>
              <w:t> </w:t>
            </w:r>
            <w:r>
              <w:rPr>
                <w:rFonts w:ascii="宋体" w:hAnsi="宋体" w:cs="宋体" w:eastAsia="宋体" w:hint="default"/>
                <w:sz w:val="18"/>
                <w:szCs w:val="18"/>
              </w:rPr>
              <w:t>万</w:t>
            </w:r>
          </w:p>
        </w:tc>
        <w:tc>
          <w:tcPr>
            <w:tcW w:w="1288" w:type="dxa"/>
            <w:gridSpan w:val="2"/>
            <w:tcBorders>
              <w:top w:val="nil" w:sz="6" w:space="0" w:color="auto"/>
              <w:left w:val="nil" w:sz="6" w:space="0" w:color="auto"/>
              <w:bottom w:val="nil" w:sz="6" w:space="0" w:color="auto"/>
              <w:right w:val="nil" w:sz="6" w:space="0" w:color="auto"/>
            </w:tcBorders>
          </w:tcPr>
          <w:p>
            <w:pPr/>
          </w:p>
        </w:tc>
        <w:tc>
          <w:tcPr>
            <w:tcW w:w="1603" w:type="dxa"/>
            <w:gridSpan w:val="3"/>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414" w:type="dxa"/>
            <w:gridSpan w:val="2"/>
            <w:tcBorders>
              <w:top w:val="nil" w:sz="6" w:space="0" w:color="auto"/>
              <w:left w:val="nil" w:sz="6" w:space="0" w:color="auto"/>
              <w:bottom w:val="nil" w:sz="6" w:space="0" w:color="auto"/>
              <w:right w:val="nil" w:sz="6" w:space="0" w:color="auto"/>
            </w:tcBorders>
          </w:tcPr>
          <w:p>
            <w:pPr/>
          </w:p>
        </w:tc>
      </w:tr>
      <w:tr>
        <w:trPr>
          <w:trHeight w:val="244" w:hRule="exact"/>
        </w:trPr>
        <w:tc>
          <w:tcPr>
            <w:tcW w:w="3367"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741" w:right="0"/>
              <w:jc w:val="left"/>
              <w:rPr>
                <w:rFonts w:ascii="Arial" w:hAnsi="Arial" w:cs="Arial" w:eastAsia="Arial" w:hint="default"/>
                <w:sz w:val="18"/>
                <w:szCs w:val="18"/>
              </w:rPr>
            </w:pPr>
            <w:r>
              <w:rPr>
                <w:rFonts w:ascii="宋体" w:hAnsi="宋体" w:cs="宋体" w:eastAsia="宋体" w:hint="default"/>
                <w:sz w:val="18"/>
                <w:szCs w:val="18"/>
              </w:rPr>
              <w:t>元</w:t>
            </w:r>
            <w:r>
              <w:rPr>
                <w:rFonts w:ascii="Arial" w:hAnsi="Arial" w:cs="Arial" w:eastAsia="Arial" w:hint="default"/>
                <w:sz w:val="18"/>
                <w:szCs w:val="18"/>
              </w:rPr>
              <w:t>)</w:t>
            </w:r>
          </w:p>
        </w:tc>
        <w:tc>
          <w:tcPr>
            <w:tcW w:w="980" w:type="dxa"/>
            <w:tcBorders>
              <w:top w:val="nil" w:sz="6" w:space="0" w:color="auto"/>
              <w:left w:val="nil" w:sz="6" w:space="0" w:color="auto"/>
              <w:bottom w:val="nil" w:sz="6" w:space="0" w:color="auto"/>
              <w:right w:val="nil" w:sz="6" w:space="0" w:color="auto"/>
            </w:tcBorders>
          </w:tcPr>
          <w:p>
            <w:pPr>
              <w:pStyle w:val="TableParagraph"/>
              <w:tabs>
                <w:tab w:pos="965" w:val="left" w:leader="none"/>
              </w:tabs>
              <w:spacing w:line="240" w:lineRule="auto" w:before="23"/>
              <w:ind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157,822</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Style w:val="TableParagraph"/>
              <w:tabs>
                <w:tab w:pos="399" w:val="left" w:leader="none"/>
                <w:tab w:pos="1049" w:val="left" w:leader="none"/>
              </w:tabs>
              <w:spacing w:line="240" w:lineRule="auto" w:before="23"/>
              <w:ind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14,085</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tabs>
                <w:tab w:pos="391" w:val="left" w:leader="none"/>
                <w:tab w:pos="1142" w:val="left" w:leader="none"/>
              </w:tabs>
              <w:spacing w:line="240" w:lineRule="auto" w:before="23"/>
              <w:ind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139,322</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tabs>
                <w:tab w:pos="535" w:val="left" w:leader="none"/>
                <w:tab w:pos="1187" w:val="left" w:leader="none"/>
              </w:tabs>
              <w:spacing w:line="240" w:lineRule="auto" w:before="23"/>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32,585</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tabs>
                <w:tab w:pos="432" w:val="left" w:leader="none"/>
                <w:tab w:pos="1183" w:val="left" w:leader="none"/>
              </w:tabs>
              <w:spacing w:line="240" w:lineRule="auto" w:before="23"/>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171,907</w:t>
              <w:tab/>
            </w:r>
            <w:r>
              <w:rPr>
                <w:rFonts w:ascii="Arial"/>
                <w:sz w:val="18"/>
              </w:rPr>
            </w:r>
          </w:p>
        </w:tc>
      </w:tr>
      <w:tr>
        <w:trPr>
          <w:trHeight w:val="220" w:hRule="exact"/>
        </w:trPr>
        <w:tc>
          <w:tcPr>
            <w:tcW w:w="3367" w:type="dxa"/>
            <w:gridSpan w:val="2"/>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12" w:space="0" w:color="000000"/>
              <w:right w:val="nil" w:sz="6" w:space="0" w:color="auto"/>
            </w:tcBorders>
          </w:tcPr>
          <w:p>
            <w:pPr>
              <w:pStyle w:val="TableParagraph"/>
              <w:spacing w:line="202" w:lineRule="exact"/>
              <w:ind w:right="32"/>
              <w:jc w:val="center"/>
              <w:rPr>
                <w:rFonts w:ascii="Arial" w:hAnsi="Arial" w:cs="Arial" w:eastAsia="Arial" w:hint="default"/>
                <w:sz w:val="18"/>
                <w:szCs w:val="18"/>
              </w:rPr>
            </w:pPr>
            <w:r>
              <w:rPr>
                <w:rFonts w:ascii="Arial"/>
                <w:sz w:val="18"/>
              </w:rPr>
              <w:t>1,140,898</w:t>
            </w:r>
          </w:p>
        </w:tc>
        <w:tc>
          <w:tcPr>
            <w:tcW w:w="22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single" w:sz="12" w:space="0" w:color="000000"/>
              <w:right w:val="nil" w:sz="6" w:space="0" w:color="auto"/>
            </w:tcBorders>
          </w:tcPr>
          <w:p>
            <w:pPr>
              <w:pStyle w:val="TableParagraph"/>
              <w:spacing w:line="202" w:lineRule="exact"/>
              <w:ind w:left="48" w:right="0"/>
              <w:jc w:val="center"/>
              <w:rPr>
                <w:rFonts w:ascii="Arial" w:hAnsi="Arial" w:cs="Arial" w:eastAsia="Arial" w:hint="default"/>
                <w:sz w:val="18"/>
                <w:szCs w:val="18"/>
              </w:rPr>
            </w:pPr>
            <w:r>
              <w:rPr>
                <w:rFonts w:ascii="Arial"/>
                <w:sz w:val="18"/>
              </w:rPr>
              <w:t>1,556,658</w:t>
            </w:r>
          </w:p>
        </w:tc>
        <w:tc>
          <w:tcPr>
            <w:tcW w:w="22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2" w:space="0" w:color="000000"/>
              <w:right w:val="nil" w:sz="6" w:space="0" w:color="auto"/>
            </w:tcBorders>
          </w:tcPr>
          <w:p>
            <w:pPr>
              <w:pStyle w:val="TableParagraph"/>
              <w:spacing w:line="202" w:lineRule="exact"/>
              <w:ind w:left="141" w:right="0"/>
              <w:jc w:val="center"/>
              <w:rPr>
                <w:rFonts w:ascii="Arial" w:hAnsi="Arial" w:cs="Arial" w:eastAsia="Arial" w:hint="default"/>
                <w:sz w:val="18"/>
                <w:szCs w:val="18"/>
              </w:rPr>
            </w:pPr>
            <w:r>
              <w:rPr>
                <w:rFonts w:ascii="Arial"/>
                <w:sz w:val="18"/>
              </w:rPr>
              <w:t>1,043,998</w:t>
            </w:r>
          </w:p>
        </w:tc>
        <w:tc>
          <w:tcPr>
            <w:tcW w:w="223"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0"/>
              <w:right w:val="nil" w:sz="6" w:space="0" w:color="auto"/>
            </w:tcBorders>
          </w:tcPr>
          <w:p>
            <w:pPr>
              <w:pStyle w:val="TableParagraph"/>
              <w:spacing w:line="202" w:lineRule="exact"/>
              <w:ind w:left="286" w:right="0"/>
              <w:jc w:val="left"/>
              <w:rPr>
                <w:rFonts w:ascii="Arial" w:hAnsi="Arial" w:cs="Arial" w:eastAsia="Arial" w:hint="default"/>
                <w:sz w:val="18"/>
                <w:szCs w:val="18"/>
              </w:rPr>
            </w:pPr>
            <w:r>
              <w:rPr>
                <w:rFonts w:ascii="Arial"/>
                <w:sz w:val="18"/>
              </w:rPr>
              <w:t>1,653,558</w:t>
            </w:r>
          </w:p>
        </w:tc>
        <w:tc>
          <w:tcPr>
            <w:tcW w:w="22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12" w:space="0" w:color="000000"/>
              <w:right w:val="nil" w:sz="6" w:space="0" w:color="auto"/>
            </w:tcBorders>
          </w:tcPr>
          <w:p>
            <w:pPr>
              <w:pStyle w:val="TableParagraph"/>
              <w:spacing w:line="202" w:lineRule="exact"/>
              <w:ind w:left="283" w:right="0"/>
              <w:jc w:val="left"/>
              <w:rPr>
                <w:rFonts w:ascii="Arial" w:hAnsi="Arial" w:cs="Arial" w:eastAsia="Arial" w:hint="default"/>
                <w:sz w:val="18"/>
                <w:szCs w:val="18"/>
              </w:rPr>
            </w:pPr>
            <w:r>
              <w:rPr>
                <w:rFonts w:ascii="Arial"/>
                <w:sz w:val="18"/>
              </w:rPr>
              <w:t>2,697,556</w:t>
            </w:r>
          </w:p>
        </w:tc>
      </w:tr>
    </w:tbl>
    <w:p>
      <w:pPr>
        <w:spacing w:after="0" w:line="202" w:lineRule="exact"/>
        <w:jc w:val="left"/>
        <w:rPr>
          <w:rFonts w:ascii="Arial" w:hAnsi="Arial" w:cs="Arial" w:eastAsia="Arial" w:hint="default"/>
          <w:sz w:val="18"/>
          <w:szCs w:val="18"/>
        </w:rPr>
        <w:sectPr>
          <w:pgSz w:w="11910" w:h="16840"/>
          <w:pgMar w:header="752" w:footer="707" w:top="1020" w:bottom="900" w:left="900" w:right="940"/>
        </w:sectPr>
      </w:pPr>
    </w:p>
    <w:p>
      <w:pPr>
        <w:spacing w:line="240" w:lineRule="auto" w:before="0"/>
        <w:rPr>
          <w:rFonts w:ascii="Times New Roman" w:hAnsi="Times New Roman" w:cs="Times New Roman" w:eastAsia="Times New Roman" w:hint="default"/>
          <w:sz w:val="20"/>
          <w:szCs w:val="20"/>
        </w:rPr>
      </w:pPr>
    </w:p>
    <w:p>
      <w:pPr>
        <w:pStyle w:val="Heading2"/>
        <w:tabs>
          <w:tab w:pos="809" w:val="left" w:leader="none"/>
        </w:tabs>
        <w:spacing w:line="240" w:lineRule="auto" w:before="190"/>
        <w:ind w:right="0"/>
        <w:jc w:val="left"/>
        <w:rPr>
          <w:rFonts w:ascii="Arial" w:hAnsi="Arial" w:cs="Arial" w:eastAsia="Arial" w:hint="default"/>
          <w:b w:val="0"/>
          <w:bCs w:val="0"/>
        </w:rPr>
      </w:pPr>
      <w:r>
        <w:rPr>
          <w:w w:val="95"/>
        </w:rPr>
        <w:t>十三</w:t>
        <w:tab/>
      </w:r>
      <w:r>
        <w:rPr/>
        <w:t>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9"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8532" w:val="left" w:leader="none"/>
        </w:tabs>
        <w:spacing w:line="322" w:lineRule="exact" w:before="26"/>
        <w:ind w:left="5246"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8443" w:val="left" w:leader="none"/>
        </w:tabs>
        <w:spacing w:line="322" w:lineRule="exact"/>
        <w:ind w:left="5121" w:right="0"/>
        <w:jc w:val="center"/>
        <w:rPr>
          <w:rFonts w:ascii="Arial" w:hAnsi="Arial" w:cs="Arial" w:eastAsia="Arial" w:hint="default"/>
        </w:rPr>
      </w:pPr>
      <w:r>
        <w:rPr>
          <w:rFonts w:ascii="Arial" w:hAnsi="Arial" w:cs="Arial" w:eastAsia="Arial" w:hint="default"/>
          <w:w w:val="95"/>
        </w:rPr>
        <w:t>(</w:t>
      </w:r>
      <w:r>
        <w:rPr>
          <w:w w:val="95"/>
        </w:rPr>
        <w:t>人民币千元</w:t>
      </w:r>
      <w:r>
        <w:rPr>
          <w:rFonts w:ascii="Arial" w:hAnsi="Arial" w:cs="Arial" w:eastAsia="Arial" w:hint="default"/>
          <w:w w:val="95"/>
        </w:rPr>
        <w:t>)</w:t>
        <w:tab/>
      </w:r>
      <w:r>
        <w:rPr>
          <w:rFonts w:ascii="Arial" w:hAnsi="Arial" w:cs="Arial" w:eastAsia="Arial" w:hint="default"/>
        </w:rPr>
        <w:t>(</w:t>
      </w:r>
      <w:r>
        <w:rPr/>
        <w:t>人民币千元</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5349" w:val="left" w:leader="none"/>
          <w:tab w:pos="8634" w:val="left" w:leader="none"/>
        </w:tabs>
        <w:spacing w:line="313" w:lineRule="exact"/>
        <w:ind w:left="809" w:right="0"/>
        <w:jc w:val="left"/>
        <w:rPr>
          <w:rFonts w:ascii="Arial" w:hAnsi="Arial" w:cs="Arial" w:eastAsia="Arial" w:hint="default"/>
        </w:rPr>
      </w:pPr>
      <w:r>
        <w:rPr/>
        <w:t>主营业务收入</w:t>
        <w:tab/>
      </w:r>
      <w:r>
        <w:rPr>
          <w:rFonts w:ascii="Arial" w:hAnsi="Arial" w:cs="Arial" w:eastAsia="Arial" w:hint="default"/>
          <w:spacing w:val="-1"/>
          <w:position w:val="2"/>
        </w:rPr>
        <w:t>35,042,526</w:t>
        <w:tab/>
        <w:t>30,901,056</w:t>
      </w:r>
      <w:r>
        <w:rPr>
          <w:rFonts w:ascii="Arial" w:hAnsi="Arial" w:cs="Arial" w:eastAsia="Arial" w:hint="default"/>
        </w:rPr>
      </w:r>
    </w:p>
    <w:p>
      <w:pPr>
        <w:pStyle w:val="BodyText"/>
        <w:tabs>
          <w:tab w:pos="5683" w:val="left" w:leader="none"/>
          <w:tab w:pos="8969" w:val="left" w:leader="none"/>
        </w:tabs>
        <w:spacing w:line="313" w:lineRule="exact"/>
        <w:ind w:left="809" w:right="0"/>
        <w:jc w:val="left"/>
        <w:rPr>
          <w:rFonts w:ascii="Arial" w:hAnsi="Arial" w:cs="Arial" w:eastAsia="Arial" w:hint="default"/>
        </w:rPr>
      </w:pPr>
      <w:r>
        <w:rPr/>
        <w:t>其他业务收入</w:t>
        <w:tab/>
      </w:r>
      <w:r>
        <w:rPr>
          <w:rFonts w:ascii="Arial" w:hAnsi="Arial" w:cs="Arial" w:eastAsia="Arial" w:hint="default"/>
          <w:spacing w:val="-1"/>
          <w:position w:val="2"/>
        </w:rPr>
        <w:t>315,701</w:t>
        <w:tab/>
        <w:t>294,623</w:t>
      </w:r>
      <w:r>
        <w:rPr>
          <w:rFonts w:ascii="Arial" w:hAnsi="Arial" w:cs="Arial" w:eastAsia="Arial" w:hint="default"/>
        </w:rPr>
      </w:r>
    </w:p>
    <w:p>
      <w:pPr>
        <w:spacing w:line="240" w:lineRule="auto" w:before="3"/>
        <w:rPr>
          <w:rFonts w:ascii="Arial" w:hAnsi="Arial" w:cs="Arial" w:eastAsia="Arial" w:hint="default"/>
          <w:sz w:val="3"/>
          <w:szCs w:val="3"/>
        </w:rPr>
      </w:pPr>
    </w:p>
    <w:p>
      <w:pPr>
        <w:tabs>
          <w:tab w:pos="7229" w:val="left" w:leader="none"/>
        </w:tabs>
        <w:spacing w:line="20" w:lineRule="exact"/>
        <w:ind w:left="4101" w:right="0" w:firstLine="0"/>
        <w:rPr>
          <w:rFonts w:ascii="Arial" w:hAnsi="Arial" w:cs="Arial" w:eastAsia="Arial" w:hint="default"/>
          <w:sz w:val="2"/>
          <w:szCs w:val="2"/>
        </w:rPr>
      </w:pPr>
      <w:r>
        <w:rPr>
          <w:rFonts w:ascii="Arial"/>
          <w:sz w:val="2"/>
        </w:rPr>
        <w:pict>
          <v:group style="width:127.75pt;height:.5pt;mso-position-horizontal-relative:char;mso-position-vertical-relative:line" coordorigin="0,0" coordsize="2555,10">
            <v:group style="position:absolute;left:5;top:5;width:2546;height:2" coordorigin="5,5" coordsize="2546,2">
              <v:shape style="position:absolute;left:5;top:5;width:2546;height:2" coordorigin="5,5" coordsize="2546,0" path="m5,5l2550,5e" filled="false" stroked="true" strokeweight=".48004pt" strokecolor="#000000">
                <v:path arrowok="t"/>
              </v:shape>
            </v:group>
          </v:group>
        </w:pict>
      </w:r>
      <w:r>
        <w:rPr>
          <w:rFonts w:ascii="Arial"/>
          <w:sz w:val="2"/>
        </w:rPr>
      </w:r>
      <w:r>
        <w:rPr>
          <w:rFonts w:ascii="Arial"/>
          <w:sz w:val="2"/>
        </w:rPr>
        <w:tab/>
      </w:r>
      <w:r>
        <w:rPr>
          <w:rFonts w:ascii="Arial"/>
          <w:sz w:val="2"/>
        </w:rPr>
        <w:pict>
          <v:group style="width:135.550pt;height:.5pt;mso-position-horizontal-relative:char;mso-position-vertical-relative:line" coordorigin="0,0" coordsize="2711,10">
            <v:group style="position:absolute;left:5;top:5;width:2702;height:2" coordorigin="5,5" coordsize="2702,2">
              <v:shape style="position:absolute;left:5;top:5;width:2702;height:2" coordorigin="5,5" coordsize="2702,0" path="m5,5l2706,5e" filled="false" stroked="true" strokeweight=".48004pt" strokecolor="#000000">
                <v:path arrowok="t"/>
              </v:shape>
            </v:group>
          </v:group>
        </w:pict>
      </w:r>
      <w:r>
        <w:rPr>
          <w:rFonts w:ascii="Arial"/>
          <w:sz w:val="2"/>
        </w:rPr>
      </w:r>
    </w:p>
    <w:p>
      <w:pPr>
        <w:pStyle w:val="BodyText"/>
        <w:tabs>
          <w:tab w:pos="8403" w:val="left" w:leader="none"/>
        </w:tabs>
        <w:spacing w:line="240" w:lineRule="auto"/>
        <w:ind w:left="5118" w:right="0"/>
        <w:jc w:val="center"/>
        <w:rPr>
          <w:rFonts w:ascii="Arial" w:hAnsi="Arial" w:cs="Arial" w:eastAsia="Arial" w:hint="default"/>
        </w:rPr>
      </w:pPr>
      <w:r>
        <w:rPr>
          <w:rFonts w:ascii="Arial"/>
          <w:spacing w:val="-1"/>
        </w:rPr>
        <w:t>35,358,227</w:t>
        <w:tab/>
        <w:t>31,195,679</w:t>
      </w:r>
      <w:r>
        <w:rPr>
          <w:rFonts w:ascii="Arial"/>
        </w:rPr>
      </w:r>
    </w:p>
    <w:p>
      <w:pPr>
        <w:tabs>
          <w:tab w:pos="7219" w:val="left" w:leader="none"/>
        </w:tabs>
        <w:spacing w:line="30" w:lineRule="exact"/>
        <w:ind w:left="4091" w:right="0" w:firstLine="0"/>
        <w:rPr>
          <w:rFonts w:ascii="Arial" w:hAnsi="Arial" w:cs="Arial" w:eastAsia="Arial" w:hint="default"/>
          <w:sz w:val="3"/>
          <w:szCs w:val="3"/>
        </w:rPr>
      </w:pPr>
      <w:r>
        <w:rPr>
          <w:rFonts w:ascii="Arial"/>
          <w:position w:val="0"/>
          <w:sz w:val="3"/>
        </w:rPr>
        <w:pict>
          <v:group style="width:128.8pt;height:1.5pt;mso-position-horizontal-relative:char;mso-position-vertical-relative:line" coordorigin="0,0" coordsize="2576,30">
            <v:group style="position:absolute;left:15;top:15;width:2546;height:2" coordorigin="15,15" coordsize="2546,2">
              <v:shape style="position:absolute;left:15;top:15;width:2546;height:2" coordorigin="15,15" coordsize="2546,0" path="m15,15l2560,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36.6pt;height:1.5pt;mso-position-horizontal-relative:char;mso-position-vertical-relative:line" coordorigin="0,0" coordsize="2732,30">
            <v:group style="position:absolute;left:15;top:15;width:2702;height:2" coordorigin="15,15" coordsize="2702,2">
              <v:shape style="position:absolute;left:15;top:15;width:2702;height:2" coordorigin="15,15" coordsize="2702,0" path="m15,15l2716,15e" filled="false" stroked="true" strokeweight="1.5pt" strokecolor="#000000">
                <v:path arrowok="t"/>
              </v:shape>
            </v:group>
          </v:group>
        </w:pict>
      </w:r>
      <w:r>
        <w:rPr>
          <w:rFonts w:ascii="Arial"/>
          <w:position w:val="0"/>
          <w:sz w:val="3"/>
        </w:rPr>
      </w:r>
    </w:p>
    <w:p>
      <w:pPr>
        <w:spacing w:line="240" w:lineRule="auto" w:before="1"/>
        <w:rPr>
          <w:rFonts w:ascii="Arial" w:hAnsi="Arial" w:cs="Arial" w:eastAsia="Arial" w:hint="default"/>
          <w:sz w:val="18"/>
          <w:szCs w:val="18"/>
        </w:rPr>
      </w:pPr>
    </w:p>
    <w:p>
      <w:pPr>
        <w:pStyle w:val="BodyText"/>
        <w:tabs>
          <w:tab w:pos="5349" w:val="left" w:leader="none"/>
          <w:tab w:pos="8633" w:val="left" w:leader="none"/>
        </w:tabs>
        <w:spacing w:line="313" w:lineRule="exact" w:before="32"/>
        <w:ind w:left="809" w:right="0"/>
        <w:jc w:val="left"/>
        <w:rPr>
          <w:rFonts w:ascii="Arial" w:hAnsi="Arial" w:cs="Arial" w:eastAsia="Arial" w:hint="default"/>
        </w:rPr>
      </w:pPr>
      <w:r>
        <w:rPr/>
        <w:t>主营业务成本</w:t>
        <w:tab/>
      </w:r>
      <w:r>
        <w:rPr>
          <w:rFonts w:ascii="Arial" w:hAnsi="Arial" w:cs="Arial" w:eastAsia="Arial" w:hint="default"/>
          <w:spacing w:val="-1"/>
          <w:position w:val="2"/>
        </w:rPr>
        <w:t>32,952,704</w:t>
        <w:tab/>
        <w:t>29,291,217</w:t>
      </w:r>
      <w:r>
        <w:rPr>
          <w:rFonts w:ascii="Arial" w:hAnsi="Arial" w:cs="Arial" w:eastAsia="Arial" w:hint="default"/>
        </w:rPr>
      </w:r>
    </w:p>
    <w:p>
      <w:pPr>
        <w:pStyle w:val="BodyText"/>
        <w:tabs>
          <w:tab w:pos="5950" w:val="left" w:leader="none"/>
          <w:tab w:pos="9235" w:val="left" w:leader="none"/>
        </w:tabs>
        <w:spacing w:line="313" w:lineRule="exact"/>
        <w:ind w:left="809" w:right="0"/>
        <w:jc w:val="left"/>
        <w:rPr>
          <w:rFonts w:ascii="Arial" w:hAnsi="Arial" w:cs="Arial" w:eastAsia="Arial" w:hint="default"/>
        </w:rPr>
      </w:pPr>
      <w:r>
        <w:rPr/>
        <w:t>其他业务成本</w:t>
        <w:tab/>
      </w:r>
      <w:r>
        <w:rPr>
          <w:rFonts w:ascii="Arial" w:hAnsi="Arial" w:cs="Arial" w:eastAsia="Arial" w:hint="default"/>
          <w:spacing w:val="-1"/>
          <w:position w:val="2"/>
        </w:rPr>
        <w:t>1,033</w:t>
        <w:tab/>
        <w:t>1,055</w:t>
      </w:r>
      <w:r>
        <w:rPr>
          <w:rFonts w:ascii="Arial" w:hAnsi="Arial" w:cs="Arial" w:eastAsia="Arial" w:hint="default"/>
        </w:rPr>
      </w:r>
    </w:p>
    <w:p>
      <w:pPr>
        <w:spacing w:line="240" w:lineRule="auto" w:before="3"/>
        <w:rPr>
          <w:rFonts w:ascii="Arial" w:hAnsi="Arial" w:cs="Arial" w:eastAsia="Arial" w:hint="default"/>
          <w:sz w:val="3"/>
          <w:szCs w:val="3"/>
        </w:rPr>
      </w:pPr>
    </w:p>
    <w:p>
      <w:pPr>
        <w:tabs>
          <w:tab w:pos="7229" w:val="left" w:leader="none"/>
        </w:tabs>
        <w:spacing w:line="20" w:lineRule="exact"/>
        <w:ind w:left="4101" w:right="0" w:firstLine="0"/>
        <w:rPr>
          <w:rFonts w:ascii="Arial" w:hAnsi="Arial" w:cs="Arial" w:eastAsia="Arial" w:hint="default"/>
          <w:sz w:val="2"/>
          <w:szCs w:val="2"/>
        </w:rPr>
      </w:pPr>
      <w:r>
        <w:rPr>
          <w:rFonts w:ascii="Arial"/>
          <w:sz w:val="2"/>
        </w:rPr>
        <w:pict>
          <v:group style="width:127.75pt;height:.5pt;mso-position-horizontal-relative:char;mso-position-vertical-relative:line" coordorigin="0,0" coordsize="2555,10">
            <v:group style="position:absolute;left:5;top:5;width:2546;height:2" coordorigin="5,5" coordsize="2546,2">
              <v:shape style="position:absolute;left:5;top:5;width:2546;height:2" coordorigin="5,5" coordsize="2546,0" path="m5,5l2550,5e" filled="false" stroked="true" strokeweight=".47998pt" strokecolor="#000000">
                <v:path arrowok="t"/>
              </v:shape>
            </v:group>
          </v:group>
        </w:pict>
      </w:r>
      <w:r>
        <w:rPr>
          <w:rFonts w:ascii="Arial"/>
          <w:sz w:val="2"/>
        </w:rPr>
      </w:r>
      <w:r>
        <w:rPr>
          <w:rFonts w:ascii="Arial"/>
          <w:sz w:val="2"/>
        </w:rPr>
        <w:tab/>
      </w:r>
      <w:r>
        <w:rPr>
          <w:rFonts w:ascii="Arial"/>
          <w:sz w:val="2"/>
        </w:rPr>
        <w:pict>
          <v:group style="width:135.550pt;height:.5pt;mso-position-horizontal-relative:char;mso-position-vertical-relative:line" coordorigin="0,0" coordsize="2711,10">
            <v:group style="position:absolute;left:5;top:5;width:2702;height:2" coordorigin="5,5" coordsize="2702,2">
              <v:shape style="position:absolute;left:5;top:5;width:2702;height:2" coordorigin="5,5" coordsize="2702,0" path="m5,5l2706,5e" filled="false" stroked="true" strokeweight=".47998pt" strokecolor="#000000">
                <v:path arrowok="t"/>
              </v:shape>
            </v:group>
          </v:group>
        </w:pict>
      </w:r>
      <w:r>
        <w:rPr>
          <w:rFonts w:ascii="Arial"/>
          <w:sz w:val="2"/>
        </w:rPr>
      </w:r>
    </w:p>
    <w:p>
      <w:pPr>
        <w:pStyle w:val="BodyText"/>
        <w:tabs>
          <w:tab w:pos="8634" w:val="left" w:leader="none"/>
        </w:tabs>
        <w:spacing w:line="240" w:lineRule="auto"/>
        <w:ind w:left="5349" w:right="0"/>
        <w:jc w:val="left"/>
        <w:rPr>
          <w:rFonts w:ascii="Arial" w:hAnsi="Arial" w:cs="Arial" w:eastAsia="Arial" w:hint="default"/>
        </w:rPr>
      </w:pPr>
      <w:r>
        <w:rPr>
          <w:rFonts w:ascii="Arial"/>
          <w:spacing w:val="-1"/>
        </w:rPr>
        <w:t>32,953,737</w:t>
        <w:tab/>
        <w:t>29,292,272</w:t>
      </w:r>
      <w:r>
        <w:rPr>
          <w:rFonts w:ascii="Arial"/>
        </w:rPr>
      </w:r>
    </w:p>
    <w:p>
      <w:pPr>
        <w:tabs>
          <w:tab w:pos="7212" w:val="left" w:leader="none"/>
        </w:tabs>
        <w:spacing w:line="30" w:lineRule="exact"/>
        <w:ind w:left="4083" w:right="0" w:firstLine="0"/>
        <w:rPr>
          <w:rFonts w:ascii="Arial" w:hAnsi="Arial" w:cs="Arial" w:eastAsia="Arial" w:hint="default"/>
          <w:sz w:val="3"/>
          <w:szCs w:val="3"/>
        </w:rPr>
      </w:pPr>
      <w:r>
        <w:rPr>
          <w:rFonts w:ascii="Arial"/>
          <w:position w:val="0"/>
          <w:sz w:val="3"/>
        </w:rPr>
        <w:pict>
          <v:group style="width:129.5pt;height:1.5pt;mso-position-horizontal-relative:char;mso-position-vertical-relative:line" coordorigin="0,0" coordsize="2590,30">
            <v:group style="position:absolute;left:15;top:15;width:2560;height:2" coordorigin="15,15" coordsize="2560,2">
              <v:shape style="position:absolute;left:15;top:15;width:2560;height:2" coordorigin="15,15" coordsize="2560,0" path="m15,15l257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37.3pt;height:1.5pt;mso-position-horizontal-relative:char;mso-position-vertical-relative:line" coordorigin="0,0" coordsize="2746,30">
            <v:group style="position:absolute;left:15;top:15;width:2716;height:2" coordorigin="15,15" coordsize="2716,2">
              <v:shape style="position:absolute;left:15;top:15;width:2716;height:2" coordorigin="15,15" coordsize="2716,0" path="m15,15l2731,15e" filled="false" stroked="true" strokeweight="1.5pt" strokecolor="#000000">
                <v:path arrowok="t"/>
              </v:shape>
            </v:group>
          </v:group>
        </w:pict>
      </w:r>
      <w:r>
        <w:rPr>
          <w:rFonts w:ascii="Arial"/>
          <w:position w:val="0"/>
          <w:sz w:val="3"/>
        </w:rPr>
      </w:r>
    </w:p>
    <w:p>
      <w:pPr>
        <w:spacing w:line="240" w:lineRule="auto" w:before="9"/>
        <w:rPr>
          <w:rFonts w:ascii="Arial" w:hAnsi="Arial" w:cs="Arial" w:eastAsia="Arial" w:hint="default"/>
          <w:sz w:val="14"/>
          <w:szCs w:val="14"/>
        </w:rPr>
      </w:pPr>
    </w:p>
    <w:p>
      <w:pPr>
        <w:pStyle w:val="BodyText"/>
        <w:tabs>
          <w:tab w:pos="809" w:val="left" w:leader="none"/>
        </w:tabs>
        <w:spacing w:line="240" w:lineRule="auto" w:before="32"/>
        <w:ind w:left="102" w:right="0"/>
        <w:jc w:val="left"/>
      </w:pPr>
      <w:r>
        <w:rPr>
          <w:rFonts w:ascii="Arial" w:hAnsi="Arial" w:cs="Arial" w:eastAsia="Arial" w:hint="default"/>
          <w:w w:val="95"/>
          <w:position w:val="2"/>
        </w:rPr>
        <w:t>(a)</w:t>
        <w:tab/>
      </w:r>
      <w:r>
        <w:rPr/>
        <w:t>主营业务收入和主营业务成本</w:t>
      </w:r>
    </w:p>
    <w:p>
      <w:pPr>
        <w:spacing w:line="240" w:lineRule="auto" w:before="12"/>
        <w:rPr>
          <w:rFonts w:ascii="宋体" w:hAnsi="宋体" w:cs="宋体" w:eastAsia="宋体" w:hint="default"/>
          <w:sz w:val="20"/>
          <w:szCs w:val="20"/>
        </w:rPr>
      </w:pPr>
    </w:p>
    <w:p>
      <w:pPr>
        <w:pStyle w:val="BodyText"/>
        <w:tabs>
          <w:tab w:pos="6345" w:val="left" w:leader="none"/>
        </w:tabs>
        <w:spacing w:line="322" w:lineRule="exact"/>
        <w:ind w:left="2726" w:right="0"/>
        <w:jc w:val="center"/>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p>
      <w:pPr>
        <w:pStyle w:val="BodyText"/>
        <w:tabs>
          <w:tab w:pos="4566" w:val="left" w:leader="none"/>
          <w:tab w:pos="6465" w:val="left" w:leader="none"/>
          <w:tab w:pos="8165" w:val="left" w:leader="none"/>
        </w:tabs>
        <w:spacing w:line="303" w:lineRule="exact"/>
        <w:ind w:left="2858" w:right="0"/>
        <w:jc w:val="center"/>
      </w:pPr>
      <w:r>
        <w:rPr/>
        <w:t>主营业务收入</w:t>
        <w:tab/>
        <w:t>主营业务成本</w:t>
        <w:tab/>
        <w:t>主营业务收入</w:t>
        <w:tab/>
        <w:t>主营业务成本</w:t>
      </w:r>
    </w:p>
    <w:p>
      <w:pPr>
        <w:pStyle w:val="BodyText"/>
        <w:spacing w:line="330" w:lineRule="exact"/>
        <w:ind w:left="2709" w:right="0"/>
        <w:jc w:val="center"/>
        <w:rPr>
          <w:rFonts w:ascii="Arial" w:hAnsi="Arial" w:cs="Arial" w:eastAsia="Arial" w:hint="default"/>
        </w:rPr>
      </w:pPr>
      <w:r>
        <w:rPr>
          <w:rFonts w:ascii="Arial" w:hAnsi="Arial" w:cs="Arial" w:eastAsia="Arial" w:hint="default"/>
        </w:rPr>
        <w:t>(</w:t>
      </w:r>
      <w:r>
        <w:rPr/>
        <w:t>人民币千元</w:t>
      </w:r>
      <w:r>
        <w:rPr>
          <w:rFonts w:ascii="Arial" w:hAnsi="Arial" w:cs="Arial" w:eastAsia="Arial" w:hint="default"/>
        </w:rPr>
        <w:t>)</w:t>
      </w:r>
    </w:p>
    <w:p>
      <w:pPr>
        <w:spacing w:line="240" w:lineRule="auto" w:before="1"/>
        <w:rPr>
          <w:rFonts w:ascii="Arial" w:hAnsi="Arial" w:cs="Arial" w:eastAsia="Arial" w:hint="default"/>
          <w:sz w:val="20"/>
          <w:szCs w:val="20"/>
        </w:rPr>
      </w:pPr>
    </w:p>
    <w:tbl>
      <w:tblPr>
        <w:tblW w:w="0" w:type="auto"/>
        <w:jc w:val="left"/>
        <w:tblInd w:w="774" w:type="dxa"/>
        <w:tblLayout w:type="fixed"/>
        <w:tblCellMar>
          <w:top w:w="0" w:type="dxa"/>
          <w:left w:w="0" w:type="dxa"/>
          <w:bottom w:w="0" w:type="dxa"/>
          <w:right w:w="0" w:type="dxa"/>
        </w:tblCellMar>
        <w:tblLook w:val="01E0"/>
      </w:tblPr>
      <w:tblGrid>
        <w:gridCol w:w="2047"/>
        <w:gridCol w:w="1984"/>
        <w:gridCol w:w="1823"/>
        <w:gridCol w:w="1818"/>
        <w:gridCol w:w="1419"/>
      </w:tblGrid>
      <w:tr>
        <w:trPr>
          <w:trHeight w:val="391"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1"/>
              <w:jc w:val="right"/>
              <w:rPr>
                <w:rFonts w:ascii="Arial" w:hAnsi="Arial" w:cs="Arial" w:eastAsia="Arial" w:hint="default"/>
                <w:sz w:val="24"/>
                <w:szCs w:val="24"/>
              </w:rPr>
            </w:pPr>
            <w:r>
              <w:rPr>
                <w:rFonts w:ascii="Arial"/>
                <w:spacing w:val="-3"/>
                <w:sz w:val="24"/>
              </w:rPr>
              <w:t>11,048,481</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1"/>
              <w:jc w:val="right"/>
              <w:rPr>
                <w:rFonts w:ascii="Arial" w:hAnsi="Arial" w:cs="Arial" w:eastAsia="Arial" w:hint="default"/>
                <w:sz w:val="24"/>
                <w:szCs w:val="24"/>
              </w:rPr>
            </w:pPr>
            <w:r>
              <w:rPr>
                <w:rFonts w:ascii="Arial"/>
                <w:spacing w:val="-1"/>
                <w:w w:val="95"/>
                <w:sz w:val="24"/>
              </w:rPr>
              <w:t>9,990,394</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6"/>
              <w:jc w:val="right"/>
              <w:rPr>
                <w:rFonts w:ascii="Arial" w:hAnsi="Arial" w:cs="Arial" w:eastAsia="Arial" w:hint="default"/>
                <w:sz w:val="24"/>
                <w:szCs w:val="24"/>
              </w:rPr>
            </w:pPr>
            <w:r>
              <w:rPr>
                <w:rFonts w:ascii="Arial"/>
                <w:spacing w:val="-1"/>
                <w:sz w:val="24"/>
              </w:rPr>
              <w:t>9,691,877</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24"/>
                <w:szCs w:val="24"/>
              </w:rPr>
            </w:pPr>
            <w:r>
              <w:rPr>
                <w:rFonts w:ascii="Arial"/>
                <w:spacing w:val="-1"/>
                <w:w w:val="95"/>
                <w:sz w:val="24"/>
              </w:rPr>
              <w:t>9,016,631</w:t>
            </w:r>
            <w:r>
              <w:rPr>
                <w:rFonts w:ascii="Arial"/>
                <w:sz w:val="24"/>
              </w:rPr>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1"/>
              <w:jc w:val="right"/>
              <w:rPr>
                <w:rFonts w:ascii="Arial" w:hAnsi="Arial" w:cs="Arial" w:eastAsia="Arial" w:hint="default"/>
                <w:sz w:val="24"/>
                <w:szCs w:val="24"/>
              </w:rPr>
            </w:pPr>
            <w:r>
              <w:rPr>
                <w:rFonts w:ascii="Arial"/>
                <w:spacing w:val="-1"/>
                <w:w w:val="95"/>
                <w:sz w:val="24"/>
              </w:rPr>
              <w:t>6,921,650</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1"/>
              <w:jc w:val="right"/>
              <w:rPr>
                <w:rFonts w:ascii="Arial" w:hAnsi="Arial" w:cs="Arial" w:eastAsia="Arial" w:hint="default"/>
                <w:sz w:val="24"/>
                <w:szCs w:val="24"/>
              </w:rPr>
            </w:pPr>
            <w:r>
              <w:rPr>
                <w:rFonts w:ascii="Arial"/>
                <w:spacing w:val="-1"/>
                <w:w w:val="95"/>
                <w:sz w:val="24"/>
              </w:rPr>
              <w:t>6,503,399</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4"/>
              <w:jc w:val="right"/>
              <w:rPr>
                <w:rFonts w:ascii="Arial" w:hAnsi="Arial" w:cs="Arial" w:eastAsia="Arial" w:hint="default"/>
                <w:sz w:val="24"/>
                <w:szCs w:val="24"/>
              </w:rPr>
            </w:pPr>
            <w:r>
              <w:rPr>
                <w:rFonts w:ascii="Arial"/>
                <w:w w:val="95"/>
                <w:sz w:val="24"/>
              </w:rPr>
              <w:t>5,953,474</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3"/>
                <w:sz w:val="24"/>
              </w:rPr>
              <w:t>5,678,114</w:t>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0"/>
              <w:jc w:val="right"/>
              <w:rPr>
                <w:rFonts w:ascii="Arial" w:hAnsi="Arial" w:cs="Arial" w:eastAsia="Arial" w:hint="default"/>
                <w:sz w:val="24"/>
                <w:szCs w:val="24"/>
              </w:rPr>
            </w:pPr>
            <w:r>
              <w:rPr>
                <w:rFonts w:ascii="Arial"/>
                <w:spacing w:val="-1"/>
                <w:w w:val="95"/>
                <w:sz w:val="24"/>
              </w:rPr>
              <w:t>5,410,055</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2"/>
              <w:jc w:val="right"/>
              <w:rPr>
                <w:rFonts w:ascii="Arial" w:hAnsi="Arial" w:cs="Arial" w:eastAsia="Arial" w:hint="default"/>
                <w:sz w:val="24"/>
                <w:szCs w:val="24"/>
              </w:rPr>
            </w:pPr>
            <w:r>
              <w:rPr>
                <w:rFonts w:ascii="Arial"/>
                <w:spacing w:val="-1"/>
                <w:w w:val="95"/>
                <w:sz w:val="24"/>
              </w:rPr>
              <w:t>5,200,618</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4"/>
              <w:jc w:val="right"/>
              <w:rPr>
                <w:rFonts w:ascii="Arial" w:hAnsi="Arial" w:cs="Arial" w:eastAsia="Arial" w:hint="default"/>
                <w:sz w:val="24"/>
                <w:szCs w:val="24"/>
              </w:rPr>
            </w:pPr>
            <w:r>
              <w:rPr>
                <w:rFonts w:ascii="Arial"/>
                <w:spacing w:val="-1"/>
                <w:sz w:val="24"/>
              </w:rPr>
              <w:t>5,138,326</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4,906,584</w:t>
            </w:r>
            <w:r>
              <w:rPr>
                <w:rFonts w:ascii="Arial"/>
                <w:sz w:val="24"/>
              </w:rPr>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0"/>
              <w:jc w:val="right"/>
              <w:rPr>
                <w:rFonts w:ascii="Arial" w:hAnsi="Arial" w:cs="Arial" w:eastAsia="Arial" w:hint="default"/>
                <w:sz w:val="24"/>
                <w:szCs w:val="24"/>
              </w:rPr>
            </w:pPr>
            <w:r>
              <w:rPr>
                <w:rFonts w:ascii="Arial"/>
                <w:spacing w:val="-1"/>
                <w:w w:val="95"/>
                <w:sz w:val="24"/>
              </w:rPr>
              <w:t>4,905,664</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2"/>
              <w:jc w:val="right"/>
              <w:rPr>
                <w:rFonts w:ascii="Arial" w:hAnsi="Arial" w:cs="Arial" w:eastAsia="Arial" w:hint="default"/>
                <w:sz w:val="24"/>
                <w:szCs w:val="24"/>
              </w:rPr>
            </w:pPr>
            <w:r>
              <w:rPr>
                <w:rFonts w:ascii="Arial"/>
                <w:spacing w:val="-1"/>
                <w:w w:val="95"/>
                <w:sz w:val="24"/>
              </w:rPr>
              <w:t>4,717,428</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4"/>
              <w:jc w:val="right"/>
              <w:rPr>
                <w:rFonts w:ascii="Arial" w:hAnsi="Arial" w:cs="Arial" w:eastAsia="Arial" w:hint="default"/>
                <w:sz w:val="24"/>
                <w:szCs w:val="24"/>
              </w:rPr>
            </w:pPr>
            <w:r>
              <w:rPr>
                <w:rFonts w:ascii="Arial"/>
                <w:spacing w:val="-1"/>
                <w:sz w:val="24"/>
              </w:rPr>
              <w:t>4,918,956</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4,732,530</w:t>
            </w:r>
            <w:r>
              <w:rPr>
                <w:rFonts w:ascii="Arial"/>
                <w:sz w:val="24"/>
              </w:rPr>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78" w:lineRule="exact"/>
              <w:ind w:left="35"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1"/>
              <w:jc w:val="right"/>
              <w:rPr>
                <w:rFonts w:ascii="Arial" w:hAnsi="Arial" w:cs="Arial" w:eastAsia="Arial" w:hint="default"/>
                <w:sz w:val="24"/>
                <w:szCs w:val="24"/>
              </w:rPr>
            </w:pPr>
            <w:r>
              <w:rPr>
                <w:rFonts w:ascii="Arial"/>
                <w:spacing w:val="-1"/>
                <w:w w:val="95"/>
                <w:sz w:val="24"/>
              </w:rPr>
              <w:t>5,109,619</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1"/>
              <w:jc w:val="right"/>
              <w:rPr>
                <w:rFonts w:ascii="Arial" w:hAnsi="Arial" w:cs="Arial" w:eastAsia="Arial" w:hint="default"/>
                <w:sz w:val="24"/>
                <w:szCs w:val="24"/>
              </w:rPr>
            </w:pPr>
            <w:r>
              <w:rPr>
                <w:rFonts w:ascii="Arial"/>
                <w:spacing w:val="-1"/>
                <w:w w:val="95"/>
                <w:sz w:val="24"/>
              </w:rPr>
              <w:t>5,048,390</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6"/>
              <w:jc w:val="right"/>
              <w:rPr>
                <w:rFonts w:ascii="Arial" w:hAnsi="Arial" w:cs="Arial" w:eastAsia="Arial" w:hint="default"/>
                <w:sz w:val="24"/>
                <w:szCs w:val="24"/>
              </w:rPr>
            </w:pPr>
            <w:r>
              <w:rPr>
                <w:rFonts w:ascii="Arial"/>
                <w:spacing w:val="-1"/>
                <w:sz w:val="24"/>
              </w:rPr>
              <w:t>3,823,630</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3,748,398</w:t>
            </w:r>
            <w:r>
              <w:rPr>
                <w:rFonts w:ascii="Arial"/>
                <w:sz w:val="24"/>
              </w:rPr>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0"/>
              <w:jc w:val="right"/>
              <w:rPr>
                <w:rFonts w:ascii="Arial" w:hAnsi="Arial" w:cs="Arial" w:eastAsia="Arial" w:hint="default"/>
                <w:sz w:val="24"/>
                <w:szCs w:val="24"/>
              </w:rPr>
            </w:pPr>
            <w:r>
              <w:rPr>
                <w:rFonts w:ascii="Arial"/>
                <w:spacing w:val="-1"/>
                <w:w w:val="95"/>
                <w:sz w:val="24"/>
              </w:rPr>
              <w:t>1,591,168</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2"/>
              <w:jc w:val="right"/>
              <w:rPr>
                <w:rFonts w:ascii="Arial" w:hAnsi="Arial" w:cs="Arial" w:eastAsia="Arial" w:hint="default"/>
                <w:sz w:val="24"/>
                <w:szCs w:val="24"/>
              </w:rPr>
            </w:pPr>
            <w:r>
              <w:rPr>
                <w:rFonts w:ascii="Arial"/>
                <w:spacing w:val="-1"/>
                <w:w w:val="95"/>
                <w:sz w:val="24"/>
              </w:rPr>
              <w:t>1,458,677</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4"/>
              <w:jc w:val="right"/>
              <w:rPr>
                <w:rFonts w:ascii="Arial" w:hAnsi="Arial" w:cs="Arial" w:eastAsia="Arial" w:hint="default"/>
                <w:sz w:val="24"/>
                <w:szCs w:val="24"/>
              </w:rPr>
            </w:pPr>
            <w:r>
              <w:rPr>
                <w:rFonts w:ascii="Arial"/>
                <w:spacing w:val="-1"/>
                <w:sz w:val="24"/>
              </w:rPr>
              <w:t>1,323,237</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1,196,751</w:t>
            </w:r>
            <w:r>
              <w:rPr>
                <w:rFonts w:ascii="Arial"/>
                <w:sz w:val="24"/>
              </w:rPr>
            </w:r>
          </w:p>
        </w:tc>
      </w:tr>
      <w:tr>
        <w:trPr>
          <w:trHeight w:val="306"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0"/>
              <w:jc w:val="right"/>
              <w:rPr>
                <w:rFonts w:ascii="Arial" w:hAnsi="Arial" w:cs="Arial" w:eastAsia="Arial" w:hint="default"/>
                <w:sz w:val="24"/>
                <w:szCs w:val="24"/>
              </w:rPr>
            </w:pPr>
            <w:r>
              <w:rPr>
                <w:rFonts w:ascii="Arial"/>
                <w:spacing w:val="-1"/>
                <w:w w:val="95"/>
                <w:sz w:val="24"/>
              </w:rPr>
              <w:t>55,889</w:t>
            </w:r>
            <w:r>
              <w:rPr>
                <w:rFonts w:ascii="Arial"/>
                <w:sz w:val="24"/>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0"/>
              <w:jc w:val="right"/>
              <w:rPr>
                <w:rFonts w:ascii="Arial" w:hAnsi="Arial" w:cs="Arial" w:eastAsia="Arial" w:hint="default"/>
                <w:sz w:val="24"/>
                <w:szCs w:val="24"/>
              </w:rPr>
            </w:pPr>
            <w:r>
              <w:rPr>
                <w:rFonts w:ascii="Arial"/>
                <w:spacing w:val="-1"/>
                <w:w w:val="95"/>
                <w:sz w:val="24"/>
              </w:rPr>
              <w:t>33,798</w:t>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5"/>
              <w:jc w:val="right"/>
              <w:rPr>
                <w:rFonts w:ascii="Arial" w:hAnsi="Arial" w:cs="Arial" w:eastAsia="Arial" w:hint="default"/>
                <w:sz w:val="24"/>
                <w:szCs w:val="24"/>
              </w:rPr>
            </w:pPr>
            <w:r>
              <w:rPr>
                <w:rFonts w:ascii="Arial"/>
                <w:spacing w:val="-1"/>
                <w:w w:val="95"/>
                <w:sz w:val="24"/>
              </w:rPr>
              <w:t>48,355</w:t>
            </w:r>
            <w:r>
              <w:rPr>
                <w:rFonts w:ascii="Arial"/>
                <w:sz w:val="24"/>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12,209</w:t>
            </w:r>
            <w:r>
              <w:rPr>
                <w:rFonts w:ascii="Arial"/>
                <w:sz w:val="24"/>
              </w:rPr>
            </w:r>
          </w:p>
        </w:tc>
      </w:tr>
    </w:tbl>
    <w:p>
      <w:pPr>
        <w:pStyle w:val="BodyText"/>
        <w:tabs>
          <w:tab w:pos="2824" w:val="left" w:leader="none"/>
          <w:tab w:pos="4402" w:val="left" w:leader="none"/>
          <w:tab w:pos="6115" w:val="left" w:leader="none"/>
          <w:tab w:pos="6574" w:val="left" w:leader="none"/>
          <w:tab w:pos="7530" w:val="left" w:leader="none"/>
          <w:tab w:pos="9751" w:val="left" w:leader="none"/>
          <w:tab w:pos="9935" w:val="left" w:leader="none"/>
        </w:tabs>
        <w:spacing w:line="302" w:lineRule="exact"/>
        <w:ind w:left="809" w:right="0"/>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t>-</w:t>
        <w:tab/>
        <w:t>-</w:t>
      </w:r>
      <w:r>
        <w:rPr>
          <w:rFonts w:ascii="Arial" w:hAnsi="Arial" w:cs="Arial" w:eastAsia="Arial" w:hint="default"/>
        </w:rPr>
        <w:tab/>
      </w:r>
      <w:r>
        <w:rPr>
          <w:rFonts w:ascii="Arial" w:hAnsi="Arial" w:cs="Arial" w:eastAsia="Arial" w:hint="default"/>
          <w:u w:val="single" w:color="000000"/>
        </w:rPr>
        <w:t> </w:t>
        <w:tab/>
      </w:r>
      <w:r>
        <w:rPr>
          <w:rFonts w:ascii="Arial" w:hAnsi="Arial" w:cs="Arial" w:eastAsia="Arial" w:hint="default"/>
          <w:spacing w:val="-1"/>
          <w:u w:val="single" w:color="000000"/>
        </w:rPr>
        <w:t>3,201</w:t>
        <w:tab/>
      </w:r>
      <w:r>
        <w:rPr>
          <w:rFonts w:ascii="Arial" w:hAnsi="Arial" w:cs="Arial" w:eastAsia="Arial" w:hint="default"/>
          <w:u w:val="single" w:color="000000"/>
        </w:rPr>
        <w:t>-</w:t>
        <w:tab/>
      </w:r>
      <w:r>
        <w:rPr>
          <w:rFonts w:ascii="Arial" w:hAnsi="Arial" w:cs="Arial" w:eastAsia="Arial" w:hint="default"/>
        </w:rPr>
      </w:r>
    </w:p>
    <w:p>
      <w:pPr>
        <w:pStyle w:val="BodyText"/>
        <w:tabs>
          <w:tab w:pos="3281" w:val="left" w:leader="none"/>
          <w:tab w:pos="4995" w:val="left" w:leader="none"/>
          <w:tab w:pos="6574" w:val="left" w:leader="none"/>
          <w:tab w:pos="6929" w:val="left" w:leader="none"/>
          <w:tab w:pos="8630" w:val="left" w:leader="none"/>
          <w:tab w:pos="9935" w:val="left" w:leader="none"/>
        </w:tabs>
        <w:spacing w:line="240" w:lineRule="auto" w:before="5"/>
        <w:ind w:left="2824"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w w:val="95"/>
          <w:u w:val="thick" w:color="000000"/>
        </w:rPr>
        <w:t>35,042,526</w:t>
        <w:tab/>
        <w:t>32,952,704</w:t>
      </w:r>
      <w:r>
        <w:rPr>
          <w:rFonts w:ascii="Arial"/>
          <w:w w:val="95"/>
        </w:rPr>
        <w:tab/>
      </w:r>
      <w:r>
        <w:rPr>
          <w:rFonts w:ascii="Arial"/>
          <w:w w:val="95"/>
          <w:u w:val="thick" w:color="000000"/>
        </w:rPr>
        <w:t> </w:t>
        <w:tab/>
      </w:r>
      <w:r>
        <w:rPr>
          <w:rFonts w:ascii="Arial"/>
          <w:spacing w:val="-1"/>
          <w:u w:val="thick" w:color="000000"/>
        </w:rPr>
        <w:t>30,901,056</w:t>
        <w:tab/>
        <w:t>29,291,217</w:t>
        <w:tab/>
      </w:r>
      <w:r>
        <w:rPr>
          <w:rFonts w:ascii="Arial"/>
          <w:spacing w:val="-1"/>
        </w:rPr>
      </w:r>
    </w:p>
    <w:p>
      <w:pPr>
        <w:spacing w:line="240" w:lineRule="auto" w:before="1"/>
        <w:rPr>
          <w:rFonts w:ascii="Arial" w:hAnsi="Arial" w:cs="Arial" w:eastAsia="Arial" w:hint="default"/>
          <w:sz w:val="21"/>
          <w:szCs w:val="21"/>
        </w:rPr>
      </w:pPr>
    </w:p>
    <w:p>
      <w:pPr>
        <w:pStyle w:val="BodyText"/>
        <w:spacing w:line="322" w:lineRule="exact" w:before="26"/>
        <w:ind w:left="809" w:right="0"/>
        <w:jc w:val="left"/>
        <w:rPr>
          <w:rFonts w:ascii="Arial" w:hAnsi="Arial" w:cs="Arial" w:eastAsia="Arial" w:hint="default"/>
        </w:rPr>
      </w:pPr>
      <w:r>
        <w:rPr/>
        <w:t>于</w:t>
      </w:r>
      <w:r>
        <w:rPr>
          <w:spacing w:val="-86"/>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32"/>
        </w:rPr>
        <w:t> </w:t>
      </w:r>
      <w:r>
        <w:rPr/>
        <w:t>年度</w:t>
      </w:r>
      <w:r>
        <w:rPr>
          <w:spacing w:val="-120"/>
        </w:rPr>
        <w:t>，</w:t>
      </w:r>
      <w:r>
        <w:rPr/>
        <w:t>本公司前五名客户销售均为对子公司之销售</w:t>
      </w:r>
      <w:r>
        <w:rPr>
          <w:spacing w:val="-120"/>
        </w:rPr>
        <w:t>，</w:t>
      </w:r>
      <w:r>
        <w:rPr/>
        <w:t>其收入总额约为人民币</w:t>
      </w:r>
      <w:r>
        <w:rPr>
          <w:spacing w:val="-86"/>
        </w:rPr>
        <w:t> </w:t>
      </w:r>
      <w:r>
        <w:rPr>
          <w:rFonts w:ascii="Arial" w:hAnsi="Arial" w:cs="Arial" w:eastAsia="Arial" w:hint="default"/>
          <w:spacing w:val="-1"/>
          <w:w w:val="99"/>
        </w:rPr>
        <w:t>96.2</w:t>
      </w:r>
      <w:r>
        <w:rPr>
          <w:rFonts w:ascii="Arial" w:hAnsi="Arial" w:cs="Arial" w:eastAsia="Arial" w:hint="default"/>
        </w:rPr>
      </w:r>
    </w:p>
    <w:p>
      <w:pPr>
        <w:pStyle w:val="BodyText"/>
        <w:spacing w:line="322" w:lineRule="exact"/>
        <w:ind w:left="809" w:right="0"/>
        <w:jc w:val="left"/>
      </w:pPr>
      <w:r>
        <w:rPr/>
        <w:t>亿元</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25"/>
        </w:rPr>
        <w:t> </w:t>
      </w:r>
      <w:r>
        <w:rPr/>
        <w:t>年度</w:t>
      </w:r>
      <w:r>
        <w:rPr>
          <w:spacing w:val="-120"/>
        </w:rPr>
        <w:t>：</w:t>
      </w:r>
      <w:r>
        <w:rPr/>
        <w:t>约人民币</w:t>
      </w:r>
      <w:r>
        <w:rPr>
          <w:spacing w:val="-78"/>
        </w:rPr>
        <w:t> </w:t>
      </w:r>
      <w:r>
        <w:rPr>
          <w:rFonts w:ascii="Arial" w:hAnsi="Arial" w:cs="Arial" w:eastAsia="Arial" w:hint="default"/>
          <w:spacing w:val="-1"/>
          <w:w w:val="99"/>
        </w:rPr>
        <w:t>89.</w:t>
      </w:r>
      <w:r>
        <w:rPr>
          <w:rFonts w:ascii="Arial" w:hAnsi="Arial" w:cs="Arial" w:eastAsia="Arial" w:hint="default"/>
          <w:w w:val="99"/>
        </w:rPr>
        <w:t>9</w:t>
      </w:r>
      <w:r>
        <w:rPr>
          <w:rFonts w:ascii="Arial" w:hAnsi="Arial" w:cs="Arial" w:eastAsia="Arial" w:hint="default"/>
          <w:spacing w:val="-25"/>
        </w:rPr>
        <w:t> </w:t>
      </w:r>
      <w:r>
        <w:rPr/>
        <w:t>亿元</w:t>
      </w:r>
      <w:r>
        <w:rPr>
          <w:rFonts w:ascii="Arial" w:hAnsi="Arial" w:cs="Arial" w:eastAsia="Arial" w:hint="default"/>
        </w:rPr>
        <w:t>)</w:t>
      </w:r>
      <w:r>
        <w:rPr>
          <w:spacing w:val="-120"/>
        </w:rPr>
        <w:t>，</w:t>
      </w:r>
      <w:r>
        <w:rPr/>
        <w:t>占本公司全部销售收入的</w:t>
      </w:r>
      <w:r>
        <w:rPr>
          <w:spacing w:val="-78"/>
        </w:rPr>
        <w:t> </w:t>
      </w:r>
      <w:r>
        <w:rPr>
          <w:rFonts w:ascii="Arial" w:hAnsi="Arial" w:cs="Arial" w:eastAsia="Arial" w:hint="default"/>
          <w:spacing w:val="-1"/>
          <w:w w:val="99"/>
        </w:rPr>
        <w:t>27%(200</w:t>
      </w:r>
      <w:r>
        <w:rPr>
          <w:rFonts w:ascii="Arial" w:hAnsi="Arial" w:cs="Arial" w:eastAsia="Arial" w:hint="default"/>
          <w:w w:val="99"/>
        </w:rPr>
        <w:t>7</w:t>
      </w:r>
      <w:r>
        <w:rPr>
          <w:rFonts w:ascii="Arial" w:hAnsi="Arial" w:cs="Arial" w:eastAsia="Arial" w:hint="default"/>
          <w:spacing w:val="-25"/>
        </w:rPr>
        <w:t> </w:t>
      </w:r>
      <w:r>
        <w:rPr/>
        <w:t>年度</w:t>
      </w:r>
      <w:r>
        <w:rPr>
          <w:spacing w:val="-120"/>
        </w:rPr>
        <w:t>：</w:t>
      </w:r>
      <w:r>
        <w:rPr>
          <w:rFonts w:ascii="Arial" w:hAnsi="Arial" w:cs="Arial" w:eastAsia="Arial" w:hint="default"/>
          <w:spacing w:val="-1"/>
          <w:w w:val="99"/>
        </w:rPr>
        <w:t>29%</w:t>
      </w:r>
      <w:r>
        <w:rPr>
          <w:rFonts w:ascii="Arial" w:hAnsi="Arial" w:cs="Arial" w:eastAsia="Arial" w:hint="default"/>
          <w:w w:val="99"/>
        </w:rPr>
        <w:t>)</w:t>
      </w:r>
      <w:r>
        <w:rPr/>
        <w:t>。</w:t>
      </w:r>
    </w:p>
    <w:p>
      <w:pPr>
        <w:spacing w:after="0" w:line="322" w:lineRule="exact"/>
        <w:jc w:val="left"/>
        <w:sectPr>
          <w:pgSz w:w="11910" w:h="16840"/>
          <w:pgMar w:header="752" w:footer="707" w:top="1020" w:bottom="900" w:left="940" w:right="900"/>
        </w:sectPr>
      </w:pPr>
    </w:p>
    <w:p>
      <w:pPr>
        <w:spacing w:line="240" w:lineRule="auto" w:before="0"/>
        <w:rPr>
          <w:rFonts w:ascii="宋体" w:hAnsi="宋体" w:cs="宋体" w:eastAsia="宋体" w:hint="default"/>
          <w:sz w:val="20"/>
          <w:szCs w:val="20"/>
        </w:rPr>
      </w:pPr>
    </w:p>
    <w:p>
      <w:pPr>
        <w:pStyle w:val="Heading2"/>
        <w:tabs>
          <w:tab w:pos="809" w:val="left" w:leader="none"/>
        </w:tabs>
        <w:spacing w:line="240" w:lineRule="auto" w:before="158"/>
        <w:ind w:right="34"/>
        <w:jc w:val="left"/>
        <w:rPr>
          <w:rFonts w:ascii="Arial" w:hAnsi="Arial" w:cs="Arial" w:eastAsia="Arial" w:hint="default"/>
          <w:b w:val="0"/>
          <w:bCs w:val="0"/>
        </w:rPr>
      </w:pPr>
      <w:r>
        <w:rPr>
          <w:w w:val="95"/>
        </w:rPr>
        <w:t>十三</w:t>
        <w:tab/>
      </w:r>
      <w:r>
        <w:rPr/>
        <w:t>公司财务报表主要项目附注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9" w:val="left" w:leader="none"/>
        </w:tabs>
        <w:spacing w:before="0"/>
        <w:ind w:left="102" w:right="34"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tabs>
          <w:tab w:pos="809" w:val="left" w:leader="none"/>
        </w:tabs>
        <w:spacing w:before="0"/>
        <w:ind w:left="102" w:right="34" w:firstLine="0"/>
        <w:jc w:val="left"/>
        <w:rPr>
          <w:rFonts w:ascii="宋体" w:hAnsi="宋体" w:cs="宋体" w:eastAsia="宋体" w:hint="default"/>
          <w:sz w:val="24"/>
          <w:szCs w:val="24"/>
        </w:rPr>
      </w:pPr>
      <w:r>
        <w:rPr>
          <w:rFonts w:ascii="Arial" w:hAnsi="Arial" w:cs="Arial" w:eastAsia="Arial" w:hint="default"/>
          <w:w w:val="95"/>
          <w:position w:val="2"/>
          <w:sz w:val="24"/>
          <w:szCs w:val="24"/>
        </w:rPr>
        <w:t>(b)</w:t>
        <w:tab/>
      </w:r>
      <w:r>
        <w:rPr>
          <w:rFonts w:ascii="宋体" w:hAnsi="宋体" w:cs="宋体" w:eastAsia="宋体" w:hint="default"/>
          <w:b/>
          <w:bCs/>
          <w:sz w:val="24"/>
          <w:szCs w:val="24"/>
        </w:rPr>
        <w:t>其他业务收入和其他业务成本</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01" w:val="left" w:leader="none"/>
        </w:tabs>
        <w:spacing w:line="240" w:lineRule="auto" w:before="26"/>
        <w:ind w:left="4133" w:right="34"/>
        <w:jc w:val="left"/>
      </w:pPr>
      <w:r>
        <w:rPr>
          <w:rFonts w:ascii="Arial" w:hAnsi="Arial" w:cs="Arial" w:eastAsia="Arial" w:hint="default"/>
        </w:rPr>
        <w:t>2008</w:t>
      </w:r>
      <w:r>
        <w:rPr>
          <w:rFonts w:ascii="Arial" w:hAnsi="Arial" w:cs="Arial" w:eastAsia="Arial" w:hint="default"/>
          <w:spacing w:val="-11"/>
        </w:rPr>
        <w:t> </w:t>
      </w:r>
      <w:r>
        <w:rPr/>
        <w:t>年度</w:t>
        <w:tab/>
      </w:r>
      <w:r>
        <w:rPr>
          <w:rFonts w:ascii="Arial" w:hAnsi="Arial" w:cs="Arial" w:eastAsia="Arial" w:hint="default"/>
        </w:rPr>
        <w:t>2007</w:t>
      </w:r>
      <w:r>
        <w:rPr>
          <w:rFonts w:ascii="Arial" w:hAnsi="Arial" w:cs="Arial" w:eastAsia="Arial" w:hint="default"/>
          <w:spacing w:val="-11"/>
        </w:rPr>
        <w:t> </w:t>
      </w:r>
      <w:r>
        <w:rPr/>
        <w:t>年度</w:t>
      </w:r>
    </w:p>
    <w:tbl>
      <w:tblPr>
        <w:tblW w:w="0" w:type="auto"/>
        <w:jc w:val="left"/>
        <w:tblInd w:w="774" w:type="dxa"/>
        <w:tblLayout w:type="fixed"/>
        <w:tblCellMar>
          <w:top w:w="0" w:type="dxa"/>
          <w:left w:w="0" w:type="dxa"/>
          <w:bottom w:w="0" w:type="dxa"/>
          <w:right w:w="0" w:type="dxa"/>
        </w:tblCellMar>
        <w:tblLook w:val="01E0"/>
      </w:tblPr>
      <w:tblGrid>
        <w:gridCol w:w="2203"/>
        <w:gridCol w:w="1698"/>
        <w:gridCol w:w="1674"/>
        <w:gridCol w:w="235"/>
        <w:gridCol w:w="1795"/>
        <w:gridCol w:w="1696"/>
      </w:tblGrid>
      <w:tr>
        <w:trPr>
          <w:trHeight w:val="274" w:hRule="exact"/>
        </w:trPr>
        <w:tc>
          <w:tcPr>
            <w:tcW w:w="3901"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232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674" w:type="dxa"/>
            <w:tcBorders>
              <w:top w:val="nil" w:sz="6" w:space="0" w:color="auto"/>
              <w:left w:val="nil" w:sz="6" w:space="0" w:color="auto"/>
              <w:bottom w:val="nil" w:sz="6" w:space="0" w:color="auto"/>
              <w:right w:val="nil" w:sz="6" w:space="0" w:color="auto"/>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其他业务成本</w:t>
            </w:r>
          </w:p>
        </w:tc>
        <w:tc>
          <w:tcPr>
            <w:tcW w:w="2030"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435"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696" w:type="dxa"/>
            <w:tcBorders>
              <w:top w:val="nil" w:sz="6" w:space="0" w:color="auto"/>
              <w:left w:val="nil" w:sz="6" w:space="0" w:color="auto"/>
              <w:bottom w:val="nil" w:sz="6" w:space="0" w:color="auto"/>
              <w:right w:val="nil" w:sz="6" w:space="0" w:color="auto"/>
            </w:tcBorders>
          </w:tcPr>
          <w:p>
            <w:pPr>
              <w:pStyle w:val="TableParagraph"/>
              <w:spacing w:line="274" w:lineRule="exact"/>
              <w:ind w:right="98"/>
              <w:jc w:val="right"/>
              <w:rPr>
                <w:rFonts w:ascii="宋体" w:hAnsi="宋体" w:cs="宋体" w:eastAsia="宋体" w:hint="default"/>
                <w:sz w:val="24"/>
                <w:szCs w:val="24"/>
              </w:rPr>
            </w:pPr>
            <w:r>
              <w:rPr>
                <w:rFonts w:ascii="宋体" w:hAnsi="宋体" w:cs="宋体" w:eastAsia="宋体" w:hint="default"/>
                <w:sz w:val="24"/>
                <w:szCs w:val="24"/>
              </w:rPr>
              <w:t>其他业务成本</w:t>
            </w:r>
          </w:p>
        </w:tc>
      </w:tr>
      <w:tr>
        <w:trPr>
          <w:trHeight w:val="492" w:hRule="exact"/>
        </w:trPr>
        <w:tc>
          <w:tcPr>
            <w:tcW w:w="9301" w:type="dxa"/>
            <w:gridSpan w:val="6"/>
            <w:tcBorders>
              <w:top w:val="nil" w:sz="6" w:space="0" w:color="auto"/>
              <w:left w:val="nil" w:sz="6" w:space="0" w:color="auto"/>
              <w:bottom w:val="nil" w:sz="6" w:space="0" w:color="auto"/>
              <w:right w:val="nil" w:sz="6" w:space="0" w:color="auto"/>
            </w:tcBorders>
          </w:tcPr>
          <w:p>
            <w:pPr>
              <w:pStyle w:val="TableParagraph"/>
              <w:spacing w:line="329" w:lineRule="exact"/>
              <w:ind w:left="5078"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人民币千元</w:t>
            </w:r>
            <w:r>
              <w:rPr>
                <w:rFonts w:ascii="Arial" w:hAnsi="Arial" w:cs="Arial" w:eastAsia="Arial" w:hint="default"/>
                <w:sz w:val="24"/>
                <w:szCs w:val="24"/>
              </w:rPr>
              <w:t>)</w:t>
            </w:r>
          </w:p>
        </w:tc>
      </w:tr>
      <w:tr>
        <w:trPr>
          <w:trHeight w:val="45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4"/>
                <w:szCs w:val="24"/>
              </w:rPr>
            </w:pPr>
            <w:r>
              <w:rPr>
                <w:rFonts w:ascii="宋体" w:hAnsi="宋体" w:cs="宋体" w:eastAsia="宋体" w:hint="default"/>
                <w:sz w:val="24"/>
                <w:szCs w:val="24"/>
              </w:rPr>
              <w:t>连锁店服务收入</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1"/>
              <w:jc w:val="right"/>
              <w:rPr>
                <w:rFonts w:ascii="Arial" w:hAnsi="Arial" w:cs="Arial" w:eastAsia="Arial" w:hint="default"/>
                <w:sz w:val="24"/>
                <w:szCs w:val="24"/>
              </w:rPr>
            </w:pPr>
            <w:r>
              <w:rPr>
                <w:rFonts w:ascii="Arial"/>
                <w:spacing w:val="-1"/>
                <w:w w:val="95"/>
                <w:sz w:val="24"/>
              </w:rPr>
              <w:t>203,677</w:t>
            </w:r>
            <w:r>
              <w:rPr>
                <w:rFonts w:ascii="Arial"/>
                <w:sz w:val="2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99"/>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61"/>
              <w:jc w:val="right"/>
              <w:rPr>
                <w:rFonts w:ascii="Arial" w:hAnsi="Arial" w:cs="Arial" w:eastAsia="Arial" w:hint="default"/>
                <w:sz w:val="24"/>
                <w:szCs w:val="24"/>
              </w:rPr>
            </w:pPr>
            <w:r>
              <w:rPr>
                <w:rFonts w:ascii="Arial"/>
                <w:spacing w:val="-1"/>
                <w:w w:val="95"/>
                <w:sz w:val="24"/>
              </w:rPr>
              <w:t>207,716</w:t>
            </w:r>
            <w:r>
              <w:rPr>
                <w:rFonts w:ascii="Arial"/>
                <w:sz w:val="2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w w:val="95"/>
                <w:sz w:val="24"/>
              </w:rPr>
              <w:t>72,425</w:t>
            </w:r>
            <w:r>
              <w:rPr>
                <w:rFonts w:ascii="Arial"/>
                <w:sz w:val="2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Arial" w:hAnsi="Arial" w:cs="Arial" w:eastAsia="Arial" w:hint="default"/>
                <w:sz w:val="24"/>
                <w:szCs w:val="24"/>
              </w:rPr>
            </w:pPr>
            <w:r>
              <w:rPr>
                <w:rFonts w:ascii="Arial"/>
                <w:spacing w:val="-1"/>
                <w:w w:val="95"/>
                <w:sz w:val="24"/>
              </w:rPr>
              <w:t>61,178</w:t>
            </w:r>
            <w:r>
              <w:rPr>
                <w:rFonts w:ascii="Arial"/>
                <w:sz w:val="2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0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4"/>
                <w:szCs w:val="24"/>
              </w:rPr>
            </w:pPr>
            <w:r>
              <w:rPr>
                <w:rFonts w:ascii="Arial"/>
                <w:spacing w:val="-1"/>
                <w:w w:val="95"/>
                <w:sz w:val="24"/>
              </w:rPr>
              <w:t>26,639</w:t>
            </w:r>
            <w:r>
              <w:rPr>
                <w:rFonts w:ascii="Arial"/>
                <w:sz w:val="2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7"/>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Arial" w:hAnsi="Arial" w:cs="Arial" w:eastAsia="Arial" w:hint="default"/>
                <w:sz w:val="24"/>
                <w:szCs w:val="24"/>
              </w:rPr>
            </w:pPr>
            <w:r>
              <w:rPr>
                <w:rFonts w:ascii="Arial"/>
                <w:spacing w:val="-1"/>
                <w:w w:val="95"/>
                <w:sz w:val="24"/>
              </w:rPr>
              <w:t>16,620</w:t>
            </w:r>
            <w:r>
              <w:rPr>
                <w:rFonts w:ascii="Arial"/>
                <w:sz w:val="2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297"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1698" w:type="dxa"/>
            <w:tcBorders>
              <w:top w:val="nil" w:sz="6" w:space="0" w:color="auto"/>
              <w:left w:val="nil" w:sz="6" w:space="0" w:color="auto"/>
              <w:bottom w:val="nil" w:sz="6" w:space="0" w:color="auto"/>
              <w:right w:val="nil" w:sz="6" w:space="0" w:color="auto"/>
            </w:tcBorders>
          </w:tcPr>
          <w:p>
            <w:pPr>
              <w:pStyle w:val="TableParagraph"/>
              <w:spacing w:line="263" w:lineRule="exact"/>
              <w:ind w:right="131"/>
              <w:jc w:val="right"/>
              <w:rPr>
                <w:rFonts w:ascii="Arial" w:hAnsi="Arial" w:cs="Arial" w:eastAsia="Arial" w:hint="default"/>
                <w:sz w:val="24"/>
                <w:szCs w:val="24"/>
              </w:rPr>
            </w:pPr>
            <w:r>
              <w:rPr>
                <w:rFonts w:ascii="Arial"/>
                <w:spacing w:val="-1"/>
                <w:w w:val="95"/>
                <w:sz w:val="24"/>
              </w:rPr>
              <w:t>12,801</w:t>
            </w:r>
            <w:r>
              <w:rPr>
                <w:rFonts w:ascii="Arial"/>
                <w:sz w:val="2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pacing w:val="-1"/>
                <w:w w:val="95"/>
                <w:sz w:val="24"/>
              </w:rPr>
              <w:t>1,033</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63" w:lineRule="exact"/>
              <w:ind w:right="161"/>
              <w:jc w:val="right"/>
              <w:rPr>
                <w:rFonts w:ascii="Arial" w:hAnsi="Arial" w:cs="Arial" w:eastAsia="Arial" w:hint="default"/>
                <w:sz w:val="24"/>
                <w:szCs w:val="24"/>
              </w:rPr>
            </w:pPr>
            <w:r>
              <w:rPr>
                <w:rFonts w:ascii="Arial"/>
                <w:spacing w:val="-1"/>
                <w:w w:val="95"/>
                <w:sz w:val="24"/>
              </w:rPr>
              <w:t>5,001</w:t>
            </w:r>
            <w:r>
              <w:rPr>
                <w:rFonts w:ascii="Arial"/>
                <w:sz w:val="2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63" w:lineRule="exact"/>
              <w:ind w:right="99"/>
              <w:jc w:val="right"/>
              <w:rPr>
                <w:rFonts w:ascii="Arial" w:hAnsi="Arial" w:cs="Arial" w:eastAsia="Arial" w:hint="default"/>
                <w:sz w:val="24"/>
                <w:szCs w:val="24"/>
              </w:rPr>
            </w:pPr>
            <w:r>
              <w:rPr>
                <w:rFonts w:ascii="Arial"/>
                <w:spacing w:val="-1"/>
                <w:w w:val="95"/>
                <w:sz w:val="24"/>
              </w:rPr>
              <w:t>1,055</w:t>
            </w:r>
            <w:r>
              <w:rPr>
                <w:rFonts w:ascii="Arial"/>
                <w:sz w:val="24"/>
              </w:rPr>
            </w:r>
          </w:p>
        </w:tc>
      </w:tr>
      <w:tr>
        <w:trPr>
          <w:trHeight w:val="312"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培训费收入</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1"/>
              <w:jc w:val="right"/>
              <w:rPr>
                <w:rFonts w:ascii="Arial" w:hAnsi="Arial" w:cs="Arial" w:eastAsia="Arial" w:hint="default"/>
                <w:sz w:val="24"/>
                <w:szCs w:val="24"/>
              </w:rPr>
            </w:pPr>
            <w:r>
              <w:rPr>
                <w:rFonts w:ascii="Arial"/>
                <w:spacing w:val="-1"/>
                <w:w w:val="95"/>
                <w:sz w:val="24"/>
              </w:rPr>
              <w:t>159</w:t>
            </w:r>
            <w:r>
              <w:rPr>
                <w:rFonts w:ascii="Arial"/>
                <w:sz w:val="2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1"/>
              <w:jc w:val="right"/>
              <w:rPr>
                <w:rFonts w:ascii="Arial" w:hAnsi="Arial" w:cs="Arial" w:eastAsia="Arial" w:hint="default"/>
                <w:sz w:val="24"/>
                <w:szCs w:val="24"/>
              </w:rPr>
            </w:pPr>
            <w:r>
              <w:rPr>
                <w:rFonts w:ascii="Arial"/>
                <w:spacing w:val="-1"/>
                <w:w w:val="95"/>
                <w:sz w:val="24"/>
              </w:rPr>
              <w:t>227</w:t>
            </w:r>
            <w:r>
              <w:rPr>
                <w:rFonts w:ascii="Arial"/>
                <w:sz w:val="24"/>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1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加盟费收入</w:t>
            </w:r>
          </w:p>
        </w:tc>
        <w:tc>
          <w:tcPr>
            <w:tcW w:w="1698"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31"/>
              <w:jc w:val="right"/>
              <w:rPr>
                <w:rFonts w:ascii="Arial" w:hAnsi="Arial" w:cs="Arial" w:eastAsia="Arial" w:hint="default"/>
                <w:sz w:val="24"/>
                <w:szCs w:val="24"/>
              </w:rPr>
            </w:pPr>
            <w:r>
              <w:rPr>
                <w:rFonts w:ascii="Arial"/>
                <w:w w:val="99"/>
                <w:sz w:val="24"/>
              </w:rPr>
              <w:t>-</w:t>
            </w:r>
            <w:r>
              <w:rPr>
                <w:rFonts w:ascii="Arial"/>
                <w:sz w:val="24"/>
              </w:rPr>
            </w:r>
          </w:p>
        </w:tc>
        <w:tc>
          <w:tcPr>
            <w:tcW w:w="167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61"/>
              <w:jc w:val="right"/>
              <w:rPr>
                <w:rFonts w:ascii="Arial" w:hAnsi="Arial" w:cs="Arial" w:eastAsia="Arial" w:hint="default"/>
                <w:sz w:val="24"/>
                <w:szCs w:val="24"/>
              </w:rPr>
            </w:pPr>
            <w:r>
              <w:rPr>
                <w:rFonts w:ascii="Arial"/>
                <w:spacing w:val="-1"/>
                <w:w w:val="95"/>
                <w:sz w:val="24"/>
              </w:rPr>
              <w:t>3,881</w:t>
            </w:r>
            <w:r>
              <w:rPr>
                <w:rFonts w:ascii="Arial"/>
                <w:sz w:val="24"/>
              </w:rPr>
            </w:r>
          </w:p>
        </w:tc>
        <w:tc>
          <w:tcPr>
            <w:tcW w:w="1696"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295" w:hRule="exact"/>
        </w:trPr>
        <w:tc>
          <w:tcPr>
            <w:tcW w:w="2203" w:type="dxa"/>
            <w:tcBorders>
              <w:top w:val="nil" w:sz="6" w:space="0" w:color="auto"/>
              <w:left w:val="nil" w:sz="6" w:space="0" w:color="auto"/>
              <w:bottom w:val="nil" w:sz="6" w:space="0" w:color="auto"/>
              <w:right w:val="nil" w:sz="6" w:space="0" w:color="auto"/>
            </w:tcBorders>
          </w:tcPr>
          <w:p>
            <w:pPr/>
          </w:p>
        </w:tc>
        <w:tc>
          <w:tcPr>
            <w:tcW w:w="1698"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31"/>
              <w:jc w:val="right"/>
              <w:rPr>
                <w:rFonts w:ascii="Arial" w:hAnsi="Arial" w:cs="Arial" w:eastAsia="Arial" w:hint="default"/>
                <w:sz w:val="24"/>
                <w:szCs w:val="24"/>
              </w:rPr>
            </w:pPr>
            <w:r>
              <w:rPr>
                <w:rFonts w:ascii="Arial"/>
                <w:spacing w:val="-1"/>
                <w:w w:val="95"/>
                <w:sz w:val="24"/>
              </w:rPr>
              <w:t>315,701</w:t>
            </w:r>
            <w:r>
              <w:rPr>
                <w:rFonts w:ascii="Arial"/>
                <w:sz w:val="24"/>
              </w:rPr>
            </w:r>
          </w:p>
        </w:tc>
        <w:tc>
          <w:tcPr>
            <w:tcW w:w="1674"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1,033</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61"/>
              <w:jc w:val="right"/>
              <w:rPr>
                <w:rFonts w:ascii="Arial" w:hAnsi="Arial" w:cs="Arial" w:eastAsia="Arial" w:hint="default"/>
                <w:sz w:val="24"/>
                <w:szCs w:val="24"/>
              </w:rPr>
            </w:pPr>
            <w:r>
              <w:rPr>
                <w:rFonts w:ascii="Arial"/>
                <w:spacing w:val="-1"/>
                <w:w w:val="95"/>
                <w:sz w:val="24"/>
              </w:rPr>
              <w:t>294,623</w:t>
            </w:r>
            <w:r>
              <w:rPr>
                <w:rFonts w:ascii="Arial"/>
                <w:sz w:val="24"/>
              </w:rPr>
            </w:r>
          </w:p>
        </w:tc>
        <w:tc>
          <w:tcPr>
            <w:tcW w:w="1696"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1,055</w:t>
            </w:r>
            <w:r>
              <w:rPr>
                <w:rFonts w:ascii="Arial"/>
                <w:sz w:val="24"/>
              </w:rPr>
            </w:r>
          </w:p>
        </w:tc>
      </w:tr>
    </w:tbl>
    <w:p>
      <w:pPr>
        <w:spacing w:line="240" w:lineRule="auto" w:before="12"/>
        <w:rPr>
          <w:rFonts w:ascii="宋体" w:hAnsi="宋体" w:cs="宋体" w:eastAsia="宋体" w:hint="default"/>
          <w:sz w:val="13"/>
          <w:szCs w:val="13"/>
        </w:rPr>
      </w:pPr>
    </w:p>
    <w:p>
      <w:pPr>
        <w:pStyle w:val="BodyText"/>
        <w:spacing w:line="240" w:lineRule="auto" w:before="26"/>
        <w:ind w:left="802" w:right="34"/>
        <w:jc w:val="left"/>
      </w:pPr>
      <w:r>
        <w:rPr/>
        <w:t>注：连锁店服务收入指供应商支付的广告促销收入及广告费收入等。</w:t>
      </w:r>
    </w:p>
    <w:p>
      <w:pPr>
        <w:spacing w:after="0" w:line="240" w:lineRule="auto"/>
        <w:jc w:val="left"/>
        <w:sectPr>
          <w:pgSz w:w="11910" w:h="16840"/>
          <w:pgMar w:header="752" w:footer="707" w:top="1020" w:bottom="900" w:left="94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13"/>
        <w:ind w:left="144" w:right="101" w:firstLine="0"/>
        <w:jc w:val="left"/>
        <w:rPr>
          <w:rFonts w:ascii="黑体" w:hAnsi="黑体" w:cs="黑体" w:eastAsia="黑体" w:hint="default"/>
          <w:sz w:val="28"/>
          <w:szCs w:val="28"/>
        </w:rPr>
      </w:pPr>
      <w:r>
        <w:rPr>
          <w:rFonts w:ascii="黑体" w:hAnsi="黑体" w:cs="黑体" w:eastAsia="黑体" w:hint="default"/>
          <w:sz w:val="28"/>
          <w:szCs w:val="28"/>
        </w:rPr>
        <w:t>苏宁电器股份有限公司</w:t>
      </w:r>
    </w:p>
    <w:p>
      <w:pPr>
        <w:spacing w:line="240" w:lineRule="auto" w:before="6"/>
        <w:rPr>
          <w:rFonts w:ascii="黑体" w:hAnsi="黑体" w:cs="黑体" w:eastAsia="黑体" w:hint="default"/>
          <w:sz w:val="21"/>
          <w:szCs w:val="21"/>
        </w:rPr>
      </w:pPr>
    </w:p>
    <w:p>
      <w:pPr>
        <w:pStyle w:val="BodyText"/>
        <w:spacing w:line="240" w:lineRule="auto"/>
        <w:ind w:left="144" w:right="101"/>
        <w:jc w:val="left"/>
        <w:rPr>
          <w:rFonts w:ascii="黑体" w:hAnsi="黑体" w:cs="黑体" w:eastAsia="黑体" w:hint="default"/>
        </w:rPr>
      </w:pPr>
      <w:r>
        <w:rPr>
          <w:rFonts w:ascii="Times New Roman" w:hAnsi="Times New Roman" w:cs="Times New Roman" w:eastAsia="Times New Roman" w:hint="default"/>
        </w:rPr>
        <w:t>2008 </w:t>
      </w:r>
      <w:r>
        <w:rPr>
          <w:rFonts w:ascii="黑体" w:hAnsi="黑体" w:cs="黑体" w:eastAsia="黑体" w:hint="default"/>
        </w:rPr>
        <w:t>年度管理层提供的补充资料</w:t>
      </w:r>
    </w:p>
    <w:p>
      <w:pPr>
        <w:spacing w:after="0" w:line="240" w:lineRule="auto"/>
        <w:jc w:val="left"/>
        <w:rPr>
          <w:rFonts w:ascii="黑体" w:hAnsi="黑体" w:cs="黑体" w:eastAsia="黑体" w:hint="default"/>
        </w:rPr>
        <w:sectPr>
          <w:pgSz w:w="11910" w:h="16840"/>
          <w:pgMar w:header="752" w:footer="707" w:top="1020" w:bottom="900" w:left="1500" w:right="1500"/>
        </w:sectPr>
      </w:pPr>
    </w:p>
    <w:p>
      <w:pPr>
        <w:spacing w:line="240" w:lineRule="auto" w:before="0"/>
        <w:rPr>
          <w:rFonts w:ascii="黑体" w:hAnsi="黑体" w:cs="黑体" w:eastAsia="黑体" w:hint="default"/>
          <w:sz w:val="20"/>
          <w:szCs w:val="20"/>
        </w:rPr>
      </w:pPr>
    </w:p>
    <w:p>
      <w:pPr>
        <w:pStyle w:val="BodyText"/>
        <w:spacing w:line="240" w:lineRule="auto" w:before="193"/>
        <w:ind w:left="144" w:right="108"/>
        <w:jc w:val="left"/>
      </w:pPr>
      <w:r>
        <w:rPr>
          <w:rFonts w:ascii="Arial" w:hAnsi="Arial" w:cs="Arial" w:eastAsia="Arial" w:hint="default"/>
        </w:rPr>
        <w:t>(1)</w:t>
      </w:r>
      <w:r>
        <w:rPr>
          <w:rFonts w:ascii="Arial" w:hAnsi="Arial" w:cs="Arial" w:eastAsia="Arial" w:hint="default"/>
          <w:spacing w:val="29"/>
        </w:rPr>
        <w:t> </w:t>
      </w:r>
      <w:r>
        <w:rPr/>
        <w:t>全面摊薄和加权平均计算的净资产收益率及每股收益</w:t>
      </w: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267"/>
        <w:gridCol w:w="1418"/>
        <w:gridCol w:w="1265"/>
        <w:gridCol w:w="1265"/>
        <w:gridCol w:w="1265"/>
        <w:gridCol w:w="1266"/>
      </w:tblGrid>
      <w:tr>
        <w:trPr>
          <w:trHeight w:val="311" w:hRule="exact"/>
        </w:trPr>
        <w:tc>
          <w:tcPr>
            <w:tcW w:w="22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66" w:right="0"/>
              <w:jc w:val="left"/>
              <w:rPr>
                <w:rFonts w:ascii="Arial" w:hAnsi="Arial" w:cs="Arial" w:eastAsia="Arial" w:hint="default"/>
                <w:sz w:val="21"/>
                <w:szCs w:val="21"/>
              </w:rPr>
            </w:pPr>
            <w:r>
              <w:rPr>
                <w:rFonts w:ascii="宋体" w:hAnsi="宋体" w:cs="宋体" w:eastAsia="宋体" w:hint="default"/>
                <w:sz w:val="21"/>
                <w:szCs w:val="21"/>
              </w:rPr>
              <w:t>净资产收益率</w:t>
            </w:r>
            <w:r>
              <w:rPr>
                <w:rFonts w:ascii="Arial" w:hAnsi="Arial" w:cs="Arial" w:eastAsia="Arial" w:hint="default"/>
                <w:sz w:val="21"/>
                <w:szCs w:val="21"/>
              </w:rPr>
              <w:t>(%)</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30" w:right="0"/>
              <w:jc w:val="left"/>
              <w:rPr>
                <w:rFonts w:ascii="Arial" w:hAnsi="Arial" w:cs="Arial" w:eastAsia="Arial" w:hint="default"/>
                <w:sz w:val="21"/>
                <w:szCs w:val="21"/>
              </w:rPr>
            </w:pPr>
            <w:r>
              <w:rPr>
                <w:rFonts w:ascii="宋体" w:hAnsi="宋体" w:cs="宋体" w:eastAsia="宋体" w:hint="default"/>
                <w:sz w:val="21"/>
                <w:szCs w:val="21"/>
              </w:rPr>
              <w:t>每股收益</w:t>
            </w:r>
            <w:r>
              <w:rPr>
                <w:rFonts w:ascii="Arial" w:hAnsi="Arial" w:cs="Arial" w:eastAsia="Arial" w:hint="default"/>
                <w:sz w:val="21"/>
                <w:szCs w:val="21"/>
              </w:rPr>
              <w:t>(</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r>
      <w:tr>
        <w:trPr>
          <w:trHeight w:val="310" w:hRule="exact"/>
        </w:trPr>
        <w:tc>
          <w:tcPr>
            <w:tcW w:w="226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r>
      <w:tr>
        <w:trPr>
          <w:trHeight w:val="310" w:hRule="exact"/>
        </w:trPr>
        <w:tc>
          <w:tcPr>
            <w:tcW w:w="22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87" w:right="79" w:hanging="185"/>
              <w:jc w:val="left"/>
              <w:rPr>
                <w:rFonts w:ascii="宋体" w:hAnsi="宋体" w:cs="宋体" w:eastAsia="宋体" w:hint="default"/>
                <w:sz w:val="21"/>
                <w:szCs w:val="21"/>
              </w:rPr>
            </w:pPr>
            <w:r>
              <w:rPr>
                <w:rFonts w:ascii="宋体" w:hAnsi="宋体" w:cs="宋体" w:eastAsia="宋体" w:hint="default"/>
                <w:spacing w:val="17"/>
                <w:sz w:val="21"/>
                <w:szCs w:val="21"/>
              </w:rPr>
              <w:t>归属于母公司所有者</w:t>
            </w:r>
            <w:r>
              <w:rPr>
                <w:rFonts w:ascii="宋体" w:hAnsi="宋体" w:cs="宋体" w:eastAsia="宋体" w:hint="default"/>
                <w:spacing w:val="-99"/>
                <w:sz w:val="21"/>
                <w:szCs w:val="21"/>
              </w:rPr>
              <w:t> </w:t>
            </w:r>
            <w:r>
              <w:rPr>
                <w:rFonts w:ascii="宋体" w:hAnsi="宋体" w:cs="宋体" w:eastAsia="宋体" w:hint="default"/>
                <w:sz w:val="21"/>
                <w:szCs w:val="21"/>
              </w:rPr>
              <w:t>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Arial" w:hAnsi="Arial" w:cs="Arial" w:eastAsia="Arial" w:hint="default"/>
                <w:sz w:val="21"/>
                <w:szCs w:val="21"/>
              </w:rPr>
            </w:pPr>
            <w:r>
              <w:rPr>
                <w:rFonts w:ascii="Arial"/>
                <w:sz w:val="21"/>
              </w:rPr>
              <w:t>2,170,189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Arial" w:hAnsi="Arial" w:cs="Arial" w:eastAsia="Arial" w:hint="default"/>
                <w:sz w:val="21"/>
                <w:szCs w:val="21"/>
              </w:rPr>
            </w:pPr>
            <w:r>
              <w:rPr>
                <w:rFonts w:ascii="Arial"/>
                <w:sz w:val="21"/>
              </w:rPr>
              <w:t>24.73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Arial" w:hAnsi="Arial" w:cs="Arial" w:eastAsia="Arial" w:hint="default"/>
                <w:sz w:val="21"/>
                <w:szCs w:val="21"/>
              </w:rPr>
            </w:pPr>
            <w:r>
              <w:rPr>
                <w:rFonts w:ascii="Arial"/>
                <w:sz w:val="21"/>
              </w:rPr>
              <w:t>31.60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Arial" w:hAnsi="Arial" w:cs="Arial" w:eastAsia="Arial" w:hint="default"/>
                <w:sz w:val="21"/>
                <w:szCs w:val="21"/>
              </w:rPr>
            </w:pPr>
            <w:r>
              <w:rPr>
                <w:rFonts w:ascii="Arial"/>
                <w:sz w:val="21"/>
              </w:rPr>
              <w:t>0.73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
              <w:jc w:val="center"/>
              <w:rPr>
                <w:rFonts w:ascii="Arial" w:hAnsi="Arial" w:cs="Arial" w:eastAsia="Arial" w:hint="default"/>
                <w:sz w:val="21"/>
                <w:szCs w:val="21"/>
              </w:rPr>
            </w:pPr>
            <w:r>
              <w:rPr>
                <w:rFonts w:ascii="Arial"/>
                <w:sz w:val="21"/>
              </w:rPr>
              <w:t>0.74</w:t>
            </w:r>
          </w:p>
        </w:tc>
      </w:tr>
      <w:tr>
        <w:trPr>
          <w:trHeight w:val="910"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313" w:right="78" w:hanging="210"/>
              <w:jc w:val="both"/>
              <w:rPr>
                <w:rFonts w:ascii="宋体" w:hAnsi="宋体" w:cs="宋体" w:eastAsia="宋体" w:hint="default"/>
                <w:sz w:val="21"/>
                <w:szCs w:val="21"/>
              </w:rPr>
            </w:pPr>
            <w:r>
              <w:rPr>
                <w:rFonts w:ascii="宋体" w:hAnsi="宋体" w:cs="宋体" w:eastAsia="宋体" w:hint="default"/>
                <w:spacing w:val="17"/>
                <w:sz w:val="21"/>
                <w:szCs w:val="21"/>
              </w:rPr>
              <w:t>扣除非经常性损益后</w:t>
            </w:r>
            <w:r>
              <w:rPr>
                <w:rFonts w:ascii="宋体" w:hAnsi="宋体" w:cs="宋体" w:eastAsia="宋体" w:hint="default"/>
                <w:spacing w:val="-99"/>
                <w:sz w:val="21"/>
                <w:szCs w:val="21"/>
              </w:rPr>
              <w:t> </w:t>
            </w:r>
            <w:r>
              <w:rPr>
                <w:rFonts w:ascii="宋体" w:hAnsi="宋体" w:cs="宋体" w:eastAsia="宋体" w:hint="default"/>
                <w:spacing w:val="19"/>
                <w:sz w:val="21"/>
                <w:szCs w:val="21"/>
              </w:rPr>
              <w:t>归属于母公司所有</w:t>
            </w:r>
            <w:r>
              <w:rPr>
                <w:rFonts w:ascii="宋体" w:hAnsi="宋体" w:cs="宋体" w:eastAsia="宋体" w:hint="default"/>
                <w:spacing w:val="-83"/>
                <w:sz w:val="21"/>
                <w:szCs w:val="21"/>
              </w:rPr>
              <w:t> </w:t>
            </w:r>
            <w:r>
              <w:rPr>
                <w:rFonts w:ascii="宋体" w:hAnsi="宋体" w:cs="宋体" w:eastAsia="宋体" w:hint="default"/>
                <w:sz w:val="21"/>
                <w:szCs w:val="21"/>
              </w:rPr>
              <w:t>者的净利润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Arial" w:hAnsi="Arial" w:cs="Arial" w:eastAsia="Arial" w:hint="default"/>
                <w:sz w:val="21"/>
                <w:szCs w:val="21"/>
              </w:rPr>
            </w:pPr>
            <w:r>
              <w:rPr>
                <w:rFonts w:ascii="Arial"/>
                <w:sz w:val="21"/>
              </w:rPr>
              <w:t>2,179,913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24.84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31.75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Arial" w:hAnsi="Arial" w:cs="Arial" w:eastAsia="Arial" w:hint="default"/>
                <w:sz w:val="21"/>
                <w:szCs w:val="21"/>
              </w:rPr>
            </w:pPr>
            <w:r>
              <w:rPr>
                <w:rFonts w:ascii="Arial"/>
                <w:sz w:val="21"/>
              </w:rPr>
              <w:t>0.73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
              <w:jc w:val="center"/>
              <w:rPr>
                <w:rFonts w:ascii="Arial" w:hAnsi="Arial" w:cs="Arial" w:eastAsia="Arial" w:hint="default"/>
                <w:sz w:val="21"/>
                <w:szCs w:val="21"/>
              </w:rPr>
            </w:pPr>
            <w:r>
              <w:rPr>
                <w:rFonts w:ascii="Arial"/>
                <w:sz w:val="21"/>
              </w:rPr>
              <w:t>0.74</w:t>
            </w:r>
          </w:p>
        </w:tc>
      </w:tr>
    </w:tbl>
    <w:p>
      <w:pPr>
        <w:spacing w:line="240" w:lineRule="auto" w:before="0"/>
        <w:rPr>
          <w:rFonts w:ascii="宋体" w:hAnsi="宋体" w:cs="宋体" w:eastAsia="宋体" w:hint="default"/>
          <w:sz w:val="20"/>
          <w:szCs w:val="20"/>
        </w:rPr>
      </w:pPr>
    </w:p>
    <w:p>
      <w:pPr>
        <w:spacing w:line="424" w:lineRule="auto" w:before="181"/>
        <w:ind w:left="143" w:right="643" w:firstLine="0"/>
        <w:jc w:val="left"/>
        <w:rPr>
          <w:rFonts w:ascii="Arial" w:hAnsi="Arial" w:cs="Arial" w:eastAsia="Arial" w:hint="default"/>
          <w:sz w:val="24"/>
          <w:szCs w:val="24"/>
        </w:rPr>
      </w:pPr>
      <w:r>
        <w:rPr>
          <w:rFonts w:ascii="宋体" w:hAnsi="宋体" w:cs="宋体" w:eastAsia="宋体" w:hint="default"/>
          <w:b/>
          <w:bCs/>
          <w:sz w:val="24"/>
          <w:szCs w:val="24"/>
        </w:rPr>
        <w:t>上述财务指标的计算方法：</w:t>
      </w:r>
      <w:r>
        <w:rPr>
          <w:rFonts w:ascii="宋体" w:hAnsi="宋体" w:cs="宋体" w:eastAsia="宋体" w:hint="default"/>
          <w:b/>
          <w:bCs/>
          <w:w w:val="99"/>
          <w:sz w:val="24"/>
          <w:szCs w:val="24"/>
        </w:rPr>
        <w:t> </w:t>
      </w:r>
      <w:r>
        <w:rPr>
          <w:rFonts w:ascii="宋体" w:hAnsi="宋体" w:cs="宋体" w:eastAsia="宋体" w:hint="default"/>
          <w:sz w:val="24"/>
          <w:szCs w:val="24"/>
        </w:rPr>
        <w:t>全面摊薄净资产收益率和每股收益的计算公式如下</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全面摊薄净资产收益率</w:t>
      </w:r>
      <w:r>
        <w:rPr>
          <w:rFonts w:ascii="Arial" w:hAnsi="Arial" w:cs="Arial" w:eastAsia="Arial" w:hint="default"/>
          <w:sz w:val="24"/>
          <w:szCs w:val="24"/>
        </w:rPr>
        <w:t>=P</w:t>
      </w:r>
      <w:r>
        <w:rPr>
          <w:rFonts w:ascii="宋体" w:hAnsi="宋体" w:cs="宋体" w:eastAsia="宋体" w:hint="default"/>
          <w:sz w:val="24"/>
          <w:szCs w:val="24"/>
        </w:rPr>
        <w:t>÷</w:t>
      </w:r>
      <w:r>
        <w:rPr>
          <w:rFonts w:ascii="Arial" w:hAnsi="Arial" w:cs="Arial" w:eastAsia="Arial" w:hint="default"/>
          <w:sz w:val="24"/>
          <w:szCs w:val="24"/>
        </w:rPr>
        <w:t>E</w:t>
      </w:r>
    </w:p>
    <w:p>
      <w:pPr>
        <w:pStyle w:val="BodyText"/>
        <w:spacing w:line="312" w:lineRule="exact" w:before="81"/>
        <w:ind w:right="224"/>
        <w:jc w:val="left"/>
      </w:pPr>
      <w:r>
        <w:rPr/>
        <w:t>其中：</w:t>
      </w:r>
      <w:r>
        <w:rPr>
          <w:rFonts w:ascii="Arial" w:hAnsi="Arial" w:cs="Arial" w:eastAsia="Arial" w:hint="default"/>
        </w:rPr>
        <w:t>P</w:t>
      </w:r>
      <w:r>
        <w:rPr>
          <w:rFonts w:ascii="Arial" w:hAnsi="Arial" w:cs="Arial" w:eastAsia="Arial" w:hint="default"/>
          <w:spacing w:val="-10"/>
        </w:rPr>
        <w:t> </w:t>
      </w:r>
      <w:r>
        <w:rPr/>
        <w:t>为归属于公司普通股股东的净利润或扣除非经常性损益后归属于公司普通 股股东的净利润；</w:t>
      </w:r>
      <w:r>
        <w:rPr>
          <w:rFonts w:ascii="Arial" w:hAnsi="Arial" w:cs="Arial" w:eastAsia="Arial" w:hint="default"/>
        </w:rPr>
        <w:t>E</w:t>
      </w:r>
      <w:r>
        <w:rPr>
          <w:rFonts w:ascii="Arial" w:hAnsi="Arial" w:cs="Arial" w:eastAsia="Arial" w:hint="default"/>
          <w:spacing w:val="-8"/>
        </w:rPr>
        <w:t> </w:t>
      </w:r>
      <w:r>
        <w:rPr/>
        <w:t>为归属于公司普通股股东的期末净资产。</w:t>
      </w:r>
    </w:p>
    <w:p>
      <w:pPr>
        <w:spacing w:line="240" w:lineRule="auto" w:before="10"/>
        <w:rPr>
          <w:rFonts w:ascii="宋体" w:hAnsi="宋体" w:cs="宋体" w:eastAsia="宋体" w:hint="default"/>
          <w:sz w:val="18"/>
          <w:szCs w:val="18"/>
        </w:rPr>
      </w:pPr>
    </w:p>
    <w:p>
      <w:pPr>
        <w:pStyle w:val="BodyText"/>
        <w:spacing w:line="240" w:lineRule="auto"/>
        <w:ind w:right="108"/>
        <w:jc w:val="left"/>
        <w:rPr>
          <w:rFonts w:ascii="Arial" w:hAnsi="Arial" w:cs="Arial" w:eastAsia="Arial" w:hint="default"/>
        </w:rPr>
      </w:pPr>
      <w:r>
        <w:rPr/>
        <w:t>加权平均净资产收益率</w:t>
      </w:r>
      <w:r>
        <w:rPr>
          <w:rFonts w:ascii="Arial" w:hAnsi="Arial" w:cs="Arial" w:eastAsia="Arial" w:hint="default"/>
        </w:rPr>
        <w:t>(ROE)</w:t>
      </w:r>
      <w:r>
        <w:rPr/>
        <w:t>的计算公式如下</w:t>
      </w:r>
      <w:r>
        <w:rPr>
          <w:rFonts w:ascii="Arial" w:hAnsi="Arial" w:cs="Arial" w:eastAsia="Arial" w:hint="default"/>
        </w:rPr>
        <w:t>:</w:t>
      </w:r>
    </w:p>
    <w:p>
      <w:pPr>
        <w:spacing w:line="256" w:lineRule="exact" w:before="12"/>
        <w:ind w:left="565" w:right="4217" w:firstLine="3869"/>
        <w:jc w:val="left"/>
        <w:rPr>
          <w:rFonts w:ascii="宋体" w:hAnsi="宋体" w:cs="宋体" w:eastAsia="宋体" w:hint="default"/>
          <w:sz w:val="21"/>
          <w:szCs w:val="21"/>
        </w:rPr>
      </w:pPr>
      <w:r>
        <w:rPr>
          <w:rFonts w:ascii="Arial" w:hAnsi="Arial" w:cs="Arial" w:eastAsia="Arial" w:hint="default"/>
          <w:sz w:val="21"/>
          <w:szCs w:val="21"/>
        </w:rPr>
        <w:t>P</w:t>
      </w:r>
      <w:r>
        <w:rPr>
          <w:rFonts w:ascii="Arial" w:hAnsi="Arial" w:cs="Arial" w:eastAsia="Arial" w:hint="default"/>
          <w:w w:val="100"/>
          <w:sz w:val="21"/>
          <w:szCs w:val="21"/>
        </w:rPr>
        <w:t> </w:t>
      </w:r>
      <w:r>
        <w:rPr>
          <w:rFonts w:ascii="Arial" w:hAnsi="Arial" w:cs="Arial" w:eastAsia="Arial" w:hint="default"/>
          <w:sz w:val="21"/>
          <w:szCs w:val="21"/>
        </w:rPr>
        <w:t>ROE</w:t>
      </w:r>
      <w:r>
        <w:rPr>
          <w:rFonts w:ascii="Arial" w:hAnsi="Arial" w:cs="Arial" w:eastAsia="Arial" w:hint="default"/>
          <w:spacing w:val="-4"/>
          <w:sz w:val="21"/>
          <w:szCs w:val="21"/>
        </w:rPr>
        <w:t> </w:t>
      </w:r>
      <w:r>
        <w:rPr>
          <w:rFonts w:ascii="Arial" w:hAnsi="Arial" w:cs="Arial" w:eastAsia="Arial" w:hint="default"/>
          <w:sz w:val="21"/>
          <w:szCs w:val="21"/>
        </w:rPr>
        <w:t>=</w:t>
      </w:r>
      <w:r>
        <w:rPr>
          <w:rFonts w:ascii="宋体" w:hAnsi="宋体" w:cs="宋体" w:eastAsia="宋体" w:hint="default"/>
          <w:sz w:val="21"/>
          <w:szCs w:val="21"/>
        </w:rPr>
        <w:t>—————————————————</w:t>
      </w:r>
    </w:p>
    <w:p>
      <w:pPr>
        <w:spacing w:line="266" w:lineRule="exact" w:before="0"/>
        <w:ind w:left="1720" w:right="108" w:firstLine="0"/>
        <w:jc w:val="left"/>
        <w:rPr>
          <w:rFonts w:ascii="Arial" w:hAnsi="Arial" w:cs="Arial" w:eastAsia="Arial" w:hint="default"/>
          <w:sz w:val="21"/>
          <w:szCs w:val="21"/>
        </w:rPr>
      </w:pPr>
      <w:r>
        <w:rPr>
          <w:rFonts w:ascii="Arial" w:hAnsi="Arial" w:cs="Arial" w:eastAsia="Arial" w:hint="default"/>
          <w:sz w:val="21"/>
          <w:szCs w:val="21"/>
        </w:rPr>
        <w:t>E0+NP</w:t>
      </w:r>
      <w:r>
        <w:rPr>
          <w:rFonts w:ascii="宋体" w:hAnsi="宋体" w:cs="宋体" w:eastAsia="宋体" w:hint="default"/>
          <w:sz w:val="21"/>
          <w:szCs w:val="21"/>
        </w:rPr>
        <w:t>÷</w:t>
      </w:r>
      <w:r>
        <w:rPr>
          <w:rFonts w:ascii="Arial" w:hAnsi="Arial" w:cs="Arial" w:eastAsia="Arial" w:hint="default"/>
          <w:sz w:val="21"/>
          <w:szCs w:val="21"/>
        </w:rPr>
        <w:t>2+Ei</w:t>
      </w:r>
      <w:r>
        <w:rPr>
          <w:rFonts w:ascii="宋体" w:hAnsi="宋体" w:cs="宋体" w:eastAsia="宋体" w:hint="default"/>
          <w:sz w:val="21"/>
          <w:szCs w:val="21"/>
        </w:rPr>
        <w:t>×</w:t>
      </w:r>
      <w:r>
        <w:rPr>
          <w:rFonts w:ascii="Arial" w:hAnsi="Arial" w:cs="Arial" w:eastAsia="Arial" w:hint="default"/>
          <w:sz w:val="21"/>
          <w:szCs w:val="21"/>
        </w:rPr>
        <w:t>Mi</w:t>
      </w:r>
      <w:r>
        <w:rPr>
          <w:rFonts w:ascii="宋体" w:hAnsi="宋体" w:cs="宋体" w:eastAsia="宋体" w:hint="default"/>
          <w:sz w:val="21"/>
          <w:szCs w:val="21"/>
        </w:rPr>
        <w:t>÷</w:t>
      </w:r>
      <w:r>
        <w:rPr>
          <w:rFonts w:ascii="Arial" w:hAnsi="Arial" w:cs="Arial" w:eastAsia="Arial" w:hint="default"/>
          <w:sz w:val="21"/>
          <w:szCs w:val="21"/>
        </w:rPr>
        <w:t>M0-Ej</w:t>
      </w:r>
      <w:r>
        <w:rPr>
          <w:rFonts w:ascii="宋体" w:hAnsi="宋体" w:cs="宋体" w:eastAsia="宋体" w:hint="default"/>
          <w:sz w:val="21"/>
          <w:szCs w:val="21"/>
        </w:rPr>
        <w:t>×</w:t>
      </w:r>
      <w:r>
        <w:rPr>
          <w:rFonts w:ascii="Arial" w:hAnsi="Arial" w:cs="Arial" w:eastAsia="Arial" w:hint="default"/>
          <w:sz w:val="21"/>
          <w:szCs w:val="21"/>
        </w:rPr>
        <w:t>Mj</w:t>
      </w:r>
      <w:r>
        <w:rPr>
          <w:rFonts w:ascii="宋体" w:hAnsi="宋体" w:cs="宋体" w:eastAsia="宋体" w:hint="default"/>
          <w:sz w:val="21"/>
          <w:szCs w:val="21"/>
        </w:rPr>
        <w:t>÷</w:t>
      </w:r>
      <w:r>
        <w:rPr>
          <w:rFonts w:ascii="Arial" w:hAnsi="Arial" w:cs="Arial" w:eastAsia="Arial" w:hint="default"/>
          <w:sz w:val="21"/>
          <w:szCs w:val="21"/>
        </w:rPr>
        <w:t>M0</w:t>
      </w:r>
    </w:p>
    <w:p>
      <w:pPr>
        <w:spacing w:line="240" w:lineRule="auto" w:before="10"/>
        <w:rPr>
          <w:rFonts w:ascii="Arial" w:hAnsi="Arial" w:cs="Arial" w:eastAsia="Arial" w:hint="default"/>
          <w:sz w:val="24"/>
          <w:szCs w:val="24"/>
        </w:rPr>
      </w:pPr>
    </w:p>
    <w:p>
      <w:pPr>
        <w:pStyle w:val="BodyText"/>
        <w:spacing w:line="312" w:lineRule="exact"/>
        <w:ind w:right="239"/>
        <w:jc w:val="both"/>
      </w:pPr>
      <w:r>
        <w:rPr/>
        <w:t>其中</w:t>
      </w:r>
      <w:r>
        <w:rPr>
          <w:rFonts w:ascii="Arial" w:hAnsi="Arial" w:cs="Arial" w:eastAsia="Arial" w:hint="default"/>
        </w:rPr>
        <w:t>:P </w:t>
      </w:r>
      <w:r>
        <w:rPr>
          <w:spacing w:val="-3"/>
        </w:rPr>
        <w:t>为报告期归属于公司普通股股东的利润、扣除非经常性损益后归属于公司普</w:t>
      </w:r>
      <w:r>
        <w:rPr>
          <w:spacing w:val="-112"/>
        </w:rPr>
        <w:t> </w:t>
      </w:r>
      <w:r>
        <w:rPr>
          <w:spacing w:val="-112"/>
        </w:rPr>
      </w:r>
      <w:r>
        <w:rPr>
          <w:spacing w:val="-3"/>
        </w:rPr>
        <w:t>通股股东的净利润；</w:t>
      </w:r>
      <w:r>
        <w:rPr>
          <w:rFonts w:ascii="Arial" w:hAnsi="Arial" w:cs="Arial" w:eastAsia="Arial" w:hint="default"/>
          <w:spacing w:val="-3"/>
        </w:rPr>
        <w:t>NP </w:t>
      </w:r>
      <w:r>
        <w:rPr/>
        <w:t>为报告期归属于公司普通股股东的净利润；</w:t>
      </w:r>
      <w:r>
        <w:rPr>
          <w:rFonts w:ascii="Arial" w:hAnsi="Arial" w:cs="Arial" w:eastAsia="Arial" w:hint="default"/>
        </w:rPr>
        <w:t>E0</w:t>
      </w:r>
      <w:r>
        <w:rPr>
          <w:rFonts w:ascii="Arial" w:hAnsi="Arial" w:cs="Arial" w:eastAsia="Arial" w:hint="default"/>
          <w:spacing w:val="-28"/>
        </w:rPr>
        <w:t> </w:t>
      </w:r>
      <w:r>
        <w:rPr/>
        <w:t>为归属于公 </w:t>
      </w:r>
      <w:r>
        <w:rPr>
          <w:spacing w:val="-2"/>
        </w:rPr>
        <w:t>司普通股股东的期初净资产；</w:t>
      </w:r>
      <w:r>
        <w:rPr>
          <w:rFonts w:ascii="Arial" w:hAnsi="Arial" w:cs="Arial" w:eastAsia="Arial" w:hint="default"/>
          <w:spacing w:val="-2"/>
        </w:rPr>
        <w:t>Ei</w:t>
      </w:r>
      <w:r>
        <w:rPr>
          <w:rFonts w:ascii="Arial" w:hAnsi="Arial" w:cs="Arial" w:eastAsia="Arial" w:hint="default"/>
        </w:rPr>
        <w:t> </w:t>
      </w:r>
      <w:r>
        <w:rPr>
          <w:spacing w:val="-2"/>
        </w:rPr>
        <w:t>为报告期发行新股或债转股等新增的、归属于公司</w:t>
      </w:r>
      <w:r>
        <w:rPr>
          <w:spacing w:val="-111"/>
        </w:rPr>
        <w:t> </w:t>
      </w:r>
      <w:r>
        <w:rPr>
          <w:spacing w:val="-111"/>
        </w:rPr>
      </w:r>
      <w:r>
        <w:rPr/>
        <w:t>普通股股东的净资产；</w:t>
      </w:r>
      <w:r>
        <w:rPr>
          <w:rFonts w:ascii="Arial" w:hAnsi="Arial" w:cs="Arial" w:eastAsia="Arial" w:hint="default"/>
        </w:rPr>
        <w:t>Ej </w:t>
      </w:r>
      <w:r>
        <w:rPr/>
        <w:t>为报告期回购或现金分红等减少净资产；</w:t>
      </w:r>
      <w:r>
        <w:rPr>
          <w:rFonts w:ascii="Arial" w:hAnsi="Arial" w:cs="Arial" w:eastAsia="Arial" w:hint="default"/>
        </w:rPr>
        <w:t>M0</w:t>
      </w:r>
      <w:r>
        <w:rPr>
          <w:rFonts w:ascii="Arial" w:hAnsi="Arial" w:cs="Arial" w:eastAsia="Arial" w:hint="default"/>
          <w:spacing w:val="15"/>
        </w:rPr>
        <w:t> </w:t>
      </w:r>
      <w:r>
        <w:rPr/>
        <w:t>为报告期月 份数；</w:t>
      </w:r>
      <w:r>
        <w:rPr>
          <w:rFonts w:ascii="Arial" w:hAnsi="Arial" w:cs="Arial" w:eastAsia="Arial" w:hint="default"/>
        </w:rPr>
        <w:t>Mi </w:t>
      </w:r>
      <w:r>
        <w:rPr/>
        <w:t>为新增净资产下一月份起至报告期期末的月份数；</w:t>
      </w:r>
      <w:r>
        <w:rPr>
          <w:rFonts w:ascii="Arial" w:hAnsi="Arial" w:cs="Arial" w:eastAsia="Arial" w:hint="default"/>
        </w:rPr>
        <w:t>Mj</w:t>
      </w:r>
      <w:r>
        <w:rPr>
          <w:rFonts w:ascii="Arial" w:hAnsi="Arial" w:cs="Arial" w:eastAsia="Arial" w:hint="default"/>
          <w:spacing w:val="50"/>
        </w:rPr>
        <w:t> </w:t>
      </w:r>
      <w:r>
        <w:rPr/>
        <w:t>为减少净资产下一</w:t>
      </w:r>
      <w:r>
        <w:rPr>
          <w:spacing w:val="-1"/>
        </w:rPr>
        <w:t> </w:t>
      </w:r>
      <w:r>
        <w:rPr/>
        <w:t>月份起至报告期期末的月份数。</w:t>
      </w:r>
    </w:p>
    <w:p>
      <w:pPr>
        <w:spacing w:line="240" w:lineRule="auto" w:before="10"/>
        <w:rPr>
          <w:rFonts w:ascii="宋体" w:hAnsi="宋体" w:cs="宋体" w:eastAsia="宋体" w:hint="default"/>
          <w:sz w:val="16"/>
          <w:szCs w:val="16"/>
        </w:rPr>
      </w:pPr>
    </w:p>
    <w:p>
      <w:pPr>
        <w:pStyle w:val="BodyText"/>
        <w:spacing w:line="240" w:lineRule="auto" w:before="26"/>
        <w:ind w:right="108"/>
        <w:jc w:val="left"/>
        <w:rPr>
          <w:rFonts w:ascii="Arial" w:hAnsi="Arial" w:cs="Arial" w:eastAsia="Arial" w:hint="default"/>
        </w:rPr>
      </w:pPr>
      <w:r>
        <w:rPr/>
        <w:t>加权平均每股收益</w:t>
      </w:r>
      <w:r>
        <w:rPr>
          <w:rFonts w:ascii="Arial" w:hAnsi="Arial" w:cs="Arial" w:eastAsia="Arial" w:hint="default"/>
        </w:rPr>
        <w:t>(EPS)</w:t>
      </w:r>
      <w:r>
        <w:rPr/>
        <w:t>的计算公式如下</w:t>
      </w:r>
      <w:r>
        <w:rPr>
          <w:rFonts w:ascii="Arial" w:hAnsi="Arial" w:cs="Arial" w:eastAsia="Arial" w:hint="default"/>
        </w:rPr>
        <w:t>:</w:t>
      </w:r>
    </w:p>
    <w:p>
      <w:pPr>
        <w:spacing w:line="224" w:lineRule="exact" w:before="19"/>
        <w:ind w:left="2285" w:right="1860" w:firstLine="0"/>
        <w:jc w:val="center"/>
        <w:rPr>
          <w:rFonts w:ascii="Arial" w:hAnsi="Arial" w:cs="Arial" w:eastAsia="Arial" w:hint="default"/>
          <w:sz w:val="21"/>
          <w:szCs w:val="21"/>
        </w:rPr>
      </w:pPr>
      <w:r>
        <w:rPr>
          <w:rFonts w:ascii="Arial"/>
          <w:w w:val="100"/>
          <w:sz w:val="21"/>
        </w:rPr>
        <w:t>P</w:t>
      </w:r>
    </w:p>
    <w:p>
      <w:pPr>
        <w:spacing w:line="273" w:lineRule="exact" w:before="0"/>
        <w:ind w:left="565" w:right="108" w:firstLine="0"/>
        <w:jc w:val="left"/>
        <w:rPr>
          <w:rFonts w:ascii="宋体" w:hAnsi="宋体" w:cs="宋体" w:eastAsia="宋体" w:hint="default"/>
          <w:sz w:val="21"/>
          <w:szCs w:val="21"/>
        </w:rPr>
      </w:pPr>
      <w:r>
        <w:rPr>
          <w:rFonts w:ascii="Arial" w:hAnsi="Arial" w:cs="Arial" w:eastAsia="Arial" w:hint="default"/>
          <w:sz w:val="21"/>
          <w:szCs w:val="21"/>
        </w:rPr>
        <w:t>EPS</w:t>
      </w:r>
      <w:r>
        <w:rPr>
          <w:rFonts w:ascii="Arial" w:hAnsi="Arial" w:cs="Arial" w:eastAsia="Arial" w:hint="default"/>
          <w:spacing w:val="-3"/>
          <w:sz w:val="21"/>
          <w:szCs w:val="21"/>
        </w:rPr>
        <w:t> </w:t>
      </w:r>
      <w:r>
        <w:rPr>
          <w:rFonts w:ascii="Arial" w:hAnsi="Arial" w:cs="Arial" w:eastAsia="Arial" w:hint="default"/>
          <w:sz w:val="21"/>
          <w:szCs w:val="21"/>
        </w:rPr>
        <w:t>=</w:t>
      </w:r>
      <w:r>
        <w:rPr>
          <w:rFonts w:ascii="宋体" w:hAnsi="宋体" w:cs="宋体" w:eastAsia="宋体" w:hint="default"/>
          <w:sz w:val="21"/>
          <w:szCs w:val="21"/>
        </w:rPr>
        <w:t>————————————————</w:t>
      </w:r>
    </w:p>
    <w:p>
      <w:pPr>
        <w:spacing w:line="272" w:lineRule="exact" w:before="0"/>
        <w:ind w:left="1824" w:right="108" w:firstLine="0"/>
        <w:jc w:val="left"/>
        <w:rPr>
          <w:rFonts w:ascii="Arial" w:hAnsi="Arial" w:cs="Arial" w:eastAsia="Arial" w:hint="default"/>
          <w:sz w:val="21"/>
          <w:szCs w:val="21"/>
        </w:rPr>
      </w:pPr>
      <w:r>
        <w:rPr>
          <w:rFonts w:ascii="Arial" w:hAnsi="Arial" w:cs="Arial" w:eastAsia="Arial" w:hint="default"/>
          <w:sz w:val="21"/>
          <w:szCs w:val="21"/>
        </w:rPr>
        <w:t>S0+S1+Si</w:t>
      </w:r>
      <w:r>
        <w:rPr>
          <w:rFonts w:ascii="宋体" w:hAnsi="宋体" w:cs="宋体" w:eastAsia="宋体" w:hint="default"/>
          <w:sz w:val="21"/>
          <w:szCs w:val="21"/>
        </w:rPr>
        <w:t>×</w:t>
      </w:r>
      <w:r>
        <w:rPr>
          <w:rFonts w:ascii="Arial" w:hAnsi="Arial" w:cs="Arial" w:eastAsia="Arial" w:hint="default"/>
          <w:sz w:val="21"/>
          <w:szCs w:val="21"/>
        </w:rPr>
        <w:t>Mi</w:t>
      </w:r>
      <w:r>
        <w:rPr>
          <w:rFonts w:ascii="宋体" w:hAnsi="宋体" w:cs="宋体" w:eastAsia="宋体" w:hint="default"/>
          <w:sz w:val="21"/>
          <w:szCs w:val="21"/>
        </w:rPr>
        <w:t>÷</w:t>
      </w:r>
      <w:r>
        <w:rPr>
          <w:rFonts w:ascii="Arial" w:hAnsi="Arial" w:cs="Arial" w:eastAsia="Arial" w:hint="default"/>
          <w:sz w:val="21"/>
          <w:szCs w:val="21"/>
        </w:rPr>
        <w:t>M0-Sj</w:t>
      </w:r>
      <w:r>
        <w:rPr>
          <w:rFonts w:ascii="宋体" w:hAnsi="宋体" w:cs="宋体" w:eastAsia="宋体" w:hint="default"/>
          <w:sz w:val="21"/>
          <w:szCs w:val="21"/>
        </w:rPr>
        <w:t>×</w:t>
      </w:r>
      <w:r>
        <w:rPr>
          <w:rFonts w:ascii="Arial" w:hAnsi="Arial" w:cs="Arial" w:eastAsia="Arial" w:hint="default"/>
          <w:sz w:val="21"/>
          <w:szCs w:val="21"/>
        </w:rPr>
        <w:t>Mj</w:t>
      </w:r>
      <w:r>
        <w:rPr>
          <w:rFonts w:ascii="宋体" w:hAnsi="宋体" w:cs="宋体" w:eastAsia="宋体" w:hint="default"/>
          <w:sz w:val="21"/>
          <w:szCs w:val="21"/>
        </w:rPr>
        <w:t>÷</w:t>
      </w:r>
      <w:r>
        <w:rPr>
          <w:rFonts w:ascii="Arial" w:hAnsi="Arial" w:cs="Arial" w:eastAsia="Arial" w:hint="default"/>
          <w:sz w:val="21"/>
          <w:szCs w:val="21"/>
        </w:rPr>
        <w:t>M0</w:t>
      </w:r>
    </w:p>
    <w:p>
      <w:pPr>
        <w:spacing w:line="240" w:lineRule="auto" w:before="10"/>
        <w:rPr>
          <w:rFonts w:ascii="Arial" w:hAnsi="Arial" w:cs="Arial" w:eastAsia="Arial" w:hint="default"/>
          <w:sz w:val="24"/>
          <w:szCs w:val="24"/>
        </w:rPr>
      </w:pPr>
    </w:p>
    <w:p>
      <w:pPr>
        <w:pStyle w:val="BodyText"/>
        <w:spacing w:line="312" w:lineRule="exact"/>
        <w:ind w:right="238"/>
        <w:jc w:val="both"/>
      </w:pPr>
      <w:r>
        <w:rPr/>
        <w:t>其中：</w:t>
      </w:r>
      <w:r>
        <w:rPr>
          <w:rFonts w:ascii="Arial" w:hAnsi="Arial" w:cs="Arial" w:eastAsia="Arial" w:hint="default"/>
        </w:rPr>
        <w:t>P</w:t>
      </w:r>
      <w:r>
        <w:rPr>
          <w:rFonts w:ascii="Arial" w:hAnsi="Arial" w:cs="Arial" w:eastAsia="Arial" w:hint="default"/>
          <w:spacing w:val="-10"/>
        </w:rPr>
        <w:t> </w:t>
      </w:r>
      <w:r>
        <w:rPr/>
        <w:t>为报告期归属于公司普通股股东的净利润或扣除非经常性损益后归属于普 通股股东的净利润；</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24"/>
        </w:rPr>
        <w:t> </w:t>
      </w:r>
      <w:r>
        <w:rPr/>
        <w:t>为报告期因公积金转增股本或股票股 </w:t>
      </w:r>
      <w:r>
        <w:rPr>
          <w:spacing w:val="-4"/>
        </w:rPr>
        <w:t>利分配等增加股份数；</w:t>
      </w:r>
      <w:r>
        <w:rPr>
          <w:rFonts w:ascii="Arial" w:hAnsi="Arial" w:cs="Arial" w:eastAsia="Arial" w:hint="default"/>
          <w:spacing w:val="-4"/>
        </w:rPr>
        <w:t>Si</w:t>
      </w:r>
      <w:r>
        <w:rPr>
          <w:rFonts w:ascii="Arial" w:hAnsi="Arial" w:cs="Arial" w:eastAsia="Arial" w:hint="default"/>
          <w:spacing w:val="1"/>
        </w:rPr>
        <w:t> </w:t>
      </w:r>
      <w:r>
        <w:rPr>
          <w:spacing w:val="-3"/>
        </w:rPr>
        <w:t>为报告期因发行新股或债转股等增加股份数；</w:t>
      </w:r>
      <w:r>
        <w:rPr>
          <w:rFonts w:ascii="Arial" w:hAnsi="Arial" w:cs="Arial" w:eastAsia="Arial" w:hint="default"/>
          <w:spacing w:val="-3"/>
        </w:rPr>
        <w:t>Sj</w:t>
      </w:r>
      <w:r>
        <w:rPr>
          <w:rFonts w:ascii="Arial" w:hAnsi="Arial" w:cs="Arial" w:eastAsia="Arial" w:hint="default"/>
          <w:spacing w:val="3"/>
        </w:rPr>
        <w:t> </w:t>
      </w:r>
      <w:r>
        <w:rPr/>
        <w:t>为报告期</w:t>
      </w:r>
      <w:r>
        <w:rPr>
          <w:spacing w:val="-118"/>
        </w:rPr>
        <w:t> </w:t>
      </w:r>
      <w:r>
        <w:rPr/>
        <w:t>因回购或缩股等减少股份数；</w:t>
      </w:r>
      <w:r>
        <w:rPr>
          <w:rFonts w:ascii="Arial" w:hAnsi="Arial" w:cs="Arial" w:eastAsia="Arial" w:hint="default"/>
        </w:rPr>
        <w:t>M0 </w:t>
      </w:r>
      <w:r>
        <w:rPr/>
        <w:t>为报告期月份数；</w:t>
      </w:r>
      <w:r>
        <w:rPr>
          <w:rFonts w:ascii="Arial" w:hAnsi="Arial" w:cs="Arial" w:eastAsia="Arial" w:hint="default"/>
        </w:rPr>
        <w:t>Mi</w:t>
      </w:r>
      <w:r>
        <w:rPr>
          <w:rFonts w:ascii="Arial" w:hAnsi="Arial" w:cs="Arial" w:eastAsia="Arial" w:hint="default"/>
          <w:spacing w:val="-23"/>
        </w:rPr>
        <w:t> </w:t>
      </w:r>
      <w:r>
        <w:rPr/>
        <w:t>为增加股份下一月份起至报 期期末的月份数；</w:t>
      </w:r>
      <w:r>
        <w:rPr>
          <w:rFonts w:ascii="Arial" w:hAnsi="Arial" w:cs="Arial" w:eastAsia="Arial" w:hint="default"/>
        </w:rPr>
        <w:t>Mj</w:t>
      </w:r>
      <w:r>
        <w:rPr>
          <w:rFonts w:ascii="Arial" w:hAnsi="Arial" w:cs="Arial" w:eastAsia="Arial" w:hint="default"/>
          <w:spacing w:val="-9"/>
        </w:rPr>
        <w:t> </w:t>
      </w:r>
      <w:r>
        <w:rPr/>
        <w:t>为减少股份下一月份起至报告期期末的月份数。</w:t>
      </w:r>
    </w:p>
    <w:p>
      <w:pPr>
        <w:spacing w:after="0" w:line="312" w:lineRule="exact"/>
        <w:jc w:val="both"/>
        <w:sectPr>
          <w:pgSz w:w="11910" w:h="16840"/>
          <w:pgMar w:header="752" w:footer="707" w:top="1020" w:bottom="900" w:left="1500" w:right="1400"/>
        </w:sectPr>
      </w:pPr>
    </w:p>
    <w:p>
      <w:pPr>
        <w:spacing w:before="22"/>
        <w:ind w:left="10021"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年年度报告</w:t>
      </w:r>
    </w:p>
    <w:p>
      <w:pPr>
        <w:spacing w:line="240" w:lineRule="auto" w:before="13"/>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81.3pt;height:.75pt;mso-position-horizontal-relative:char;mso-position-vertical-relative:line" coordorigin="0,0" coordsize="13626,15">
            <v:group style="position:absolute;left:7;top:7;width:13612;height:2" coordorigin="7,7" coordsize="13612,2">
              <v:shape style="position:absolute;left:7;top:7;width:13612;height:2" coordorigin="7,7" coordsize="13612,0" path="m7,7l1361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677" w:val="left" w:leader="none"/>
        </w:tabs>
        <w:spacing w:line="240" w:lineRule="auto" w:before="26"/>
        <w:ind w:right="0"/>
        <w:jc w:val="left"/>
      </w:pPr>
      <w:r>
        <w:rPr>
          <w:rFonts w:ascii="Arial" w:hAnsi="Arial" w:cs="Arial" w:eastAsia="Arial" w:hint="default"/>
          <w:w w:val="95"/>
        </w:rPr>
        <w:t>(2)</w:t>
        <w:tab/>
      </w: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日资产减值准备明细表</w:t>
      </w:r>
    </w:p>
    <w:p>
      <w:pPr>
        <w:spacing w:line="240" w:lineRule="auto" w:before="12"/>
        <w:rPr>
          <w:rFonts w:ascii="宋体" w:hAnsi="宋体" w:cs="宋体" w:eastAsia="宋体" w:hint="default"/>
          <w:sz w:val="23"/>
          <w:szCs w:val="23"/>
        </w:rPr>
      </w:pPr>
    </w:p>
    <w:p>
      <w:pPr>
        <w:spacing w:before="0"/>
        <w:ind w:left="143" w:right="0" w:firstLine="0"/>
        <w:jc w:val="left"/>
        <w:rPr>
          <w:rFonts w:ascii="宋体" w:hAnsi="宋体" w:cs="宋体" w:eastAsia="宋体" w:hint="default"/>
          <w:sz w:val="21"/>
          <w:szCs w:val="21"/>
        </w:rPr>
      </w:pPr>
      <w:r>
        <w:rPr>
          <w:rFonts w:ascii="宋体" w:hAnsi="宋体" w:cs="宋体" w:eastAsia="宋体" w:hint="default"/>
          <w:sz w:val="21"/>
          <w:szCs w:val="21"/>
        </w:rPr>
        <w:t>单位：人民币千元</w:t>
      </w:r>
    </w:p>
    <w:p>
      <w:pPr>
        <w:spacing w:line="240" w:lineRule="auto" w:before="5"/>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128"/>
        <w:gridCol w:w="991"/>
        <w:gridCol w:w="992"/>
        <w:gridCol w:w="851"/>
        <w:gridCol w:w="850"/>
        <w:gridCol w:w="852"/>
        <w:gridCol w:w="708"/>
        <w:gridCol w:w="992"/>
        <w:gridCol w:w="992"/>
        <w:gridCol w:w="991"/>
        <w:gridCol w:w="709"/>
        <w:gridCol w:w="992"/>
        <w:gridCol w:w="1134"/>
        <w:gridCol w:w="851"/>
        <w:gridCol w:w="992"/>
      </w:tblGrid>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1501" w:val="left" w:leader="none"/>
              </w:tabs>
              <w:spacing w:line="240" w:lineRule="auto" w:before="28"/>
              <w:ind w:left="459"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0"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5"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7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6"/>
                <w:szCs w:val="16"/>
              </w:rPr>
            </w:pPr>
            <w:r>
              <w:rPr>
                <w:rFonts w:ascii="宋体" w:hAnsi="宋体" w:cs="宋体" w:eastAsia="宋体" w:hint="default"/>
                <w:sz w:val="16"/>
                <w:szCs w:val="16"/>
              </w:rPr>
              <w:t>本期转回</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311" w:hRule="exact"/>
        </w:trPr>
        <w:tc>
          <w:tcPr>
            <w:tcW w:w="212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1" w:right="0"/>
              <w:jc w:val="left"/>
              <w:rPr>
                <w:rFonts w:ascii="宋体" w:hAnsi="宋体" w:cs="宋体" w:eastAsia="宋体" w:hint="default"/>
                <w:sz w:val="16"/>
                <w:szCs w:val="16"/>
              </w:rPr>
            </w:pPr>
            <w:r>
              <w:rPr>
                <w:rFonts w:ascii="宋体" w:hAnsi="宋体" w:cs="宋体" w:eastAsia="宋体" w:hint="default"/>
                <w:sz w:val="16"/>
                <w:szCs w:val="16"/>
              </w:rPr>
              <w:t>母公司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6"/>
                <w:szCs w:val="16"/>
              </w:rPr>
            </w:pPr>
            <w:r>
              <w:rPr>
                <w:rFonts w:ascii="宋体" w:hAnsi="宋体" w:cs="宋体" w:eastAsia="宋体" w:hint="default"/>
                <w:sz w:val="16"/>
                <w:szCs w:val="16"/>
              </w:rPr>
              <w:t>合并</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母公司</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3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6"/>
                <w:szCs w:val="16"/>
              </w:rPr>
            </w:pPr>
            <w:r>
              <w:rPr>
                <w:rFonts w:ascii="宋体" w:hAnsi="宋体" w:cs="宋体" w:eastAsia="宋体" w:hint="default"/>
                <w:sz w:val="16"/>
                <w:szCs w:val="16"/>
              </w:rPr>
              <w:t>合并</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1" w:right="0"/>
              <w:jc w:val="left"/>
              <w:rPr>
                <w:rFonts w:ascii="宋体" w:hAnsi="宋体" w:cs="宋体" w:eastAsia="宋体" w:hint="default"/>
                <w:sz w:val="16"/>
                <w:szCs w:val="16"/>
              </w:rPr>
            </w:pPr>
            <w:r>
              <w:rPr>
                <w:rFonts w:ascii="宋体" w:hAnsi="宋体" w:cs="宋体" w:eastAsia="宋体" w:hint="default"/>
                <w:sz w:val="16"/>
                <w:szCs w:val="16"/>
              </w:rPr>
              <w:t>母公司</w:t>
            </w:r>
          </w:p>
        </w:tc>
      </w:tr>
      <w:tr>
        <w:trPr>
          <w:trHeight w:val="324" w:hRule="exact"/>
        </w:trPr>
        <w:tc>
          <w:tcPr>
            <w:tcW w:w="212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6"/>
                <w:szCs w:val="16"/>
              </w:rPr>
            </w:pPr>
            <w:r>
              <w:rPr>
                <w:rFonts w:ascii="宋体" w:hAnsi="宋体" w:cs="宋体" w:eastAsia="宋体" w:hint="default"/>
                <w:sz w:val="16"/>
                <w:szCs w:val="16"/>
              </w:rPr>
              <w:t>转回数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 w:right="0"/>
              <w:jc w:val="left"/>
              <w:rPr>
                <w:rFonts w:ascii="宋体" w:hAnsi="宋体" w:cs="宋体" w:eastAsia="宋体" w:hint="default"/>
                <w:sz w:val="16"/>
                <w:szCs w:val="16"/>
              </w:rPr>
            </w:pPr>
            <w:r>
              <w:rPr>
                <w:rFonts w:ascii="宋体" w:hAnsi="宋体" w:cs="宋体" w:eastAsia="宋体" w:hint="default"/>
                <w:sz w:val="16"/>
                <w:szCs w:val="16"/>
              </w:rPr>
              <w:t>转出数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1" w:right="0"/>
              <w:jc w:val="left"/>
              <w:rPr>
                <w:rFonts w:ascii="宋体" w:hAnsi="宋体" w:cs="宋体" w:eastAsia="宋体" w:hint="default"/>
                <w:sz w:val="16"/>
                <w:szCs w:val="16"/>
              </w:rPr>
            </w:pPr>
            <w:r>
              <w:rPr>
                <w:rFonts w:ascii="宋体" w:hAnsi="宋体" w:cs="宋体" w:eastAsia="宋体" w:hint="default"/>
                <w:sz w:val="16"/>
                <w:szCs w:val="16"/>
              </w:rPr>
              <w:t>转销数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0" w:right="0"/>
              <w:jc w:val="left"/>
              <w:rPr>
                <w:rFonts w:ascii="宋体" w:hAnsi="宋体" w:cs="宋体" w:eastAsia="宋体" w:hint="default"/>
                <w:sz w:val="16"/>
                <w:szCs w:val="16"/>
              </w:rPr>
            </w:pPr>
            <w:r>
              <w:rPr>
                <w:rFonts w:ascii="宋体" w:hAnsi="宋体" w:cs="宋体" w:eastAsia="宋体" w:hint="default"/>
                <w:sz w:val="16"/>
                <w:szCs w:val="16"/>
              </w:rPr>
              <w:t>转回数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0" w:right="0"/>
              <w:jc w:val="left"/>
              <w:rPr>
                <w:rFonts w:ascii="宋体" w:hAnsi="宋体" w:cs="宋体" w:eastAsia="宋体" w:hint="default"/>
                <w:sz w:val="16"/>
                <w:szCs w:val="16"/>
              </w:rPr>
            </w:pPr>
            <w:r>
              <w:rPr>
                <w:rFonts w:ascii="宋体" w:hAnsi="宋体" w:cs="宋体" w:eastAsia="宋体" w:hint="default"/>
                <w:sz w:val="16"/>
                <w:szCs w:val="16"/>
              </w:rPr>
              <w:t>转出数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1" w:right="0"/>
              <w:jc w:val="left"/>
              <w:rPr>
                <w:rFonts w:ascii="宋体" w:hAnsi="宋体" w:cs="宋体" w:eastAsia="宋体" w:hint="default"/>
                <w:sz w:val="16"/>
                <w:szCs w:val="16"/>
              </w:rPr>
            </w:pPr>
            <w:r>
              <w:rPr>
                <w:rFonts w:ascii="宋体" w:hAnsi="宋体" w:cs="宋体" w:eastAsia="宋体" w:hint="default"/>
                <w:sz w:val="16"/>
                <w:szCs w:val="16"/>
              </w:rPr>
              <w:t>转销数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一、坏账准备合计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13,711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3,683</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9,564</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1,914</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6"/>
              <w:jc w:val="right"/>
              <w:rPr>
                <w:rFonts w:ascii="Arial" w:hAnsi="Arial" w:cs="Arial" w:eastAsia="Arial" w:hint="default"/>
                <w:sz w:val="16"/>
                <w:szCs w:val="16"/>
              </w:rPr>
            </w:pPr>
            <w:r>
              <w:rPr>
                <w:rFonts w:ascii="Arial"/>
                <w:w w:val="95"/>
                <w:sz w:val="16"/>
              </w:rPr>
              <w:t>(24)</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(24)</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1"/>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1"/>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23,251</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5,597</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6,511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1,815</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1,532</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853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right"/>
              <w:rPr>
                <w:rFonts w:ascii="Arial" w:hAnsi="Arial" w:cs="Arial" w:eastAsia="Arial" w:hint="default"/>
                <w:sz w:val="16"/>
                <w:szCs w:val="16"/>
              </w:rPr>
            </w:pPr>
            <w:r>
              <w:rPr>
                <w:rFonts w:ascii="Arial"/>
                <w:w w:val="95"/>
                <w:sz w:val="16"/>
              </w:rPr>
              <w:t>(24)</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(24)</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8,019</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2,668</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91"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7,200</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5"/>
                <w:sz w:val="16"/>
              </w:rPr>
              <w:t>1,868</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8,032</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1,061</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9"/>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1"/>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1"/>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4"/>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15,232</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2,929</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二、短期投资跌价准备合计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三、存货跌价准备合计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spacing w:val="-3"/>
                <w:sz w:val="16"/>
              </w:rPr>
              <w:t>11,494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3,712</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42,849</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9,083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9"/>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5"/>
                <w:sz w:val="16"/>
              </w:rPr>
              <w:t>(9,848)</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(9,848)</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1"/>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1"/>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(3,171)</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1"/>
              <w:jc w:val="right"/>
              <w:rPr>
                <w:rFonts w:ascii="Arial" w:hAnsi="Arial" w:cs="Arial" w:eastAsia="Arial" w:hint="default"/>
                <w:sz w:val="16"/>
                <w:szCs w:val="16"/>
              </w:rPr>
            </w:pPr>
            <w:r>
              <w:rPr>
                <w:rFonts w:ascii="Arial"/>
                <w:w w:val="95"/>
                <w:sz w:val="16"/>
              </w:rPr>
              <w:t>(3,171)</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
              <w:jc w:val="right"/>
              <w:rPr>
                <w:rFonts w:ascii="Arial" w:hAnsi="Arial" w:cs="Arial" w:eastAsia="Arial" w:hint="default"/>
                <w:sz w:val="16"/>
                <w:szCs w:val="16"/>
              </w:rPr>
            </w:pPr>
            <w:r>
              <w:rPr>
                <w:rFonts w:ascii="Arial"/>
                <w:w w:val="95"/>
                <w:sz w:val="16"/>
              </w:rPr>
              <w:t>44,495</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5"/>
                <w:sz w:val="16"/>
              </w:rPr>
              <w:t>9,624</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黑体" w:hAnsi="黑体" w:cs="黑体" w:eastAsia="黑体" w:hint="default"/>
                <w:sz w:val="16"/>
                <w:szCs w:val="16"/>
              </w:rPr>
            </w:pPr>
            <w:r>
              <w:rPr>
                <w:rFonts w:ascii="黑体" w:hAnsi="黑体" w:cs="黑体" w:eastAsia="黑体" w:hint="default"/>
                <w:sz w:val="16"/>
                <w:szCs w:val="16"/>
              </w:rPr>
              <w:t>四、长期投资减值准备合计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五、固定资产减值准备合计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其中：房屋、建筑物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黑体" w:hAnsi="黑体" w:cs="黑体" w:eastAsia="黑体" w:hint="default"/>
                <w:sz w:val="16"/>
                <w:szCs w:val="16"/>
              </w:rPr>
            </w:pPr>
            <w:r>
              <w:rPr>
                <w:rFonts w:ascii="黑体" w:hAnsi="黑体" w:cs="黑体" w:eastAsia="黑体" w:hint="default"/>
                <w:sz w:val="16"/>
                <w:szCs w:val="16"/>
              </w:rPr>
              <w:t>六、无形资产减值准备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其中：土地使用权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黑体" w:hAnsi="黑体" w:cs="黑体" w:eastAsia="黑体" w:hint="default"/>
                <w:sz w:val="16"/>
                <w:szCs w:val="16"/>
              </w:rPr>
            </w:pPr>
            <w:r>
              <w:rPr>
                <w:rFonts w:ascii="黑体" w:hAnsi="黑体" w:cs="黑体" w:eastAsia="黑体" w:hint="default"/>
                <w:sz w:val="16"/>
                <w:szCs w:val="16"/>
              </w:rPr>
              <w:t>七、在建工程减值准备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r>
        <w:trPr>
          <w:trHeight w:val="3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黑体" w:hAnsi="黑体" w:cs="黑体" w:eastAsia="黑体" w:hint="default"/>
                <w:sz w:val="16"/>
                <w:szCs w:val="16"/>
              </w:rPr>
            </w:pPr>
            <w:r>
              <w:rPr>
                <w:rFonts w:ascii="黑体" w:hAnsi="黑体" w:cs="黑体" w:eastAsia="黑体" w:hint="default"/>
                <w:sz w:val="16"/>
                <w:szCs w:val="16"/>
              </w:rPr>
              <w:t>八、委托贷款减值准备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8"/>
              <w:jc w:val="right"/>
              <w:rPr>
                <w:rFonts w:ascii="Arial" w:hAnsi="Arial" w:cs="Arial" w:eastAsia="Arial" w:hint="default"/>
                <w:sz w:val="16"/>
                <w:szCs w:val="16"/>
              </w:rPr>
            </w:pPr>
            <w:r>
              <w:rPr>
                <w:rFonts w:ascii="Arial"/>
                <w:w w:val="99"/>
                <w:sz w:val="16"/>
              </w:rPr>
              <w:t>-</w:t>
            </w:r>
            <w:r>
              <w:rPr>
                <w:rFonts w:ascii="Arial"/>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8"/>
              <w:jc w:val="right"/>
              <w:rPr>
                <w:rFonts w:ascii="Arial" w:hAnsi="Arial" w:cs="Arial" w:eastAsia="Arial" w:hint="default"/>
                <w:sz w:val="16"/>
                <w:szCs w:val="16"/>
              </w:rPr>
            </w:pPr>
            <w:r>
              <w:rPr>
                <w:rFonts w:ascii="Arial"/>
                <w:w w:val="99"/>
                <w:sz w:val="16"/>
              </w:rPr>
              <w:t>-</w:t>
            </w:r>
            <w:r>
              <w:rPr>
                <w:rFonts w:ascii="Arial"/>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0"/>
              <w:jc w:val="right"/>
              <w:rPr>
                <w:rFonts w:ascii="Arial" w:hAnsi="Arial" w:cs="Arial" w:eastAsia="Arial" w:hint="default"/>
                <w:sz w:val="16"/>
                <w:szCs w:val="16"/>
              </w:rPr>
            </w:pPr>
            <w:r>
              <w:rPr>
                <w:rFonts w:ascii="Arial"/>
                <w:w w:val="99"/>
                <w:sz w:val="16"/>
              </w:rPr>
              <w:t>-</w:t>
            </w:r>
            <w:r>
              <w:rPr>
                <w:rFonts w:ascii="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
              <w:jc w:val="right"/>
              <w:rPr>
                <w:rFonts w:ascii="Arial" w:hAnsi="Arial" w:cs="Arial" w:eastAsia="Arial" w:hint="default"/>
                <w:sz w:val="16"/>
                <w:szCs w:val="16"/>
              </w:rPr>
            </w:pPr>
            <w:r>
              <w:rPr>
                <w:rFonts w:ascii="Arial"/>
                <w:w w:val="99"/>
                <w:sz w:val="16"/>
              </w:rPr>
              <w:t>-</w:t>
            </w:r>
            <w:r>
              <w:rPr>
                <w:rFonts w:ascii="Arial"/>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3"/>
              <w:jc w:val="right"/>
              <w:rPr>
                <w:rFonts w:ascii="Arial" w:hAnsi="Arial" w:cs="Arial" w:eastAsia="Arial" w:hint="default"/>
                <w:sz w:val="16"/>
                <w:szCs w:val="16"/>
              </w:rPr>
            </w:pPr>
            <w:r>
              <w:rPr>
                <w:rFonts w:ascii="Arial"/>
                <w:w w:val="99"/>
                <w:sz w:val="16"/>
              </w:rPr>
              <w:t>-</w:t>
            </w:r>
            <w:r>
              <w:rPr>
                <w:rFonts w:ascii="Arial"/>
                <w:sz w:val="16"/>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7"/>
              <w:jc w:val="right"/>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77"/>
        <w:ind w:left="6750" w:right="8188" w:firstLine="0"/>
        <w:jc w:val="center"/>
        <w:rPr>
          <w:rFonts w:ascii="Arial" w:hAnsi="Arial" w:cs="Arial" w:eastAsia="Arial" w:hint="default"/>
          <w:sz w:val="18"/>
          <w:szCs w:val="18"/>
        </w:rPr>
      </w:pPr>
      <w:r>
        <w:rPr>
          <w:rFonts w:ascii="Arial"/>
          <w:sz w:val="18"/>
        </w:rPr>
        <w:t>153</w:t>
      </w:r>
    </w:p>
    <w:p>
      <w:pPr>
        <w:spacing w:after="0"/>
        <w:jc w:val="center"/>
        <w:rPr>
          <w:rFonts w:ascii="Arial" w:hAnsi="Arial" w:cs="Arial" w:eastAsia="Arial" w:hint="default"/>
          <w:sz w:val="18"/>
          <w:szCs w:val="18"/>
        </w:rPr>
        <w:sectPr>
          <w:headerReference w:type="default" r:id="rId22"/>
          <w:footerReference w:type="default" r:id="rId23"/>
          <w:pgSz w:w="16840" w:h="11910" w:orient="landscape"/>
          <w:pgMar w:header="0" w:footer="0" w:top="660" w:bottom="280" w:left="1500" w:right="60"/>
        </w:sectPr>
      </w:pPr>
    </w:p>
    <w:p>
      <w:pPr>
        <w:spacing w:line="240" w:lineRule="auto" w:before="2"/>
        <w:rPr>
          <w:rFonts w:ascii="Arial" w:hAnsi="Arial" w:cs="Arial" w:eastAsia="Arial" w:hint="default"/>
          <w:sz w:val="3"/>
          <w:szCs w:val="3"/>
        </w:rPr>
      </w:pPr>
    </w:p>
    <w:p>
      <w:pPr>
        <w:spacing w:line="20" w:lineRule="exact"/>
        <w:ind w:left="109" w:right="0" w:firstLine="0"/>
        <w:rPr>
          <w:rFonts w:ascii="Arial" w:hAnsi="Arial" w:cs="Arial" w:eastAsia="Arial" w:hint="default"/>
          <w:sz w:val="2"/>
          <w:szCs w:val="2"/>
        </w:rPr>
      </w:pPr>
      <w:r>
        <w:rPr>
          <w:rFonts w:ascii="Arial" w:hAnsi="Arial" w:cs="Arial" w:eastAsia="Arial" w:hint="default"/>
          <w:sz w:val="2"/>
          <w:szCs w:val="2"/>
        </w:rPr>
        <w:pict>
          <v:group style="width:474.4pt;height:.75pt;mso-position-horizontal-relative:char;mso-position-vertical-relative:line" coordorigin="0,0" coordsize="9488,15">
            <v:group style="position:absolute;left:7;top:7;width:9473;height:2" coordorigin="7,7" coordsize="9473,2">
              <v:shape style="position:absolute;left:7;top:7;width:9473;height:2" coordorigin="7,7" coordsize="9473,0" path="m7,7l9480,7e" filled="false" stroked="true" strokeweight=".72003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8"/>
          <w:szCs w:val="18"/>
        </w:rPr>
      </w:pPr>
    </w:p>
    <w:p>
      <w:pPr>
        <w:pStyle w:val="BodyText"/>
        <w:tabs>
          <w:tab w:pos="680" w:val="left" w:leader="none"/>
        </w:tabs>
        <w:spacing w:line="322" w:lineRule="exact" w:before="26"/>
        <w:ind w:left="146" w:right="100"/>
        <w:jc w:val="left"/>
        <w:rPr>
          <w:rFonts w:ascii="Arial" w:hAnsi="Arial" w:cs="Arial" w:eastAsia="Arial" w:hint="default"/>
        </w:rPr>
      </w:pPr>
      <w:r>
        <w:rPr>
          <w:rFonts w:ascii="Arial" w:hAnsi="Arial" w:cs="Arial" w:eastAsia="Arial" w:hint="default"/>
          <w:w w:val="95"/>
        </w:rPr>
        <w:t>(3)</w:t>
        <w:tab/>
      </w:r>
      <w:r>
        <w:rPr/>
        <w:t>会计报表数据变动幅度达</w:t>
      </w:r>
      <w:r>
        <w:rPr>
          <w:spacing w:val="-23"/>
        </w:rPr>
        <w:t> </w:t>
      </w:r>
      <w:r>
        <w:rPr>
          <w:rFonts w:ascii="Arial" w:hAnsi="Arial" w:cs="Arial" w:eastAsia="Arial" w:hint="default"/>
        </w:rPr>
        <w:t>30%(</w:t>
      </w:r>
      <w:r>
        <w:rPr/>
        <w:t>含</w:t>
      </w:r>
      <w:r>
        <w:rPr>
          <w:spacing w:val="-23"/>
        </w:rPr>
        <w:t> </w:t>
      </w:r>
      <w:r>
        <w:rPr>
          <w:rFonts w:ascii="Arial" w:hAnsi="Arial" w:cs="Arial" w:eastAsia="Arial" w:hint="default"/>
        </w:rPr>
        <w:t>30%)</w:t>
      </w:r>
      <w:r>
        <w:rPr/>
        <w:t>以上，且占公司报表日资产总额</w:t>
      </w:r>
      <w:r>
        <w:rPr>
          <w:spacing w:val="-23"/>
        </w:rPr>
        <w:t> </w:t>
      </w:r>
      <w:r>
        <w:rPr>
          <w:rFonts w:ascii="Arial" w:hAnsi="Arial" w:cs="Arial" w:eastAsia="Arial" w:hint="default"/>
        </w:rPr>
        <w:t>5%(</w:t>
      </w:r>
      <w:r>
        <w:rPr/>
        <w:t>含</w:t>
      </w:r>
      <w:r>
        <w:rPr>
          <w:spacing w:val="-24"/>
        </w:rPr>
        <w:t> </w:t>
      </w:r>
      <w:r>
        <w:rPr>
          <w:rFonts w:ascii="Arial" w:hAnsi="Arial" w:cs="Arial" w:eastAsia="Arial" w:hint="default"/>
        </w:rPr>
        <w:t>5%)</w:t>
      </w:r>
    </w:p>
    <w:p>
      <w:pPr>
        <w:pStyle w:val="BodyText"/>
        <w:spacing w:line="322" w:lineRule="exact"/>
        <w:ind w:left="146" w:right="100"/>
        <w:jc w:val="left"/>
      </w:pPr>
      <w:r>
        <w:rPr/>
        <w:t>或报告期利润总额</w:t>
      </w:r>
      <w:r>
        <w:rPr>
          <w:spacing w:val="-64"/>
        </w:rPr>
        <w:t> </w:t>
      </w:r>
      <w:r>
        <w:rPr>
          <w:rFonts w:ascii="Arial" w:hAnsi="Arial" w:cs="Arial" w:eastAsia="Arial" w:hint="default"/>
        </w:rPr>
        <w:t>10%(</w:t>
      </w:r>
      <w:r>
        <w:rPr/>
        <w:t>含</w:t>
      </w:r>
      <w:r>
        <w:rPr>
          <w:spacing w:val="-64"/>
        </w:rPr>
        <w:t> </w:t>
      </w:r>
      <w:r>
        <w:rPr>
          <w:rFonts w:ascii="Arial" w:hAnsi="Arial" w:cs="Arial" w:eastAsia="Arial" w:hint="default"/>
        </w:rPr>
        <w:t>10%)</w:t>
      </w:r>
      <w:r>
        <w:rPr/>
        <w:t>以上的项目分析</w:t>
      </w:r>
    </w:p>
    <w:p>
      <w:pPr>
        <w:spacing w:line="240" w:lineRule="auto" w:before="2"/>
        <w:rPr>
          <w:rFonts w:ascii="宋体" w:hAnsi="宋体" w:cs="宋体" w:eastAsia="宋体" w:hint="default"/>
          <w:sz w:val="19"/>
          <w:szCs w:val="19"/>
        </w:rPr>
      </w:pPr>
    </w:p>
    <w:tbl>
      <w:tblPr>
        <w:tblW w:w="0" w:type="auto"/>
        <w:jc w:val="left"/>
        <w:tblInd w:w="219" w:type="dxa"/>
        <w:tblLayout w:type="fixed"/>
        <w:tblCellMar>
          <w:top w:w="0" w:type="dxa"/>
          <w:left w:w="0" w:type="dxa"/>
          <w:bottom w:w="0" w:type="dxa"/>
          <w:right w:w="0" w:type="dxa"/>
        </w:tblCellMar>
        <w:tblLook w:val="01E0"/>
      </w:tblPr>
      <w:tblGrid>
        <w:gridCol w:w="1306"/>
        <w:gridCol w:w="1222"/>
        <w:gridCol w:w="1860"/>
        <w:gridCol w:w="1918"/>
        <w:gridCol w:w="3051"/>
      </w:tblGrid>
      <w:tr>
        <w:trPr>
          <w:trHeight w:val="655" w:hRule="exact"/>
        </w:trPr>
        <w:tc>
          <w:tcPr>
            <w:tcW w:w="2528" w:type="dxa"/>
            <w:gridSpan w:val="2"/>
            <w:vMerge w:val="restart"/>
            <w:tcBorders>
              <w:top w:val="nil" w:sz="6" w:space="0" w:color="auto"/>
              <w:left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8"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40" w:lineRule="auto" w:before="20"/>
              <w:ind w:left="29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69"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40" w:lineRule="auto" w:before="20"/>
              <w:ind w:left="554"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45" w:right="0"/>
              <w:jc w:val="left"/>
              <w:rPr>
                <w:rFonts w:ascii="宋体" w:hAnsi="宋体" w:cs="宋体" w:eastAsia="宋体" w:hint="default"/>
                <w:sz w:val="21"/>
                <w:szCs w:val="21"/>
              </w:rPr>
            </w:pPr>
            <w:r>
              <w:rPr>
                <w:rFonts w:ascii="宋体" w:hAnsi="宋体" w:cs="宋体" w:eastAsia="宋体" w:hint="default"/>
                <w:sz w:val="21"/>
                <w:szCs w:val="21"/>
              </w:rPr>
              <w:t>差异变动金额及幅度</w:t>
            </w:r>
          </w:p>
          <w:p>
            <w:pPr>
              <w:pStyle w:val="TableParagraph"/>
              <w:spacing w:line="240" w:lineRule="auto" w:before="34"/>
              <w:ind w:right="7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520" w:hRule="exact"/>
        </w:trPr>
        <w:tc>
          <w:tcPr>
            <w:tcW w:w="2528" w:type="dxa"/>
            <w:gridSpan w:val="2"/>
            <w:vMerge/>
            <w:tcBorders>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7"/>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tc>
        <w:tc>
          <w:tcPr>
            <w:tcW w:w="3051" w:type="dxa"/>
            <w:tcBorders>
              <w:top w:val="nil" w:sz="6" w:space="0" w:color="auto"/>
              <w:left w:val="nil" w:sz="6" w:space="0" w:color="auto"/>
              <w:bottom w:val="nil" w:sz="6" w:space="0" w:color="auto"/>
              <w:right w:val="nil" w:sz="6" w:space="0" w:color="auto"/>
            </w:tcBorders>
          </w:tcPr>
          <w:p>
            <w:pPr>
              <w:pStyle w:val="TableParagraph"/>
              <w:spacing w:line="222" w:lineRule="exact"/>
              <w:ind w:right="72"/>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3" w:lineRule="exact"/>
              <w:ind w:left="259"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r>
      <w:tr>
        <w:trPr>
          <w:trHeight w:val="286"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22" w:type="dxa"/>
            <w:tcBorders>
              <w:top w:val="nil" w:sz="6" w:space="0" w:color="auto"/>
              <w:left w:val="nil" w:sz="6" w:space="0" w:color="auto"/>
              <w:bottom w:val="nil" w:sz="6" w:space="0" w:color="auto"/>
              <w:right w:val="nil" w:sz="6" w:space="0" w:color="auto"/>
            </w:tcBorders>
          </w:tcPr>
          <w:p>
            <w:pPr>
              <w:pStyle w:val="TableParagraph"/>
              <w:spacing w:line="255"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1</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22"/>
              <w:jc w:val="right"/>
              <w:rPr>
                <w:rFonts w:ascii="Arial" w:hAnsi="Arial" w:cs="Arial" w:eastAsia="Arial" w:hint="default"/>
                <w:sz w:val="21"/>
                <w:szCs w:val="21"/>
              </w:rPr>
            </w:pPr>
            <w:r>
              <w:rPr>
                <w:rFonts w:ascii="Arial"/>
                <w:spacing w:val="-1"/>
                <w:sz w:val="21"/>
              </w:rPr>
              <w:t>10,574,232</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7"/>
              <w:jc w:val="right"/>
              <w:rPr>
                <w:rFonts w:ascii="Arial" w:hAnsi="Arial" w:cs="Arial" w:eastAsia="Arial" w:hint="default"/>
                <w:sz w:val="21"/>
                <w:szCs w:val="21"/>
              </w:rPr>
            </w:pPr>
            <w:r>
              <w:rPr>
                <w:rFonts w:ascii="Arial"/>
                <w:spacing w:val="-1"/>
                <w:w w:val="95"/>
                <w:sz w:val="21"/>
              </w:rPr>
              <w:t>7,465,293</w:t>
            </w:r>
            <w:r>
              <w:rPr>
                <w:rFonts w:ascii="Arial"/>
                <w:sz w:val="21"/>
              </w:rPr>
            </w:r>
          </w:p>
        </w:tc>
        <w:tc>
          <w:tcPr>
            <w:tcW w:w="3051" w:type="dxa"/>
            <w:tcBorders>
              <w:top w:val="nil" w:sz="6" w:space="0" w:color="auto"/>
              <w:left w:val="nil" w:sz="6" w:space="0" w:color="auto"/>
              <w:bottom w:val="nil" w:sz="6" w:space="0" w:color="auto"/>
              <w:right w:val="nil" w:sz="6" w:space="0" w:color="auto"/>
            </w:tcBorders>
          </w:tcPr>
          <w:p>
            <w:pPr>
              <w:pStyle w:val="TableParagraph"/>
              <w:tabs>
                <w:tab w:pos="1913" w:val="left" w:leader="none"/>
              </w:tabs>
              <w:spacing w:line="240" w:lineRule="auto" w:before="30"/>
              <w:ind w:right="33"/>
              <w:jc w:val="right"/>
              <w:rPr>
                <w:rFonts w:ascii="Arial" w:hAnsi="Arial" w:cs="Arial" w:eastAsia="Arial" w:hint="default"/>
                <w:sz w:val="21"/>
                <w:szCs w:val="21"/>
              </w:rPr>
            </w:pPr>
            <w:r>
              <w:rPr>
                <w:rFonts w:ascii="Arial"/>
                <w:spacing w:val="-1"/>
                <w:sz w:val="21"/>
              </w:rPr>
              <w:t>3,108,939</w:t>
              <w:tab/>
            </w:r>
            <w:r>
              <w:rPr>
                <w:rFonts w:ascii="Arial"/>
                <w:spacing w:val="-1"/>
                <w:w w:val="95"/>
                <w:sz w:val="21"/>
              </w:rPr>
              <w:t>41.65%</w:t>
            </w:r>
            <w:r>
              <w:rPr>
                <w:rFonts w:ascii="Arial"/>
                <w:sz w:val="21"/>
              </w:rPr>
            </w:r>
          </w:p>
        </w:tc>
      </w:tr>
      <w:tr>
        <w:trPr>
          <w:trHeight w:val="293"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22" w:type="dxa"/>
            <w:tcBorders>
              <w:top w:val="nil" w:sz="6" w:space="0" w:color="auto"/>
              <w:left w:val="nil" w:sz="6" w:space="0" w:color="auto"/>
              <w:bottom w:val="nil" w:sz="6" w:space="0" w:color="auto"/>
              <w:right w:val="nil" w:sz="6" w:space="0" w:color="auto"/>
            </w:tcBorders>
          </w:tcPr>
          <w:p>
            <w:pPr>
              <w:pStyle w:val="TableParagraph"/>
              <w:spacing w:line="244"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2</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1"/>
              <w:jc w:val="right"/>
              <w:rPr>
                <w:rFonts w:ascii="Arial" w:hAnsi="Arial" w:cs="Arial" w:eastAsia="Arial" w:hint="default"/>
                <w:sz w:val="21"/>
                <w:szCs w:val="21"/>
              </w:rPr>
            </w:pPr>
            <w:r>
              <w:rPr>
                <w:rFonts w:ascii="Arial"/>
                <w:spacing w:val="-1"/>
                <w:w w:val="95"/>
                <w:sz w:val="21"/>
              </w:rPr>
              <w:t>3,316,431</w:t>
            </w:r>
            <w:r>
              <w:rPr>
                <w:rFonts w:ascii="Arial"/>
                <w:sz w:val="21"/>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7"/>
              <w:jc w:val="right"/>
              <w:rPr>
                <w:rFonts w:ascii="Arial" w:hAnsi="Arial" w:cs="Arial" w:eastAsia="Arial" w:hint="default"/>
                <w:sz w:val="21"/>
                <w:szCs w:val="21"/>
              </w:rPr>
            </w:pPr>
            <w:r>
              <w:rPr>
                <w:rFonts w:ascii="Arial"/>
                <w:spacing w:val="-1"/>
                <w:w w:val="95"/>
                <w:sz w:val="21"/>
              </w:rPr>
              <w:t>1,869,265</w:t>
            </w:r>
            <w:r>
              <w:rPr>
                <w:rFonts w:ascii="Arial"/>
                <w:sz w:val="21"/>
              </w:rPr>
            </w:r>
          </w:p>
        </w:tc>
        <w:tc>
          <w:tcPr>
            <w:tcW w:w="3051" w:type="dxa"/>
            <w:tcBorders>
              <w:top w:val="nil" w:sz="6" w:space="0" w:color="auto"/>
              <w:left w:val="nil" w:sz="6" w:space="0" w:color="auto"/>
              <w:bottom w:val="nil" w:sz="6" w:space="0" w:color="auto"/>
              <w:right w:val="nil" w:sz="6" w:space="0" w:color="auto"/>
            </w:tcBorders>
          </w:tcPr>
          <w:p>
            <w:pPr>
              <w:pStyle w:val="TableParagraph"/>
              <w:tabs>
                <w:tab w:pos="1913" w:val="left" w:leader="none"/>
              </w:tabs>
              <w:spacing w:line="240" w:lineRule="auto" w:before="19"/>
              <w:ind w:right="33"/>
              <w:jc w:val="right"/>
              <w:rPr>
                <w:rFonts w:ascii="Arial" w:hAnsi="Arial" w:cs="Arial" w:eastAsia="Arial" w:hint="default"/>
                <w:sz w:val="21"/>
                <w:szCs w:val="21"/>
              </w:rPr>
            </w:pPr>
            <w:r>
              <w:rPr>
                <w:rFonts w:ascii="Arial"/>
                <w:spacing w:val="-1"/>
                <w:sz w:val="21"/>
              </w:rPr>
              <w:t>1,447,166</w:t>
              <w:tab/>
            </w:r>
            <w:r>
              <w:rPr>
                <w:rFonts w:ascii="Arial"/>
                <w:spacing w:val="-1"/>
                <w:w w:val="95"/>
                <w:sz w:val="21"/>
              </w:rPr>
              <w:t>77.42%</w:t>
            </w:r>
            <w:r>
              <w:rPr>
                <w:rFonts w:ascii="Arial"/>
                <w:sz w:val="21"/>
              </w:rPr>
            </w:r>
          </w:p>
        </w:tc>
      </w:tr>
      <w:tr>
        <w:trPr>
          <w:trHeight w:val="305"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22" w:type="dxa"/>
            <w:tcBorders>
              <w:top w:val="nil" w:sz="6" w:space="0" w:color="auto"/>
              <w:left w:val="nil" w:sz="6" w:space="0" w:color="auto"/>
              <w:bottom w:val="nil" w:sz="6" w:space="0" w:color="auto"/>
              <w:right w:val="nil" w:sz="6" w:space="0" w:color="auto"/>
            </w:tcBorders>
          </w:tcPr>
          <w:p>
            <w:pPr>
              <w:pStyle w:val="TableParagraph"/>
              <w:spacing w:line="262"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3</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1"/>
              <w:jc w:val="right"/>
              <w:rPr>
                <w:rFonts w:ascii="Arial" w:hAnsi="Arial" w:cs="Arial" w:eastAsia="Arial" w:hint="default"/>
                <w:sz w:val="21"/>
                <w:szCs w:val="21"/>
              </w:rPr>
            </w:pPr>
            <w:r>
              <w:rPr>
                <w:rFonts w:ascii="Arial"/>
                <w:spacing w:val="-1"/>
                <w:w w:val="95"/>
                <w:sz w:val="21"/>
              </w:rPr>
              <w:t>2,991,008</w:t>
            </w:r>
            <w:r>
              <w:rPr>
                <w:rFonts w:ascii="Arial"/>
                <w:sz w:val="21"/>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7"/>
              <w:jc w:val="right"/>
              <w:rPr>
                <w:rFonts w:ascii="Arial" w:hAnsi="Arial" w:cs="Arial" w:eastAsia="Arial" w:hint="default"/>
                <w:sz w:val="21"/>
                <w:szCs w:val="21"/>
              </w:rPr>
            </w:pPr>
            <w:r>
              <w:rPr>
                <w:rFonts w:ascii="Arial"/>
                <w:spacing w:val="-1"/>
                <w:w w:val="95"/>
                <w:sz w:val="21"/>
              </w:rPr>
              <w:t>1,441,504</w:t>
            </w:r>
            <w:r>
              <w:rPr>
                <w:rFonts w:ascii="Arial"/>
                <w:sz w:val="21"/>
              </w:rPr>
            </w:r>
          </w:p>
        </w:tc>
        <w:tc>
          <w:tcPr>
            <w:tcW w:w="3051" w:type="dxa"/>
            <w:tcBorders>
              <w:top w:val="nil" w:sz="6" w:space="0" w:color="auto"/>
              <w:left w:val="nil" w:sz="6" w:space="0" w:color="auto"/>
              <w:bottom w:val="nil" w:sz="6" w:space="0" w:color="auto"/>
              <w:right w:val="nil" w:sz="6" w:space="0" w:color="auto"/>
            </w:tcBorders>
          </w:tcPr>
          <w:p>
            <w:pPr>
              <w:pStyle w:val="TableParagraph"/>
              <w:tabs>
                <w:tab w:pos="1796" w:val="left" w:leader="none"/>
              </w:tabs>
              <w:spacing w:line="240" w:lineRule="auto" w:before="37"/>
              <w:ind w:right="33"/>
              <w:jc w:val="right"/>
              <w:rPr>
                <w:rFonts w:ascii="Arial" w:hAnsi="Arial" w:cs="Arial" w:eastAsia="Arial" w:hint="default"/>
                <w:sz w:val="21"/>
                <w:szCs w:val="21"/>
              </w:rPr>
            </w:pPr>
            <w:r>
              <w:rPr>
                <w:rFonts w:ascii="Arial"/>
                <w:spacing w:val="-1"/>
                <w:sz w:val="21"/>
              </w:rPr>
              <w:t>1,549,504</w:t>
              <w:tab/>
            </w:r>
            <w:r>
              <w:rPr>
                <w:rFonts w:ascii="Arial"/>
                <w:spacing w:val="-1"/>
                <w:w w:val="95"/>
                <w:sz w:val="21"/>
              </w:rPr>
              <w:t>107.49%</w:t>
            </w:r>
            <w:r>
              <w:rPr>
                <w:rFonts w:ascii="Arial"/>
                <w:sz w:val="21"/>
              </w:rPr>
            </w:r>
          </w:p>
        </w:tc>
      </w:tr>
      <w:tr>
        <w:trPr>
          <w:trHeight w:val="370"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22" w:type="dxa"/>
            <w:tcBorders>
              <w:top w:val="nil" w:sz="6" w:space="0" w:color="auto"/>
              <w:left w:val="nil" w:sz="6" w:space="0" w:color="auto"/>
              <w:bottom w:val="nil" w:sz="6" w:space="0" w:color="auto"/>
              <w:right w:val="nil" w:sz="6" w:space="0" w:color="auto"/>
            </w:tcBorders>
          </w:tcPr>
          <w:p>
            <w:pPr>
              <w:pStyle w:val="TableParagraph"/>
              <w:spacing w:line="256"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3</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1"/>
              <w:jc w:val="right"/>
              <w:rPr>
                <w:rFonts w:ascii="Arial" w:hAnsi="Arial" w:cs="Arial" w:eastAsia="Arial" w:hint="default"/>
                <w:sz w:val="21"/>
                <w:szCs w:val="21"/>
              </w:rPr>
            </w:pPr>
            <w:r>
              <w:rPr>
                <w:rFonts w:ascii="Arial"/>
                <w:spacing w:val="-1"/>
                <w:w w:val="95"/>
                <w:sz w:val="21"/>
              </w:rPr>
              <w:t>1,086,191</w:t>
            </w:r>
            <w:r>
              <w:rPr>
                <w:rFonts w:ascii="Arial"/>
                <w:sz w:val="21"/>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8"/>
              <w:jc w:val="right"/>
              <w:rPr>
                <w:rFonts w:ascii="Arial" w:hAnsi="Arial" w:cs="Arial" w:eastAsia="Arial" w:hint="default"/>
                <w:sz w:val="21"/>
                <w:szCs w:val="21"/>
              </w:rPr>
            </w:pPr>
            <w:r>
              <w:rPr>
                <w:rFonts w:ascii="Arial"/>
                <w:spacing w:val="-1"/>
                <w:w w:val="95"/>
                <w:sz w:val="21"/>
              </w:rPr>
              <w:t>215,639</w:t>
            </w:r>
            <w:r>
              <w:rPr>
                <w:rFonts w:ascii="Arial"/>
                <w:sz w:val="21"/>
              </w:rPr>
            </w:r>
          </w:p>
        </w:tc>
        <w:tc>
          <w:tcPr>
            <w:tcW w:w="3051" w:type="dxa"/>
            <w:tcBorders>
              <w:top w:val="nil" w:sz="6" w:space="0" w:color="auto"/>
              <w:left w:val="nil" w:sz="6" w:space="0" w:color="auto"/>
              <w:bottom w:val="nil" w:sz="6" w:space="0" w:color="auto"/>
              <w:right w:val="nil" w:sz="6" w:space="0" w:color="auto"/>
            </w:tcBorders>
          </w:tcPr>
          <w:p>
            <w:pPr>
              <w:pStyle w:val="TableParagraph"/>
              <w:tabs>
                <w:tab w:pos="1622" w:val="left" w:leader="none"/>
              </w:tabs>
              <w:spacing w:line="240" w:lineRule="auto" w:before="33"/>
              <w:ind w:right="33"/>
              <w:jc w:val="right"/>
              <w:rPr>
                <w:rFonts w:ascii="Arial" w:hAnsi="Arial" w:cs="Arial" w:eastAsia="Arial" w:hint="default"/>
                <w:sz w:val="21"/>
                <w:szCs w:val="21"/>
              </w:rPr>
            </w:pPr>
            <w:r>
              <w:rPr>
                <w:rFonts w:ascii="Arial"/>
                <w:spacing w:val="-1"/>
                <w:sz w:val="21"/>
              </w:rPr>
              <w:t>870,552</w:t>
              <w:tab/>
            </w:r>
            <w:r>
              <w:rPr>
                <w:rFonts w:ascii="Arial"/>
                <w:spacing w:val="-1"/>
                <w:w w:val="95"/>
                <w:sz w:val="21"/>
              </w:rPr>
              <w:t>403.71%</w:t>
            </w:r>
            <w:r>
              <w:rPr>
                <w:rFonts w:ascii="Arial"/>
                <w:sz w:val="21"/>
              </w:rPr>
            </w:r>
          </w:p>
        </w:tc>
      </w:tr>
    </w:tbl>
    <w:p>
      <w:pPr>
        <w:spacing w:line="240" w:lineRule="auto" w:before="2"/>
        <w:rPr>
          <w:rFonts w:ascii="宋体" w:hAnsi="宋体" w:cs="宋体" w:eastAsia="宋体" w:hint="default"/>
          <w:sz w:val="11"/>
          <w:szCs w:val="11"/>
        </w:rPr>
      </w:pPr>
    </w:p>
    <w:p>
      <w:pPr>
        <w:spacing w:before="35"/>
        <w:ind w:left="0" w:right="476" w:firstLine="0"/>
        <w:jc w:val="right"/>
        <w:rPr>
          <w:rFonts w:ascii="宋体" w:hAnsi="宋体" w:cs="宋体" w:eastAsia="宋体" w:hint="default"/>
          <w:sz w:val="21"/>
          <w:szCs w:val="21"/>
        </w:rPr>
      </w:pPr>
      <w:r>
        <w:rPr>
          <w:rFonts w:ascii="宋体" w:hAnsi="宋体" w:cs="宋体" w:eastAsia="宋体" w:hint="default"/>
          <w:spacing w:val="-1"/>
          <w:sz w:val="21"/>
          <w:szCs w:val="21"/>
        </w:rPr>
        <w:t>差异变动金额及幅度</w:t>
      </w:r>
    </w:p>
    <w:p>
      <w:pPr>
        <w:spacing w:line="240" w:lineRule="auto" w:before="1"/>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1306"/>
        <w:gridCol w:w="1222"/>
        <w:gridCol w:w="1867"/>
        <w:gridCol w:w="1918"/>
        <w:gridCol w:w="1870"/>
        <w:gridCol w:w="1175"/>
      </w:tblGrid>
      <w:tr>
        <w:trPr>
          <w:trHeight w:val="569" w:hRule="exact"/>
        </w:trPr>
        <w:tc>
          <w:tcPr>
            <w:tcW w:w="2528" w:type="dxa"/>
            <w:gridSpan w:val="2"/>
            <w:vMerge w:val="restart"/>
            <w:tcBorders>
              <w:top w:val="nil" w:sz="6" w:space="0" w:color="auto"/>
              <w:left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64" w:lineRule="exact"/>
              <w:ind w:right="528"/>
              <w:jc w:val="righ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918" w:type="dxa"/>
            <w:tcBorders>
              <w:top w:val="nil" w:sz="6" w:space="0" w:color="auto"/>
              <w:left w:val="nil" w:sz="6" w:space="0" w:color="auto"/>
              <w:bottom w:val="nil" w:sz="6" w:space="0" w:color="auto"/>
              <w:right w:val="nil" w:sz="6" w:space="0" w:color="auto"/>
            </w:tcBorders>
          </w:tcPr>
          <w:p>
            <w:pPr>
              <w:pStyle w:val="TableParagraph"/>
              <w:spacing w:line="264" w:lineRule="exact"/>
              <w:ind w:right="324"/>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870"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299" w:hRule="exact"/>
        </w:trPr>
        <w:tc>
          <w:tcPr>
            <w:tcW w:w="2528" w:type="dxa"/>
            <w:gridSpan w:val="2"/>
            <w:vMerge/>
            <w:tcBorders>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3" w:lineRule="exact"/>
              <w:ind w:right="474"/>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tc>
        <w:tc>
          <w:tcPr>
            <w:tcW w:w="1918" w:type="dxa"/>
            <w:tcBorders>
              <w:top w:val="nil" w:sz="6" w:space="0" w:color="auto"/>
              <w:left w:val="nil" w:sz="6" w:space="0" w:color="auto"/>
              <w:bottom w:val="nil" w:sz="6" w:space="0" w:color="auto"/>
              <w:right w:val="nil" w:sz="6" w:space="0" w:color="auto"/>
            </w:tcBorders>
          </w:tcPr>
          <w:p>
            <w:pPr>
              <w:pStyle w:val="TableParagraph"/>
              <w:spacing w:line="243" w:lineRule="exact"/>
              <w:ind w:right="249"/>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人民币千元</w:t>
            </w:r>
            <w:r>
              <w:rPr>
                <w:rFonts w:ascii="Arial" w:hAnsi="Arial" w:cs="Arial" w:eastAsia="Arial" w:hint="default"/>
                <w:spacing w:val="-1"/>
                <w:sz w:val="21"/>
                <w:szCs w:val="21"/>
              </w:rPr>
              <w:t>)</w:t>
            </w:r>
          </w:p>
        </w:tc>
        <w:tc>
          <w:tcPr>
            <w:tcW w:w="1870" w:type="dxa"/>
            <w:tcBorders>
              <w:top w:val="nil" w:sz="6" w:space="0" w:color="auto"/>
              <w:left w:val="nil" w:sz="6" w:space="0" w:color="auto"/>
              <w:bottom w:val="nil" w:sz="6" w:space="0" w:color="auto"/>
              <w:right w:val="nil" w:sz="6" w:space="0" w:color="auto"/>
            </w:tcBorders>
          </w:tcPr>
          <w:p>
            <w:pPr>
              <w:pStyle w:val="TableParagraph"/>
              <w:spacing w:line="243" w:lineRule="exact"/>
              <w:ind w:left="251"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人民币千元</w:t>
            </w:r>
            <w:r>
              <w:rPr>
                <w:rFonts w:ascii="Arial" w:hAnsi="Arial" w:cs="Arial" w:eastAsia="Arial" w:hint="default"/>
                <w:sz w:val="21"/>
                <w:szCs w:val="21"/>
              </w:rPr>
              <w:t>)</w:t>
            </w:r>
          </w:p>
        </w:tc>
        <w:tc>
          <w:tcPr>
            <w:tcW w:w="1175" w:type="dxa"/>
            <w:tcBorders>
              <w:top w:val="nil" w:sz="6" w:space="0" w:color="auto"/>
              <w:left w:val="nil" w:sz="6" w:space="0" w:color="auto"/>
              <w:bottom w:val="nil" w:sz="6" w:space="0" w:color="auto"/>
              <w:right w:val="nil" w:sz="6" w:space="0" w:color="auto"/>
            </w:tcBorders>
          </w:tcPr>
          <w:p>
            <w:pPr/>
          </w:p>
        </w:tc>
      </w:tr>
      <w:tr>
        <w:trPr>
          <w:trHeight w:val="289"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02" w:lineRule="exact"/>
              <w:ind w:left="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22" w:type="dxa"/>
            <w:tcBorders>
              <w:top w:val="nil" w:sz="6" w:space="0" w:color="auto"/>
              <w:left w:val="nil" w:sz="6" w:space="0" w:color="auto"/>
              <w:bottom w:val="nil" w:sz="6" w:space="0" w:color="auto"/>
              <w:right w:val="nil" w:sz="6" w:space="0" w:color="auto"/>
            </w:tcBorders>
          </w:tcPr>
          <w:p>
            <w:pPr>
              <w:pStyle w:val="TableParagraph"/>
              <w:spacing w:line="216"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4</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21"/>
                <w:szCs w:val="21"/>
              </w:rPr>
            </w:pPr>
            <w:r>
              <w:rPr>
                <w:rFonts w:ascii="Arial"/>
                <w:spacing w:val="-1"/>
                <w:w w:val="95"/>
                <w:sz w:val="21"/>
              </w:rPr>
              <w:t>4,780,468</w:t>
            </w:r>
            <w:r>
              <w:rPr>
                <w:rFonts w:ascii="Arial"/>
                <w:sz w:val="21"/>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24"/>
              <w:jc w:val="right"/>
              <w:rPr>
                <w:rFonts w:ascii="Arial" w:hAnsi="Arial" w:cs="Arial" w:eastAsia="Arial" w:hint="default"/>
                <w:sz w:val="21"/>
                <w:szCs w:val="21"/>
              </w:rPr>
            </w:pPr>
            <w:r>
              <w:rPr>
                <w:rFonts w:ascii="Arial"/>
                <w:spacing w:val="-1"/>
                <w:w w:val="95"/>
                <w:sz w:val="21"/>
              </w:rPr>
              <w:t>2,985,538</w:t>
            </w:r>
            <w:r>
              <w:rPr>
                <w:rFonts w:ascii="Arial"/>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68" w:right="0"/>
              <w:jc w:val="left"/>
              <w:rPr>
                <w:rFonts w:ascii="Arial" w:hAnsi="Arial" w:cs="Arial" w:eastAsia="Arial" w:hint="default"/>
                <w:sz w:val="21"/>
                <w:szCs w:val="21"/>
              </w:rPr>
            </w:pPr>
            <w:r>
              <w:rPr>
                <w:rFonts w:ascii="Arial"/>
                <w:sz w:val="21"/>
              </w:rPr>
              <w:t>1,794,930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w:hAnsi="Arial" w:cs="Arial" w:eastAsia="Arial" w:hint="default"/>
                <w:sz w:val="21"/>
                <w:szCs w:val="21"/>
              </w:rPr>
            </w:pPr>
            <w:r>
              <w:rPr>
                <w:rFonts w:ascii="Arial"/>
                <w:spacing w:val="-1"/>
                <w:w w:val="95"/>
                <w:sz w:val="21"/>
              </w:rPr>
              <w:t>60.12%</w:t>
            </w:r>
            <w:r>
              <w:rPr>
                <w:rFonts w:ascii="Arial"/>
                <w:sz w:val="21"/>
              </w:rPr>
            </w:r>
          </w:p>
        </w:tc>
      </w:tr>
      <w:tr>
        <w:trPr>
          <w:trHeight w:val="388"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22" w:type="dxa"/>
            <w:tcBorders>
              <w:top w:val="nil" w:sz="6" w:space="0" w:color="auto"/>
              <w:left w:val="nil" w:sz="6" w:space="0" w:color="auto"/>
              <w:bottom w:val="nil" w:sz="6" w:space="0" w:color="auto"/>
              <w:right w:val="nil" w:sz="6" w:space="0" w:color="auto"/>
            </w:tcBorders>
          </w:tcPr>
          <w:p>
            <w:pPr>
              <w:pStyle w:val="TableParagraph"/>
              <w:spacing w:line="243" w:lineRule="exact"/>
              <w:ind w:right="199"/>
              <w:jc w:val="right"/>
              <w:rPr>
                <w:rFonts w:ascii="Arial" w:hAnsi="Arial" w:cs="Arial" w:eastAsia="Arial" w:hint="default"/>
                <w:sz w:val="21"/>
                <w:szCs w:val="21"/>
              </w:rPr>
            </w:pP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Arial" w:hAnsi="Arial" w:cs="Arial" w:eastAsia="Arial" w:hint="default"/>
                <w:sz w:val="21"/>
                <w:szCs w:val="21"/>
              </w:rPr>
              <w:t>5</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8"/>
              <w:jc w:val="right"/>
              <w:rPr>
                <w:rFonts w:ascii="Arial" w:hAnsi="Arial" w:cs="Arial" w:eastAsia="Arial" w:hint="default"/>
                <w:sz w:val="21"/>
                <w:szCs w:val="21"/>
              </w:rPr>
            </w:pPr>
            <w:r>
              <w:rPr>
                <w:rFonts w:ascii="Arial"/>
                <w:spacing w:val="-1"/>
                <w:w w:val="95"/>
                <w:sz w:val="21"/>
              </w:rPr>
              <w:t>784,521</w:t>
            </w:r>
            <w:r>
              <w:rPr>
                <w:rFonts w:ascii="Arial"/>
                <w:sz w:val="21"/>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4"/>
              <w:jc w:val="right"/>
              <w:rPr>
                <w:rFonts w:ascii="Arial" w:hAnsi="Arial" w:cs="Arial" w:eastAsia="Arial" w:hint="default"/>
                <w:sz w:val="21"/>
                <w:szCs w:val="21"/>
              </w:rPr>
            </w:pPr>
            <w:r>
              <w:rPr>
                <w:rFonts w:ascii="Arial"/>
                <w:spacing w:val="-1"/>
                <w:w w:val="95"/>
                <w:sz w:val="21"/>
              </w:rPr>
              <w:t>493,581</w:t>
            </w:r>
            <w:r>
              <w:rPr>
                <w:rFonts w:ascii="Arial"/>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43" w:right="0"/>
              <w:jc w:val="left"/>
              <w:rPr>
                <w:rFonts w:ascii="Arial" w:hAnsi="Arial" w:cs="Arial" w:eastAsia="Arial" w:hint="default"/>
                <w:sz w:val="21"/>
                <w:szCs w:val="21"/>
              </w:rPr>
            </w:pPr>
            <w:r>
              <w:rPr>
                <w:rFonts w:ascii="Arial"/>
                <w:sz w:val="21"/>
              </w:rPr>
              <w:t>290,940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Arial" w:hAnsi="Arial" w:cs="Arial" w:eastAsia="Arial" w:hint="default"/>
                <w:sz w:val="21"/>
                <w:szCs w:val="21"/>
              </w:rPr>
            </w:pPr>
            <w:r>
              <w:rPr>
                <w:rFonts w:ascii="Arial"/>
                <w:spacing w:val="-1"/>
                <w:w w:val="95"/>
                <w:sz w:val="21"/>
              </w:rPr>
              <w:t>58.94%</w:t>
            </w:r>
            <w:r>
              <w:rPr>
                <w:rFonts w:ascii="Arial"/>
                <w:sz w:val="21"/>
              </w:rPr>
            </w:r>
          </w:p>
        </w:tc>
      </w:tr>
    </w:tbl>
    <w:p>
      <w:pPr>
        <w:spacing w:line="240" w:lineRule="auto" w:before="9"/>
        <w:rPr>
          <w:rFonts w:ascii="宋体" w:hAnsi="宋体" w:cs="宋体" w:eastAsia="宋体" w:hint="default"/>
          <w:sz w:val="10"/>
          <w:szCs w:val="10"/>
        </w:rPr>
      </w:pPr>
    </w:p>
    <w:p>
      <w:pPr>
        <w:pStyle w:val="BodyText"/>
        <w:spacing w:line="312" w:lineRule="exact" w:before="56"/>
        <w:ind w:left="146" w:right="220"/>
        <w:jc w:val="both"/>
      </w:pPr>
      <w:r>
        <w:rPr/>
        <w:t>注释</w:t>
      </w:r>
      <w:r>
        <w:rPr>
          <w:spacing w:val="-87"/>
        </w:rPr>
        <w:t> </w:t>
      </w:r>
      <w:r>
        <w:rPr>
          <w:rFonts w:ascii="Arial" w:hAnsi="Arial" w:cs="Arial" w:eastAsia="Arial" w:hint="default"/>
        </w:rPr>
        <w:t>1</w:t>
      </w:r>
      <w:r>
        <w:rPr/>
        <w:t>：货币资金年末数比年初数增长</w:t>
      </w:r>
      <w:r>
        <w:rPr>
          <w:spacing w:val="-87"/>
        </w:rPr>
        <w:t> </w:t>
      </w:r>
      <w:r>
        <w:rPr>
          <w:rFonts w:ascii="Arial" w:hAnsi="Arial" w:cs="Arial" w:eastAsia="Arial" w:hint="default"/>
        </w:rPr>
        <w:t>41.65%</w:t>
      </w:r>
      <w:r>
        <w:rPr/>
        <w:t>，主要因为净利润的增加，且本年度本集团 较多采用以银行承兑汇票的方式与供应商结算货款，年末应付票据余额略有上升；此外，</w:t>
      </w:r>
      <w:r>
        <w:rPr>
          <w:spacing w:val="-81"/>
        </w:rPr>
        <w:t> </w:t>
      </w:r>
      <w:r>
        <w:rPr>
          <w:spacing w:val="-81"/>
        </w:rPr>
      </w:r>
      <w:r>
        <w:rPr/>
        <w:t>本年度募集资金的流入也带来年末货币资金的增加。</w:t>
      </w:r>
    </w:p>
    <w:p>
      <w:pPr>
        <w:spacing w:line="240" w:lineRule="auto" w:before="9"/>
        <w:rPr>
          <w:rFonts w:ascii="宋体" w:hAnsi="宋体" w:cs="宋体" w:eastAsia="宋体" w:hint="default"/>
          <w:sz w:val="27"/>
          <w:szCs w:val="27"/>
        </w:rPr>
      </w:pPr>
    </w:p>
    <w:p>
      <w:pPr>
        <w:pStyle w:val="BodyText"/>
        <w:spacing w:line="312" w:lineRule="exact"/>
        <w:ind w:left="146" w:right="220"/>
        <w:jc w:val="both"/>
      </w:pPr>
      <w:r>
        <w:rPr/>
        <w:t>注释 </w:t>
      </w:r>
      <w:r>
        <w:rPr>
          <w:rFonts w:ascii="Arial" w:hAnsi="Arial" w:cs="Arial" w:eastAsia="Arial" w:hint="default"/>
        </w:rPr>
        <w:t>2</w:t>
      </w:r>
      <w:r>
        <w:rPr/>
        <w:t>：固定资产净额年末数比年初数增长</w:t>
      </w:r>
      <w:r>
        <w:rPr>
          <w:spacing w:val="-22"/>
        </w:rPr>
        <w:t> </w:t>
      </w:r>
      <w:r>
        <w:rPr>
          <w:rFonts w:ascii="Arial" w:hAnsi="Arial" w:cs="Arial" w:eastAsia="Arial" w:hint="default"/>
        </w:rPr>
        <w:t>77.42%</w:t>
      </w:r>
      <w:r>
        <w:rPr/>
        <w:t>，主要为本公司之子公司</w:t>
      </w:r>
      <w:r>
        <w:rPr>
          <w:rFonts w:ascii="Arial" w:hAnsi="Arial" w:cs="Arial" w:eastAsia="Arial" w:hint="default"/>
        </w:rPr>
        <w:t>-</w:t>
      </w:r>
      <w:r>
        <w:rPr/>
        <w:t>重庆渝宁苏 宁电器有限公司、四川苏宁电器有限公司、天津天宁苏宁电器有限公司、武汉苏宁电器有</w:t>
      </w:r>
      <w:r>
        <w:rPr>
          <w:spacing w:val="-81"/>
        </w:rPr>
        <w:t> </w:t>
      </w:r>
      <w:r>
        <w:rPr>
          <w:spacing w:val="-81"/>
        </w:rPr>
      </w:r>
      <w:r>
        <w:rPr/>
        <w:t>限公司、厦门福厦苏宁电器有限公司、泰安苏宁电器有限公司本年度采取在核心商圈购置</w:t>
      </w:r>
      <w:r>
        <w:rPr>
          <w:spacing w:val="-81"/>
        </w:rPr>
        <w:t> </w:t>
      </w:r>
      <w:r>
        <w:rPr>
          <w:spacing w:val="-81"/>
        </w:rPr>
      </w:r>
      <w:r>
        <w:rPr/>
        <w:t>经营用房、以扩大在核心商圈的营业面积，以及本年度江苏物流基地的部分竣工；此外，</w:t>
      </w:r>
      <w:r>
        <w:rPr>
          <w:spacing w:val="-81"/>
        </w:rPr>
        <w:t> </w:t>
      </w:r>
      <w:r>
        <w:rPr>
          <w:spacing w:val="-81"/>
        </w:rPr>
      </w:r>
      <w:r>
        <w:rPr/>
        <w:t>随着经营规模的扩大，相应的固定资产投入也在增加。</w:t>
      </w:r>
    </w:p>
    <w:p>
      <w:pPr>
        <w:spacing w:line="240" w:lineRule="auto" w:before="8"/>
        <w:rPr>
          <w:rFonts w:ascii="宋体" w:hAnsi="宋体" w:cs="宋体" w:eastAsia="宋体" w:hint="default"/>
          <w:sz w:val="31"/>
          <w:szCs w:val="31"/>
        </w:rPr>
      </w:pPr>
    </w:p>
    <w:p>
      <w:pPr>
        <w:pStyle w:val="BodyText"/>
        <w:spacing w:line="312" w:lineRule="exact"/>
        <w:ind w:left="146" w:right="100"/>
        <w:jc w:val="left"/>
      </w:pPr>
      <w:r>
        <w:rPr/>
        <w:t>注释</w:t>
      </w:r>
      <w:r>
        <w:rPr>
          <w:spacing w:val="-60"/>
        </w:rPr>
        <w:t> </w:t>
      </w:r>
      <w:r>
        <w:rPr>
          <w:rFonts w:ascii="Arial" w:hAnsi="Arial" w:cs="Arial" w:eastAsia="Arial" w:hint="default"/>
        </w:rPr>
        <w:t>3</w:t>
      </w:r>
      <w:r>
        <w:rPr/>
        <w:t>：股本和资本公积年末数比年初数分别增长了</w:t>
      </w:r>
      <w:r>
        <w:rPr>
          <w:spacing w:val="-60"/>
        </w:rPr>
        <w:t> </w:t>
      </w:r>
      <w:r>
        <w:rPr>
          <w:rFonts w:ascii="Arial" w:hAnsi="Arial" w:cs="Arial" w:eastAsia="Arial" w:hint="default"/>
        </w:rPr>
        <w:t>107.49%</w:t>
      </w:r>
      <w:r>
        <w:rPr/>
        <w:t>和</w:t>
      </w:r>
      <w:r>
        <w:rPr>
          <w:spacing w:val="-60"/>
        </w:rPr>
        <w:t> </w:t>
      </w:r>
      <w:r>
        <w:rPr>
          <w:rFonts w:ascii="Arial" w:hAnsi="Arial" w:cs="Arial" w:eastAsia="Arial" w:hint="default"/>
        </w:rPr>
        <w:t>403.71%</w:t>
      </w:r>
      <w:r>
        <w:rPr/>
        <w:t>，主要原因为： 于</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0"/>
        </w:rPr>
        <w:t> </w:t>
      </w:r>
      <w:r>
        <w:rPr>
          <w:rFonts w:ascii="Arial" w:hAnsi="Arial" w:cs="Arial" w:eastAsia="Arial" w:hint="default"/>
        </w:rPr>
        <w:t>5</w:t>
      </w:r>
      <w:r>
        <w:rPr>
          <w:rFonts w:ascii="Arial" w:hAnsi="Arial" w:cs="Arial" w:eastAsia="Arial" w:hint="default"/>
          <w:spacing w:val="-8"/>
        </w:rPr>
        <w:t> </w:t>
      </w:r>
      <w:r>
        <w:rPr>
          <w:spacing w:val="-3"/>
        </w:rPr>
        <w:t>月，本公司非公开发行人民币普通股</w:t>
      </w:r>
      <w:r>
        <w:rPr>
          <w:rFonts w:ascii="Arial" w:hAnsi="Arial" w:cs="Arial" w:eastAsia="Arial" w:hint="default"/>
          <w:spacing w:val="-3"/>
        </w:rPr>
        <w:t>(A</w:t>
      </w:r>
      <w:r>
        <w:rPr>
          <w:rFonts w:ascii="Arial" w:hAnsi="Arial" w:cs="Arial" w:eastAsia="Arial" w:hint="default"/>
          <w:spacing w:val="-9"/>
        </w:rPr>
        <w:t> </w:t>
      </w:r>
      <w:r>
        <w:rPr/>
        <w:t>股</w:t>
      </w:r>
      <w:r>
        <w:rPr>
          <w:rFonts w:ascii="Arial" w:hAnsi="Arial" w:cs="Arial" w:eastAsia="Arial" w:hint="default"/>
        </w:rPr>
        <w:t>)5,400</w:t>
      </w:r>
      <w:r>
        <w:rPr>
          <w:rFonts w:ascii="Arial" w:hAnsi="Arial" w:cs="Arial" w:eastAsia="Arial" w:hint="default"/>
          <w:spacing w:val="-8"/>
        </w:rPr>
        <w:t> </w:t>
      </w:r>
      <w:r>
        <w:rPr>
          <w:spacing w:val="-6"/>
        </w:rPr>
        <w:t>万股，每股面值人民币</w:t>
      </w:r>
      <w:r>
        <w:rPr>
          <w:spacing w:val="-61"/>
        </w:rPr>
        <w:t> </w:t>
      </w:r>
      <w:r>
        <w:rPr>
          <w:rFonts w:ascii="Arial" w:hAnsi="Arial" w:cs="Arial" w:eastAsia="Arial" w:hint="default"/>
        </w:rPr>
        <w:t>1</w:t>
      </w:r>
      <w:r>
        <w:rPr>
          <w:rFonts w:ascii="Arial" w:hAnsi="Arial" w:cs="Arial" w:eastAsia="Arial" w:hint="default"/>
          <w:spacing w:val="-8"/>
        </w:rPr>
        <w:t> </w:t>
      </w:r>
      <w:r>
        <w:rPr/>
        <w:t>元，</w:t>
      </w:r>
    </w:p>
    <w:p>
      <w:pPr>
        <w:pStyle w:val="BodyText"/>
        <w:spacing w:line="291" w:lineRule="exact"/>
        <w:ind w:left="146" w:right="0"/>
        <w:jc w:val="both"/>
      </w:pPr>
      <w:r>
        <w:rPr/>
        <w:t>发行价格为每股人民币</w:t>
      </w:r>
      <w:r>
        <w:rPr>
          <w:spacing w:val="-61"/>
        </w:rPr>
        <w:t> </w:t>
      </w:r>
      <w:r>
        <w:rPr>
          <w:rFonts w:ascii="Arial" w:hAnsi="Arial" w:cs="Arial" w:eastAsia="Arial" w:hint="default"/>
        </w:rPr>
        <w:t>45</w:t>
      </w:r>
      <w:r>
        <w:rPr>
          <w:rFonts w:ascii="Arial" w:hAnsi="Arial" w:cs="Arial" w:eastAsia="Arial" w:hint="default"/>
          <w:spacing w:val="-8"/>
        </w:rPr>
        <w:t> </w:t>
      </w:r>
      <w:r>
        <w:rPr>
          <w:spacing w:val="-4"/>
        </w:rPr>
        <w:t>元，扣除发行费用后增加股本和资本公积分别约人民币</w:t>
      </w:r>
      <w:r>
        <w:rPr>
          <w:spacing w:val="-61"/>
        </w:rPr>
        <w:t> </w:t>
      </w:r>
      <w:r>
        <w:rPr>
          <w:rFonts w:ascii="Arial" w:hAnsi="Arial" w:cs="Arial" w:eastAsia="Arial" w:hint="default"/>
        </w:rPr>
        <w:t>5,400</w:t>
      </w:r>
      <w:r>
        <w:rPr>
          <w:rFonts w:ascii="Arial" w:hAnsi="Arial" w:cs="Arial" w:eastAsia="Arial" w:hint="default"/>
          <w:spacing w:val="-8"/>
        </w:rPr>
        <w:t> </w:t>
      </w:r>
      <w:r>
        <w:rPr/>
        <w:t>万</w:t>
      </w:r>
    </w:p>
    <w:p>
      <w:pPr>
        <w:pStyle w:val="BodyText"/>
        <w:spacing w:line="312" w:lineRule="exact"/>
        <w:ind w:left="146" w:right="0"/>
        <w:jc w:val="both"/>
        <w:rPr>
          <w:rFonts w:ascii="Arial" w:hAnsi="Arial" w:cs="Arial" w:eastAsia="Arial" w:hint="default"/>
        </w:rPr>
      </w:pPr>
      <w:r>
        <w:rPr/>
        <w:t>元和人民币</w:t>
      </w:r>
      <w:r>
        <w:rPr>
          <w:spacing w:val="-62"/>
        </w:rPr>
        <w:t> </w:t>
      </w:r>
      <w:r>
        <w:rPr>
          <w:rFonts w:ascii="Arial" w:hAnsi="Arial" w:cs="Arial" w:eastAsia="Arial" w:hint="default"/>
          <w:spacing w:val="-1"/>
          <w:w w:val="99"/>
        </w:rPr>
        <w:t>236,60</w:t>
      </w:r>
      <w:r>
        <w:rPr>
          <w:rFonts w:ascii="Arial" w:hAnsi="Arial" w:cs="Arial" w:eastAsia="Arial" w:hint="default"/>
          <w:w w:val="99"/>
        </w:rPr>
        <w:t>6</w:t>
      </w:r>
      <w:r>
        <w:rPr>
          <w:rFonts w:ascii="Arial" w:hAnsi="Arial" w:cs="Arial" w:eastAsia="Arial" w:hint="default"/>
          <w:spacing w:val="-7"/>
        </w:rPr>
        <w:t> </w:t>
      </w:r>
      <w:r>
        <w:rPr/>
        <w:t>万元</w:t>
      </w:r>
      <w:r>
        <w:rPr>
          <w:spacing w:val="-120"/>
        </w:rPr>
        <w:t>；</w:t>
      </w:r>
      <w:r>
        <w:rPr/>
        <w:t>于</w:t>
      </w:r>
      <w:r>
        <w:rPr>
          <w:spacing w:val="-62"/>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8"/>
        </w:rPr>
        <w:t> </w:t>
      </w:r>
      <w:r>
        <w:rPr/>
        <w:t>年</w:t>
      </w:r>
      <w:r>
        <w:rPr>
          <w:spacing w:val="-62"/>
        </w:rPr>
        <w:t> </w:t>
      </w:r>
      <w:r>
        <w:rPr>
          <w:rFonts w:ascii="Arial" w:hAnsi="Arial" w:cs="Arial" w:eastAsia="Arial" w:hint="default"/>
          <w:w w:val="99"/>
        </w:rPr>
        <w:t>9</w:t>
      </w:r>
      <w:r>
        <w:rPr>
          <w:rFonts w:ascii="Arial" w:hAnsi="Arial" w:cs="Arial" w:eastAsia="Arial" w:hint="default"/>
          <w:spacing w:val="-9"/>
        </w:rPr>
        <w:t> </w:t>
      </w:r>
      <w:r>
        <w:rPr/>
        <w:t>月</w:t>
      </w:r>
      <w:r>
        <w:rPr>
          <w:spacing w:val="-120"/>
        </w:rPr>
        <w:t>，</w:t>
      </w:r>
      <w:r>
        <w:rPr/>
        <w:t>本公司以资本公积转增股本</w:t>
      </w:r>
      <w:r>
        <w:rPr>
          <w:spacing w:val="-120"/>
        </w:rPr>
        <w:t>，</w:t>
      </w:r>
      <w:r>
        <w:rPr/>
        <w:t>增加股本</w:t>
      </w:r>
      <w:r>
        <w:rPr>
          <w:spacing w:val="-62"/>
        </w:rPr>
        <w:t> </w:t>
      </w:r>
      <w:r>
        <w:rPr>
          <w:rFonts w:ascii="Arial" w:hAnsi="Arial" w:cs="Arial" w:eastAsia="Arial" w:hint="default"/>
          <w:spacing w:val="-1"/>
          <w:w w:val="99"/>
        </w:rPr>
        <w:t>149,550</w:t>
      </w:r>
      <w:r>
        <w:rPr>
          <w:rFonts w:ascii="Arial" w:hAnsi="Arial" w:cs="Arial" w:eastAsia="Arial" w:hint="default"/>
        </w:rPr>
      </w:r>
    </w:p>
    <w:p>
      <w:pPr>
        <w:pStyle w:val="BodyText"/>
        <w:spacing w:line="322" w:lineRule="exact"/>
        <w:ind w:left="146" w:right="0"/>
        <w:jc w:val="both"/>
      </w:pPr>
      <w:r>
        <w:rPr/>
        <w:t>万元，并相应减少资本公积人民币</w:t>
      </w:r>
      <w:r>
        <w:rPr>
          <w:spacing w:val="-64"/>
        </w:rPr>
        <w:t> </w:t>
      </w:r>
      <w:r>
        <w:rPr>
          <w:rFonts w:ascii="Arial" w:hAnsi="Arial" w:cs="Arial" w:eastAsia="Arial" w:hint="default"/>
        </w:rPr>
        <w:t>149,550</w:t>
      </w:r>
      <w:r>
        <w:rPr>
          <w:rFonts w:ascii="Arial" w:hAnsi="Arial" w:cs="Arial" w:eastAsia="Arial" w:hint="default"/>
          <w:spacing w:val="-10"/>
        </w:rPr>
        <w:t> </w:t>
      </w:r>
      <w:r>
        <w:rPr/>
        <w:t>万元。</w:t>
      </w:r>
    </w:p>
    <w:p>
      <w:pPr>
        <w:spacing w:line="240" w:lineRule="auto" w:before="8"/>
        <w:rPr>
          <w:rFonts w:ascii="宋体" w:hAnsi="宋体" w:cs="宋体" w:eastAsia="宋体" w:hint="default"/>
          <w:sz w:val="28"/>
          <w:szCs w:val="28"/>
        </w:rPr>
      </w:pPr>
    </w:p>
    <w:p>
      <w:pPr>
        <w:pStyle w:val="BodyText"/>
        <w:spacing w:line="312" w:lineRule="exact"/>
        <w:ind w:left="146" w:right="222"/>
        <w:jc w:val="both"/>
      </w:pPr>
      <w:r>
        <w:rPr/>
        <w:t>注释</w:t>
      </w:r>
      <w:r>
        <w:rPr>
          <w:spacing w:val="-64"/>
        </w:rPr>
        <w:t> </w:t>
      </w:r>
      <w:r>
        <w:rPr>
          <w:rFonts w:ascii="Arial" w:hAnsi="Arial" w:cs="Arial" w:eastAsia="Arial" w:hint="default"/>
        </w:rPr>
        <w:t>4</w:t>
      </w:r>
      <w:r>
        <w:rPr/>
        <w:t>：销售费用本年度金额约为人民币</w:t>
      </w:r>
      <w:r>
        <w:rPr>
          <w:spacing w:val="-64"/>
        </w:rPr>
        <w:t> </w:t>
      </w:r>
      <w:r>
        <w:rPr>
          <w:rFonts w:ascii="Arial" w:hAnsi="Arial" w:cs="Arial" w:eastAsia="Arial" w:hint="default"/>
        </w:rPr>
        <w:t>478,046</w:t>
      </w:r>
      <w:r>
        <w:rPr>
          <w:rFonts w:ascii="Arial" w:hAnsi="Arial" w:cs="Arial" w:eastAsia="Arial" w:hint="default"/>
          <w:spacing w:val="-11"/>
        </w:rPr>
        <w:t> </w:t>
      </w:r>
      <w:r>
        <w:rPr/>
        <w:t>万元，较</w:t>
      </w:r>
      <w:r>
        <w:rPr>
          <w:spacing w:val="-64"/>
        </w:rPr>
        <w:t> </w:t>
      </w:r>
      <w:r>
        <w:rPr>
          <w:rFonts w:ascii="Arial" w:hAnsi="Arial" w:cs="Arial" w:eastAsia="Arial" w:hint="default"/>
        </w:rPr>
        <w:t>2007</w:t>
      </w:r>
      <w:r>
        <w:rPr>
          <w:rFonts w:ascii="Arial" w:hAnsi="Arial" w:cs="Arial" w:eastAsia="Arial" w:hint="default"/>
          <w:spacing w:val="-11"/>
        </w:rPr>
        <w:t> </w:t>
      </w:r>
      <w:r>
        <w:rPr/>
        <w:t>年度增长</w:t>
      </w:r>
      <w:r>
        <w:rPr>
          <w:spacing w:val="-64"/>
        </w:rPr>
        <w:t> </w:t>
      </w:r>
      <w:r>
        <w:rPr>
          <w:rFonts w:ascii="Arial" w:hAnsi="Arial" w:cs="Arial" w:eastAsia="Arial" w:hint="default"/>
        </w:rPr>
        <w:t>60.12%</w:t>
      </w:r>
      <w:r>
        <w:rPr/>
        <w:t>，主要 原因为：本集团新开店面的增加以及 </w:t>
      </w:r>
      <w:r>
        <w:rPr>
          <w:rFonts w:ascii="Arial" w:hAnsi="Arial" w:cs="Arial" w:eastAsia="Arial" w:hint="default"/>
        </w:rPr>
        <w:t>2007</w:t>
      </w:r>
      <w:r>
        <w:rPr>
          <w:rFonts w:ascii="Arial" w:hAnsi="Arial" w:cs="Arial" w:eastAsia="Arial" w:hint="default"/>
          <w:spacing w:val="49"/>
        </w:rPr>
        <w:t> </w:t>
      </w:r>
      <w:r>
        <w:rPr/>
        <w:t>年末受让了加盟公司的连锁店面，经营规模和 经营场所的扩大，相关的人员费用、租赁费用、广告费及装修费等支出均大幅度增长。</w:t>
      </w:r>
    </w:p>
    <w:p>
      <w:pPr>
        <w:spacing w:line="240" w:lineRule="auto" w:before="12"/>
        <w:rPr>
          <w:rFonts w:ascii="宋体" w:hAnsi="宋体" w:cs="宋体" w:eastAsia="宋体" w:hint="default"/>
          <w:sz w:val="22"/>
          <w:szCs w:val="22"/>
        </w:rPr>
      </w:pPr>
    </w:p>
    <w:p>
      <w:pPr>
        <w:pStyle w:val="BodyText"/>
        <w:spacing w:line="312" w:lineRule="exact"/>
        <w:ind w:left="146" w:right="222"/>
        <w:jc w:val="both"/>
      </w:pPr>
      <w:r>
        <w:rPr/>
        <w:t>注释</w:t>
      </w:r>
      <w:r>
        <w:rPr>
          <w:spacing w:val="-43"/>
        </w:rPr>
        <w:t> </w:t>
      </w:r>
      <w:r>
        <w:rPr>
          <w:rFonts w:ascii="Arial" w:hAnsi="Arial" w:cs="Arial" w:eastAsia="Arial" w:hint="default"/>
        </w:rPr>
        <w:t>5</w:t>
      </w:r>
      <w:r>
        <w:rPr/>
        <w:t>：管理费用本年度金额约为人民币</w:t>
      </w:r>
      <w:r>
        <w:rPr>
          <w:spacing w:val="-43"/>
        </w:rPr>
        <w:t> </w:t>
      </w:r>
      <w:r>
        <w:rPr>
          <w:rFonts w:ascii="Arial" w:hAnsi="Arial" w:cs="Arial" w:eastAsia="Arial" w:hint="default"/>
        </w:rPr>
        <w:t>78,452</w:t>
      </w:r>
      <w:r>
        <w:rPr>
          <w:rFonts w:ascii="Arial" w:hAnsi="Arial" w:cs="Arial" w:eastAsia="Arial" w:hint="default"/>
          <w:spacing w:val="10"/>
        </w:rPr>
        <w:t> </w:t>
      </w:r>
      <w:r>
        <w:rPr/>
        <w:t>万元，较</w:t>
      </w:r>
      <w:r>
        <w:rPr>
          <w:spacing w:val="-43"/>
        </w:rPr>
        <w:t> </w:t>
      </w:r>
      <w:r>
        <w:rPr>
          <w:rFonts w:ascii="Arial" w:hAnsi="Arial" w:cs="Arial" w:eastAsia="Arial" w:hint="default"/>
        </w:rPr>
        <w:t>2007</w:t>
      </w:r>
      <w:r>
        <w:rPr>
          <w:rFonts w:ascii="Arial" w:hAnsi="Arial" w:cs="Arial" w:eastAsia="Arial" w:hint="default"/>
          <w:spacing w:val="10"/>
        </w:rPr>
        <w:t> </w:t>
      </w:r>
      <w:r>
        <w:rPr/>
        <w:t>年度增长</w:t>
      </w:r>
      <w:r>
        <w:rPr>
          <w:spacing w:val="-43"/>
        </w:rPr>
        <w:t> </w:t>
      </w:r>
      <w:r>
        <w:rPr>
          <w:rFonts w:ascii="Arial" w:hAnsi="Arial" w:cs="Arial" w:eastAsia="Arial" w:hint="default"/>
        </w:rPr>
        <w:t>58.94%</w:t>
      </w:r>
      <w:r>
        <w:rPr/>
        <w:t>，主要 原因为：本集团新开店面的增加以及 </w:t>
      </w:r>
      <w:r>
        <w:rPr>
          <w:rFonts w:ascii="Arial" w:hAnsi="Arial" w:cs="Arial" w:eastAsia="Arial" w:hint="default"/>
        </w:rPr>
        <w:t>2007</w:t>
      </w:r>
      <w:r>
        <w:rPr>
          <w:rFonts w:ascii="Arial" w:hAnsi="Arial" w:cs="Arial" w:eastAsia="Arial" w:hint="default"/>
          <w:spacing w:val="49"/>
        </w:rPr>
        <w:t> </w:t>
      </w:r>
      <w:r>
        <w:rPr/>
        <w:t>年末受让了加盟公司的连锁店面，经营规模和 经营场所的扩大，相关的管理人员费用及办公费用等支出相应增加。</w:t>
      </w:r>
    </w:p>
    <w:p>
      <w:pPr>
        <w:spacing w:after="0" w:line="312" w:lineRule="exact"/>
        <w:jc w:val="both"/>
        <w:sectPr>
          <w:headerReference w:type="default" r:id="rId24"/>
          <w:footerReference w:type="default" r:id="rId25"/>
          <w:pgSz w:w="11910" w:h="16840"/>
          <w:pgMar w:header="822" w:footer="896" w:top="1320" w:bottom="1080" w:left="1100" w:right="1020"/>
          <w:pgNumType w:start="154"/>
        </w:sectPr>
      </w:pPr>
    </w:p>
    <w:p>
      <w:pPr>
        <w:spacing w:line="240" w:lineRule="auto" w:before="0"/>
        <w:rPr>
          <w:rFonts w:ascii="宋体" w:hAnsi="宋体" w:cs="宋体" w:eastAsia="宋体" w:hint="default"/>
          <w:sz w:val="20"/>
          <w:szCs w:val="20"/>
        </w:rPr>
      </w:pPr>
      <w:r>
        <w:rPr/>
        <w:pict>
          <v:group style="position:absolute;margin-left:60.84pt;margin-top:52.800014pt;width:473.65pt;height:.1pt;mso-position-horizontal-relative:page;mso-position-vertical-relative:page;z-index:3184" coordorigin="1217,1056" coordsize="9473,2">
            <v:shape style="position:absolute;left:1217;top:1056;width:9473;height:2" coordorigin="1217,1056" coordsize="9473,0" path="m1217,1056l10690,1056e" filled="false" stroked="true" strokeweight=".71997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5012" w:val="left" w:leader="none"/>
        </w:tabs>
        <w:spacing w:line="240" w:lineRule="auto" w:before="1"/>
        <w:ind w:left="3410" w:right="134"/>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26"/>
          <w:szCs w:val="26"/>
        </w:rPr>
      </w:pPr>
    </w:p>
    <w:p>
      <w:pPr>
        <w:pStyle w:val="BodyText"/>
        <w:spacing w:line="240" w:lineRule="auto"/>
        <w:ind w:left="626" w:right="134"/>
        <w:jc w:val="left"/>
      </w:pPr>
      <w:r>
        <w:rPr/>
        <w:t>公司在办公地点备置有完整、齐备的下列文件：</w:t>
      </w:r>
    </w:p>
    <w:p>
      <w:pPr>
        <w:pStyle w:val="BodyText"/>
        <w:spacing w:line="338" w:lineRule="auto" w:before="154"/>
        <w:ind w:left="146" w:right="134" w:firstLine="480"/>
        <w:jc w:val="left"/>
      </w:pPr>
      <w:r>
        <w:rPr>
          <w:rFonts w:ascii="Times New Roman" w:hAnsi="Times New Roman" w:cs="Times New Roman" w:eastAsia="Times New Roman" w:hint="default"/>
          <w:spacing w:val="-2"/>
        </w:rPr>
        <w:t>1</w:t>
      </w:r>
      <w:r>
        <w:rPr>
          <w:spacing w:val="-2"/>
        </w:rPr>
        <w:t>、载有公司法定代表人、主管会计工作负责人、会计机构负责人签名并盖章的会计报</w:t>
      </w:r>
      <w:r>
        <w:rPr/>
        <w:t> 表。</w:t>
      </w:r>
    </w:p>
    <w:p>
      <w:pPr>
        <w:pStyle w:val="BodyText"/>
        <w:spacing w:line="338" w:lineRule="auto" w:before="55"/>
        <w:ind w:left="146" w:right="134" w:firstLine="480"/>
        <w:jc w:val="left"/>
      </w:pPr>
      <w:r>
        <w:rPr>
          <w:rFonts w:ascii="Times New Roman" w:hAnsi="Times New Roman" w:cs="Times New Roman" w:eastAsia="Times New Roman" w:hint="default"/>
          <w:spacing w:val="-2"/>
        </w:rPr>
        <w:t>2</w:t>
      </w:r>
      <w:r>
        <w:rPr>
          <w:spacing w:val="-2"/>
        </w:rPr>
        <w:t>、载有普华永道中天会计师事务所有限公司盖章、注册会计师签名并盖章的审计报告</w:t>
      </w:r>
      <w:r>
        <w:rPr/>
        <w:t> 原件。</w:t>
      </w:r>
    </w:p>
    <w:p>
      <w:pPr>
        <w:pStyle w:val="BodyText"/>
        <w:spacing w:line="338" w:lineRule="auto" w:before="55"/>
        <w:ind w:left="146" w:right="134" w:firstLine="480"/>
        <w:jc w:val="left"/>
      </w:pPr>
      <w:r>
        <w:rPr>
          <w:rFonts w:ascii="Times New Roman" w:hAnsi="Times New Roman" w:cs="Times New Roman" w:eastAsia="Times New Roman" w:hint="default"/>
          <w:spacing w:val="-20"/>
        </w:rPr>
        <w:t>3</w:t>
      </w:r>
      <w:r>
        <w:rPr>
          <w:spacing w:val="-20"/>
        </w:rPr>
        <w:t>、报告期内在《证券时报》、《中国证券报》、《上海证券报》、《证券日报》上公开披露</w:t>
      </w:r>
      <w:r>
        <w:rPr/>
        <w:t> 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357" w:lineRule="auto"/>
        <w:ind w:left="5527" w:right="1496"/>
        <w:jc w:val="center"/>
      </w:pPr>
      <w:r>
        <w:rPr/>
        <w:t>苏宁电器股份有限公司 董事长： 张近东</w:t>
      </w:r>
    </w:p>
    <w:p>
      <w:pPr>
        <w:pStyle w:val="BodyText"/>
        <w:spacing w:line="240" w:lineRule="auto" w:before="36"/>
        <w:ind w:left="5527" w:right="1512"/>
        <w:jc w:val="center"/>
      </w:pPr>
      <w:r>
        <w:rPr/>
        <w:t>二</w:t>
      </w:r>
      <w:r>
        <w:rPr>
          <w:spacing w:val="-61"/>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九年二月二十七日</w:t>
      </w:r>
    </w:p>
    <w:sectPr>
      <w:headerReference w:type="default" r:id="rId26"/>
      <w:pgSz w:w="11910" w:h="16840"/>
      <w:pgMar w:header="822" w:footer="896" w:top="1320" w:bottom="10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5.977661pt;width:13pt;height:11pt;mso-position-horizontal-relative:page;mso-position-vertical-relative:page;z-index:-671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6.217651pt;width:17.6pt;height:11.1pt;mso-position-horizontal-relative:page;mso-position-vertical-relative:page;z-index:-671440" type="#_x0000_t202" filled="false" stroked="false">
          <v:textbox inset="0,0,0,0">
            <w:txbxContent>
              <w:p>
                <w:pPr>
                  <w:spacing w:line="205" w:lineRule="exact" w:before="0"/>
                  <w:ind w:left="4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5.977661pt;width:13pt;height:11pt;mso-position-horizontal-relative:page;mso-position-vertical-relative:page;z-index:-671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5.977661pt;width:13pt;height:11pt;mso-position-horizontal-relative:page;mso-position-vertical-relative:page;z-index:-671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5.977661pt;width:13pt;height:11pt;mso-position-horizontal-relative:page;mso-position-vertical-relative:page;z-index:-671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91.160004pt;margin-top:785.977661pt;width:13.1pt;height:11.3pt;mso-position-horizontal-relative:page;mso-position-vertical-relative:page;z-index:-671680" type="#_x0000_t202" filled="false" stroked="false">
          <v:textbox inset="0,0,0,0">
            <w:txbxContent>
              <w:p>
                <w:pPr>
                  <w:spacing w:before="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39697pt;margin-top:786.277954pt;width:15.5pt;height:11pt;mso-position-horizontal-relative:page;mso-position-vertical-relative:page;z-index:-671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6.277954pt;width:17.5pt;height:11pt;mso-position-horizontal-relative:page;mso-position-vertical-relative:page;z-index:-671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286pt;margin-top:539.678223pt;width:17.5pt;height:11pt;mso-position-horizontal-relative:page;mso-position-vertical-relative:page;z-index:-671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95.577637pt;width:18.95pt;height:11.15pt;mso-position-horizontal-relative:page;mso-position-vertical-relative:page;z-index:-671488" type="#_x0000_t202" filled="false" stroked="false">
          <v:textbox inset="0,0,0,0">
            <w:txbxContent>
              <w:p>
                <w:pPr>
                  <w:spacing w:line="207"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152</w:t>
                </w:r>
                <w:r>
                  <w:rPr/>
                  <w:fldChar w:fldCharType="end"/>
                </w:r>
                <w:r>
                  <w:rPr>
                    <w:rFonts w:ascii="Arial"/>
                    <w:spacing w:val="-1"/>
                    <w:sz w:val="18"/>
                  </w:rPr>
                </w:r>
                <w:r>
                  <w:rPr>
                    <w:rFonts w:ascii="Arial"/>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4.719986pt;width:434.05pt;height:.1pt;mso-position-horizontal-relative:page;mso-position-vertical-relative:page;z-index:-671824" coordorigin="1614,1094" coordsize="8681,2">
          <v:shape style="position:absolute;left:1614;top:1094;width:8681;height:2" coordorigin="1614,1094" coordsize="8681,0" path="m1614,1094l10295,1094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8.580139pt;margin-top:40.316261pt;width:185.7pt;height:13.1pt;mso-position-horizontal-relative:page;mso-position-vertical-relative:page;z-index:-67180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1002pt;margin-top:54.720001pt;width:680.6pt;height:.1pt;mso-position-horizontal-relative:page;mso-position-vertical-relative:page;z-index:-671608" coordorigin="1614,1094" coordsize="13612,2">
          <v:shape style="position:absolute;left:1614;top:1094;width:13612;height:2" coordorigin="1614,1094" coordsize="13612,0" path="m1614,1094l15225,1094e" filled="false" stroked="true" strokeweight=".72pt" strokecolor="#000000">
            <v:path arrowok="t"/>
          </v:shape>
          <w10:wrap type="none"/>
        </v:group>
      </w:pict>
    </w:r>
    <w:r>
      <w:rPr/>
      <w:pict>
        <v:shape style="position:absolute;margin-left:575.110657pt;margin-top:40.316563pt;width:185.7pt;height:13.1pt;mso-position-horizontal-relative:page;mso-position-vertical-relative:page;z-index:-6715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51.060017pt;width:434pt;height:.1pt;mso-position-horizontal-relative:page;mso-position-vertical-relative:page;z-index:-671536" coordorigin="1614,1021" coordsize="8680,2">
          <v:shape style="position:absolute;left:1614;top:1021;width:8680;height:2" coordorigin="1614,1021" coordsize="8680,0" path="m1614,1021l10294,1021e" filled="false" stroked="true" strokeweight=".71997pt" strokecolor="#000000">
            <v:path arrowok="t"/>
          </v:shape>
          <w10:wrap type="none"/>
        </v:group>
      </w:pict>
    </w:r>
    <w:r>
      <w:rPr/>
      <w:pict>
        <v:shape style="position:absolute;margin-left:328.460144pt;margin-top:36.596264pt;width:185.7pt;height:13.1pt;mso-position-horizontal-relative:page;mso-position-vertical-relative:page;z-index:-6715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4.480011pt;margin-top:55.705326pt;width:159.5pt;height:11.5pt;mso-position-horizontal-relative:page;mso-position-vertical-relative:page;z-index:-671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4.480011pt;margin-top:40.105324pt;width:159.5pt;height:11.5pt;mso-position-horizontal-relative:page;mso-position-vertical-relative:page;z-index:-671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31"/>
      <w:ind w:left="119"/>
    </w:pPr>
    <w:rPr>
      <w:rFonts w:ascii="宋体" w:hAnsi="宋体" w:eastAsia="宋体"/>
      <w:b/>
      <w:bCs/>
      <w:sz w:val="24"/>
      <w:szCs w:val="24"/>
    </w:rPr>
  </w:style>
  <w:style w:styleId="BodyText" w:type="paragraph">
    <w:name w:val="Body Text"/>
    <w:basedOn w:val="Normal"/>
    <w:uiPriority w:val="1"/>
    <w:qFormat/>
    <w:pPr>
      <w:ind w:left="143"/>
    </w:pPr>
    <w:rPr>
      <w:rFonts w:ascii="宋体" w:hAnsi="宋体" w:eastAsia="宋体"/>
      <w:sz w:val="24"/>
      <w:szCs w:val="24"/>
    </w:rPr>
  </w:style>
  <w:style w:styleId="Heading1" w:type="paragraph">
    <w:name w:val="Heading 1"/>
    <w:basedOn w:val="Normal"/>
    <w:uiPriority w:val="1"/>
    <w:qFormat/>
    <w:pPr>
      <w:spacing w:before="94"/>
      <w:ind w:left="2852"/>
      <w:outlineLvl w:val="1"/>
    </w:pPr>
    <w:rPr>
      <w:rFonts w:ascii="宋体" w:hAnsi="宋体" w:eastAsia="宋体"/>
      <w:b/>
      <w:bCs/>
      <w:sz w:val="32"/>
      <w:szCs w:val="32"/>
    </w:rPr>
  </w:style>
  <w:style w:styleId="Heading2" w:type="paragraph">
    <w:name w:val="Heading 2"/>
    <w:basedOn w:val="Normal"/>
    <w:uiPriority w:val="1"/>
    <w:qFormat/>
    <w:pPr>
      <w:spacing w:before="26"/>
      <w:ind w:left="10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tock@cnsuning.com" TargetMode="External"/><Relationship Id="rId9" Type="http://schemas.openxmlformats.org/officeDocument/2006/relationships/hyperlink" Target="http://www.cnsuning.com/" TargetMode="External"/><Relationship Id="rId10" Type="http://schemas.openxmlformats.org/officeDocument/2006/relationships/hyperlink" Target="http://www.cninfo.com.cn/" TargetMode="External"/><Relationship Id="rId11" Type="http://schemas.openxmlformats.org/officeDocument/2006/relationships/hyperlink" Target="http://www.cninfo.com&#19978;/"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5.xml"/><Relationship Id="rId25" Type="http://schemas.openxmlformats.org/officeDocument/2006/relationships/footer" Target="footer11.xml"/><Relationship Id="rId26"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dc:title>Microsoft Word - AR2008002024b定期报告全文_Word中文版_[1].DOC</dc:title>
  <dcterms:created xsi:type="dcterms:W3CDTF">2020-04-01T23:25:35Z</dcterms:created>
  <dcterms:modified xsi:type="dcterms:W3CDTF">2020-04-01T23:25:35Z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2009-02-27T00:00:00Z</vt:filetime>
  </property>
  <property fmtid="{D5CDD505-2E9C-101B-9397-08002B2CF9AE}" pid="3" name="Creator">
    <vt:lpwstr>PScript5.dll Version 5.2</vt:lpwstr>
  </property>
  <property fmtid="{D5CDD505-2E9C-101B-9397-08002B2CF9AE}" pid="4" name="LastSaved">
    <vt:filetime>2020-04-01T00:00:00Z</vt:filetime>
  </property>
</Properties>
</file>